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312" w:beforeLines="100" w:after="312" w:afterLines="100" w:line="720" w:lineRule="auto"/>
        <w:ind w:firstLine="1040"/>
        <w:rPr>
          <w:rFonts w:ascii="黑体" w:hAnsi="黑体" w:eastAsia="黑体"/>
          <w:b/>
          <w:bCs/>
          <w:color w:val="000000" w:themeColor="text1"/>
          <w:sz w:val="52"/>
          <w:szCs w:val="52"/>
          <w14:textFill>
            <w14:solidFill>
              <w14:schemeClr w14:val="tx1"/>
            </w14:solidFill>
          </w14:textFill>
        </w:rPr>
      </w:pPr>
      <w:bookmarkStart w:id="0" w:name="_Toc437556855"/>
      <w:bookmarkStart w:id="1" w:name="_Toc5114"/>
      <w:bookmarkStart w:id="2" w:name="_Toc8175"/>
      <w:bookmarkStart w:id="3" w:name="_Toc437556860"/>
      <w:bookmarkStart w:id="4" w:name="_Toc4686"/>
      <w:r>
        <w:rPr>
          <w:color w:val="000000" w:themeColor="text1"/>
          <w:sz w:val="52"/>
          <w:szCs w:val="52"/>
          <w14:textFill>
            <w14:solidFill>
              <w14:schemeClr w14:val="tx1"/>
            </w14:solidFill>
          </w14:textFill>
        </w:rPr>
        <w:drawing>
          <wp:anchor distT="0" distB="0" distL="114300" distR="114300" simplePos="0" relativeHeight="251661312" behindDoc="0" locked="0" layoutInCell="1" allowOverlap="1">
            <wp:simplePos x="0" y="0"/>
            <wp:positionH relativeFrom="page">
              <wp:posOffset>4572000</wp:posOffset>
            </wp:positionH>
            <wp:positionV relativeFrom="margin">
              <wp:align>top</wp:align>
            </wp:positionV>
            <wp:extent cx="1720215" cy="800100"/>
            <wp:effectExtent l="0" t="0" r="0" b="0"/>
            <wp:wrapNone/>
            <wp:docPr id="55" name="图片 3" descr="说明: G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5" name="图片 3" descr="说明: GD"/>
                    <pic:cNvPicPr>
                      <a:picLocks noChangeAspect="true" noChangeArrowheads="true"/>
                    </pic:cNvPicPr>
                  </pic:nvPicPr>
                  <pic:blipFill>
                    <a:blip r:embed="rId23">
                      <a:extLst>
                        <a:ext uri="{28A0092B-C50C-407E-A947-70E740481C1C}">
                          <a14:useLocalDpi xmlns:a14="http://schemas.microsoft.com/office/drawing/2010/main" val="false"/>
                        </a:ext>
                      </a:extLst>
                    </a:blip>
                    <a:srcRect/>
                    <a:stretch>
                      <a:fillRect/>
                    </a:stretch>
                  </pic:blipFill>
                  <pic:spPr>
                    <a:xfrm>
                      <a:off x="0" y="0"/>
                      <a:ext cx="1720215" cy="800100"/>
                    </a:xfrm>
                    <a:prstGeom prst="rect">
                      <a:avLst/>
                    </a:prstGeom>
                    <a:noFill/>
                    <a:ln>
                      <a:noFill/>
                    </a:ln>
                  </pic:spPr>
                </pic:pic>
              </a:graphicData>
            </a:graphic>
          </wp:anchor>
        </w:drawing>
      </w:r>
      <w:r>
        <w:rPr>
          <w:rFonts w:hint="eastAsia" w:ascii="黑体" w:hAnsi="黑体" w:eastAsia="黑体"/>
          <w:b/>
          <w:bCs/>
          <w:color w:val="000000" w:themeColor="text1"/>
          <w:sz w:val="52"/>
          <w:szCs w:val="52"/>
          <w14:textFill>
            <w14:solidFill>
              <w14:schemeClr w14:val="tx1"/>
            </w14:solidFill>
          </w14:textFill>
        </w:rPr>
        <w:t>广东省标准</w:t>
      </w:r>
    </w:p>
    <w:p>
      <w:pPr>
        <w:wordWrap w:val="0"/>
        <w:adjustRightInd/>
        <w:snapToGrid/>
        <w:spacing w:line="360" w:lineRule="exact"/>
        <w:ind w:firstLine="0" w:firstLineChars="0"/>
        <w:jc w:val="right"/>
        <w:rPr>
          <w:rFonts w:eastAsia="微软雅黑"/>
          <w:b/>
          <w:bCs/>
          <w:color w:val="000000" w:themeColor="text1"/>
          <w:sz w:val="30"/>
          <w:szCs w:val="30"/>
          <w14:textFill>
            <w14:solidFill>
              <w14:schemeClr w14:val="tx1"/>
            </w14:solidFill>
          </w14:textFill>
        </w:rPr>
      </w:pPr>
      <w:r>
        <w:rPr>
          <w:rFonts w:eastAsia="微软雅黑"/>
          <w:b/>
          <w:bCs/>
          <w:color w:val="000000" w:themeColor="text1"/>
          <w:sz w:val="30"/>
          <w:szCs w:val="30"/>
          <w14:textFill>
            <w14:solidFill>
              <w14:schemeClr w14:val="tx1"/>
            </w14:solidFill>
          </w14:textFill>
        </w:rPr>
        <w:t xml:space="preserve">DBJ/T    </w:t>
      </w:r>
      <w:r>
        <w:rPr>
          <w:rFonts w:eastAsia="微软雅黑"/>
          <w:b/>
          <w:bCs/>
          <w:color w:val="000000" w:themeColor="text1"/>
          <w:sz w:val="30"/>
          <w:szCs w:val="30"/>
          <w14:textFill>
            <w14:solidFill>
              <w14:schemeClr w14:val="tx1"/>
            </w14:solidFill>
          </w14:textFill>
        </w:rPr>
        <w:t>XX-XX</w:t>
      </w:r>
      <w:r>
        <w:rPr>
          <w:rFonts w:eastAsia="微软雅黑"/>
          <w:b/>
          <w:bCs/>
          <w:color w:val="000000" w:themeColor="text1"/>
          <w:sz w:val="30"/>
          <w:szCs w:val="30"/>
          <w14:textFill>
            <w14:solidFill>
              <w14:schemeClr w14:val="tx1"/>
            </w14:solidFill>
          </w14:textFill>
        </w:rPr>
        <w:t>-2022</w:t>
      </w:r>
    </w:p>
    <w:p>
      <w:pPr>
        <w:wordWrap w:val="0"/>
        <w:adjustRightInd/>
        <w:snapToGrid/>
        <w:spacing w:line="360" w:lineRule="exact"/>
        <w:ind w:firstLine="0" w:firstLineChars="0"/>
        <w:jc w:val="right"/>
        <w:rPr>
          <w:b/>
          <w:bCs/>
          <w:color w:val="000000" w:themeColor="text1"/>
          <w:sz w:val="32"/>
          <w:szCs w:val="32"/>
          <w14:textFill>
            <w14:solidFill>
              <w14:schemeClr w14:val="tx1"/>
            </w14:solidFill>
          </w14:textFill>
        </w:rPr>
      </w:pPr>
      <w:r>
        <w:rPr>
          <w:rFonts w:hint="eastAsia" w:eastAsia="微软雅黑"/>
          <w:b/>
          <w:bCs/>
          <w:color w:val="000000" w:themeColor="text1"/>
          <w:sz w:val="30"/>
          <w:szCs w:val="30"/>
          <w14:textFill>
            <w14:solidFill>
              <w14:schemeClr w14:val="tx1"/>
            </w14:solidFill>
          </w14:textFill>
        </w:rPr>
        <w:t>备案号</w:t>
      </w:r>
      <w:r>
        <w:rPr>
          <w:rFonts w:eastAsia="微软雅黑"/>
          <w:b/>
          <w:bCs/>
          <w:color w:val="000000" w:themeColor="text1"/>
          <w:sz w:val="30"/>
          <w:szCs w:val="30"/>
          <w14:textFill>
            <w14:solidFill>
              <w14:schemeClr w14:val="tx1"/>
            </w14:solidFill>
          </w14:textFill>
        </w:rPr>
        <w:t xml:space="preserve">J </w:t>
      </w:r>
      <w:r>
        <w:rPr>
          <w:rFonts w:eastAsia="微软雅黑"/>
          <w:b/>
          <w:bCs/>
          <w:color w:val="000000" w:themeColor="text1"/>
          <w:sz w:val="30"/>
          <w:szCs w:val="30"/>
          <w14:textFill>
            <w14:solidFill>
              <w14:schemeClr w14:val="tx1"/>
            </w14:solidFill>
          </w14:textFill>
        </w:rPr>
        <w:t>XXXXX</w:t>
      </w:r>
      <w:r>
        <w:rPr>
          <w:rFonts w:eastAsia="微软雅黑"/>
          <w:b/>
          <w:bCs/>
          <w:color w:val="000000" w:themeColor="text1"/>
          <w:sz w:val="30"/>
          <w:szCs w:val="30"/>
          <w14:textFill>
            <w14:solidFill>
              <w14:schemeClr w14:val="tx1"/>
            </w14:solidFill>
          </w14:textFill>
        </w:rPr>
        <w:t>-2022</w:t>
      </w:r>
    </w:p>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r>
        <w:rPr>
          <w:color w:val="000000" w:themeColor="text1"/>
          <w:sz w:val="36"/>
          <w:szCs w:val="3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posOffset>-40640</wp:posOffset>
                </wp:positionH>
                <wp:positionV relativeFrom="paragraph">
                  <wp:posOffset>52705</wp:posOffset>
                </wp:positionV>
                <wp:extent cx="5295900" cy="9525"/>
                <wp:effectExtent l="0" t="0" r="19050" b="28575"/>
                <wp:wrapNone/>
                <wp:docPr id="22" name="直接连接符 22"/>
                <wp:cNvGraphicFramePr/>
                <a:graphic xmlns:a="http://schemas.openxmlformats.org/drawingml/2006/main">
                  <a:graphicData uri="http://schemas.microsoft.com/office/word/2010/wordprocessingShape">
                    <wps:wsp>
                      <wps:cNvCnPr/>
                      <wps:spPr>
                        <a:xfrm flipV="true">
                          <a:off x="0" y="0"/>
                          <a:ext cx="529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2pt;margin-top:4.15pt;height:0.75pt;width:417pt;mso-position-horizontal-relative:margin;z-index:251659264;mso-width-relative:page;mso-height-relative:page;" filled="f" stroked="t" coordsize="21600,21600" o:gfxdata="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ZjDavVAAAABgEAAA8AAAAAAAAAAQAgAAAAOAAAAGRycy9kb3ducmV2LnhtbFBLAQIUABQA&#10;AAAIAIdO4kCHdlD03QEAAJcDAAAOAAAAAAAAAAEAIAAAADoBAABkcnMvZTJvRG9jLnhtbFBLBQYA&#10;AAAABgAGAFkBAACJBQAAAAA=&#10;">
                <v:fill on="f" focussize="0,0"/>
                <v:stroke color="#000000 [3200]" joinstyle="round"/>
                <v:imagedata o:title=""/>
                <o:lock v:ext="edit" aspectratio="f"/>
              </v:line>
            </w:pict>
          </mc:Fallback>
        </mc:AlternateContent>
      </w:r>
    </w:p>
    <w:p>
      <w:pPr>
        <w:adjustRightInd/>
        <w:snapToGrid/>
        <w:spacing w:before="312" w:beforeLines="100" w:after="312" w:afterLines="100"/>
        <w:ind w:firstLine="0" w:firstLineChars="0"/>
        <w:jc w:val="center"/>
        <w:rPr>
          <w:rFonts w:eastAsia="黑体"/>
          <w:b/>
          <w:bCs/>
          <w:color w:val="000000" w:themeColor="text1"/>
          <w:sz w:val="48"/>
          <w:szCs w:val="48"/>
          <w14:textFill>
            <w14:solidFill>
              <w14:schemeClr w14:val="tx1"/>
            </w14:solidFill>
          </w14:textFill>
        </w:rPr>
      </w:pPr>
      <w:r>
        <w:rPr>
          <w:rFonts w:hint="eastAsia" w:eastAsia="黑体"/>
          <w:b/>
          <w:bCs/>
          <w:color w:val="000000" w:themeColor="text1"/>
          <w:sz w:val="48"/>
          <w:szCs w:val="48"/>
          <w14:textFill>
            <w14:solidFill>
              <w14:schemeClr w14:val="tx1"/>
            </w14:solidFill>
          </w14:textFill>
        </w:rPr>
        <w:t>大跨度平板—剪力墙结构</w:t>
      </w:r>
      <w:r>
        <w:rPr>
          <w:rFonts w:eastAsia="黑体"/>
          <w:b/>
          <w:bCs/>
          <w:color w:val="000000" w:themeColor="text1"/>
          <w:sz w:val="48"/>
          <w:szCs w:val="48"/>
          <w14:textFill>
            <w14:solidFill>
              <w14:schemeClr w14:val="tx1"/>
            </w14:solidFill>
          </w14:textFill>
        </w:rPr>
        <w:t>技术规</w:t>
      </w:r>
      <w:bookmarkStart w:id="190" w:name="_GoBack"/>
      <w:bookmarkEnd w:id="190"/>
      <w:r>
        <w:rPr>
          <w:rFonts w:eastAsia="黑体"/>
          <w:b/>
          <w:bCs/>
          <w:color w:val="000000" w:themeColor="text1"/>
          <w:sz w:val="48"/>
          <w:szCs w:val="48"/>
          <w14:textFill>
            <w14:solidFill>
              <w14:schemeClr w14:val="tx1"/>
            </w14:solidFill>
          </w14:textFill>
        </w:rPr>
        <w:t>程</w:t>
      </w:r>
    </w:p>
    <w:p>
      <w:pPr>
        <w:adjustRightInd/>
        <w:snapToGrid/>
        <w:spacing w:before="156" w:beforeLines="50" w:after="156" w:afterLines="50"/>
        <w:ind w:firstLine="0" w:firstLineChars="0"/>
        <w:jc w:val="center"/>
        <w:rPr>
          <w:rFonts w:eastAsia="Arial Unicode MS"/>
          <w:b/>
          <w:bCs/>
          <w:color w:val="000000" w:themeColor="text1"/>
          <w:sz w:val="28"/>
          <w:szCs w:val="28"/>
          <w14:textFill>
            <w14:solidFill>
              <w14:schemeClr w14:val="tx1"/>
            </w14:solidFill>
          </w14:textFill>
        </w:rPr>
      </w:pPr>
      <w:r>
        <w:rPr>
          <w:rFonts w:eastAsia="Arial Unicode MS"/>
          <w:b/>
          <w:bCs/>
          <w:color w:val="000000" w:themeColor="text1"/>
          <w:sz w:val="28"/>
          <w:szCs w:val="28"/>
          <w14:textFill>
            <w14:solidFill>
              <w14:schemeClr w14:val="tx1"/>
            </w14:solidFill>
          </w14:textFill>
        </w:rPr>
        <w:t xml:space="preserve">Technical specification for </w:t>
      </w:r>
      <w:r>
        <w:rPr>
          <w:rFonts w:hint="eastAsia" w:eastAsia="Arial Unicode MS"/>
          <w:b/>
          <w:bCs/>
          <w:color w:val="000000" w:themeColor="text1"/>
          <w:sz w:val="28"/>
          <w:szCs w:val="28"/>
          <w14:textFill>
            <w14:solidFill>
              <w14:schemeClr w14:val="tx1"/>
            </w14:solidFill>
          </w14:textFill>
        </w:rPr>
        <w:t xml:space="preserve">shear wall structure with </w:t>
      </w:r>
    </w:p>
    <w:p>
      <w:pPr>
        <w:adjustRightInd/>
        <w:snapToGrid/>
        <w:spacing w:before="156" w:beforeLines="50" w:after="156" w:afterLines="50"/>
        <w:ind w:firstLine="0" w:firstLineChars="0"/>
        <w:jc w:val="center"/>
        <w:rPr>
          <w:b/>
          <w:bCs/>
          <w:color w:val="000000" w:themeColor="text1"/>
          <w:sz w:val="36"/>
          <w:szCs w:val="36"/>
          <w14:textFill>
            <w14:solidFill>
              <w14:schemeClr w14:val="tx1"/>
            </w14:solidFill>
          </w14:textFill>
        </w:rPr>
      </w:pPr>
      <w:r>
        <w:rPr>
          <w:rFonts w:hint="eastAsia" w:eastAsia="Arial Unicode MS"/>
          <w:b/>
          <w:bCs/>
          <w:color w:val="000000" w:themeColor="text1"/>
          <w:sz w:val="28"/>
          <w:szCs w:val="28"/>
          <w14:textFill>
            <w14:solidFill>
              <w14:schemeClr w14:val="tx1"/>
            </w14:solidFill>
          </w14:textFill>
        </w:rPr>
        <w:t>large</w:t>
      </w:r>
      <w:r>
        <w:rPr>
          <w:rFonts w:eastAsia="Arial Unicode MS"/>
          <w:b/>
          <w:bCs/>
          <w:color w:val="000000" w:themeColor="text1"/>
          <w:sz w:val="28"/>
          <w:szCs w:val="28"/>
          <w14:textFill>
            <w14:solidFill>
              <w14:schemeClr w14:val="tx1"/>
            </w14:solidFill>
          </w14:textFill>
        </w:rPr>
        <w:t>-</w:t>
      </w:r>
      <w:r>
        <w:rPr>
          <w:rFonts w:hint="eastAsia" w:eastAsia="Arial Unicode MS"/>
          <w:b/>
          <w:bCs/>
          <w:color w:val="000000" w:themeColor="text1"/>
          <w:sz w:val="28"/>
          <w:szCs w:val="28"/>
          <w14:textFill>
            <w14:solidFill>
              <w14:schemeClr w14:val="tx1"/>
            </w14:solidFill>
          </w14:textFill>
        </w:rPr>
        <w:t>span flat slab</w:t>
      </w:r>
    </w:p>
    <w:p>
      <w:pPr>
        <w:ind w:firstLine="602"/>
        <w:jc w:val="center"/>
        <w:rPr>
          <w:b/>
          <w:bCs/>
          <w:color w:val="000000" w:themeColor="text1"/>
          <w:sz w:val="32"/>
          <w:szCs w:val="32"/>
          <w14:textFill>
            <w14:solidFill>
              <w14:schemeClr w14:val="tx1"/>
            </w14:solidFill>
          </w14:textFill>
        </w:rPr>
      </w:pPr>
      <w:r>
        <w:rPr>
          <w:b/>
          <w:color w:val="000000" w:themeColor="text1"/>
          <w:sz w:val="30"/>
          <w:szCs w:val="30"/>
          <w14:textFill>
            <w14:solidFill>
              <w14:schemeClr w14:val="tx1"/>
            </w14:solidFill>
          </w14:textFill>
        </w:rPr>
        <w:t>(</w:t>
      </w:r>
      <w:r>
        <w:rPr>
          <w:rFonts w:hint="eastAsia"/>
          <w:b/>
          <w:color w:val="000000" w:themeColor="text1"/>
          <w:sz w:val="30"/>
          <w:szCs w:val="30"/>
          <w14:textFill>
            <w14:solidFill>
              <w14:schemeClr w14:val="tx1"/>
            </w14:solidFill>
          </w14:textFill>
        </w:rPr>
        <w:t>征求意见稿</w:t>
      </w:r>
      <w:r>
        <w:rPr>
          <w:b/>
          <w:color w:val="000000" w:themeColor="text1"/>
          <w:sz w:val="30"/>
          <w:szCs w:val="30"/>
          <w14:textFill>
            <w14:solidFill>
              <w14:schemeClr w14:val="tx1"/>
            </w14:solidFill>
          </w14:textFill>
        </w:rPr>
        <w:t>)</w:t>
      </w:r>
    </w:p>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p>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p>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p>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p>
    <w:p>
      <w:pPr>
        <w:ind w:firstLine="560"/>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 xml:space="preserve">2022-XX-XX  </w:t>
      </w:r>
      <w:r>
        <w:rPr>
          <w:rFonts w:hint="eastAsia" w:eastAsia="黑体"/>
          <w:color w:val="000000" w:themeColor="text1"/>
          <w:sz w:val="28"/>
          <w:szCs w:val="28"/>
          <w14:textFill>
            <w14:solidFill>
              <w14:schemeClr w14:val="tx1"/>
            </w14:solidFill>
          </w14:textFill>
        </w:rPr>
        <w:t>发布</w:t>
      </w:r>
      <w:r>
        <w:rPr>
          <w:rFonts w:eastAsia="黑体"/>
          <w:color w:val="000000" w:themeColor="text1"/>
          <w:sz w:val="28"/>
          <w:szCs w:val="28"/>
          <w14:textFill>
            <w14:solidFill>
              <w14:schemeClr w14:val="tx1"/>
            </w14:solidFill>
          </w14:textFill>
        </w:rPr>
        <w:t xml:space="preserve">                   2022-XX-XX  </w:t>
      </w:r>
      <w:r>
        <w:rPr>
          <w:rFonts w:hint="eastAsia" w:eastAsia="黑体"/>
          <w:color w:val="000000" w:themeColor="text1"/>
          <w:sz w:val="28"/>
          <w:szCs w:val="28"/>
          <w14:textFill>
            <w14:solidFill>
              <w14:schemeClr w14:val="tx1"/>
            </w14:solidFill>
          </w14:textFill>
        </w:rPr>
        <w:t>实施</w:t>
      </w:r>
    </w:p>
    <w:p>
      <w:pPr>
        <w:tabs>
          <w:tab w:val="left" w:pos="8235"/>
        </w:tabs>
        <w:ind w:firstLine="420"/>
        <w:rPr>
          <w:rFonts w:eastAsia="黑体"/>
          <w:b/>
          <w:color w:val="000000" w:themeColor="text1"/>
          <w:sz w:val="28"/>
          <w:szCs w:val="28"/>
          <w14:textFill>
            <w14:solidFill>
              <w14:schemeClr w14:val="tx1"/>
            </w14:solidFill>
          </w14:textFill>
        </w:rPr>
      </w:pPr>
      <w:r>
        <w:rPr>
          <w:color w:val="000000" w:themeColor="text1"/>
          <w:sz w:val="21"/>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55880</wp:posOffset>
                </wp:positionV>
                <wp:extent cx="5600700" cy="26670"/>
                <wp:effectExtent l="0" t="0" r="19050" b="30480"/>
                <wp:wrapNone/>
                <wp:docPr id="28" name="直接连接符 28"/>
                <wp:cNvGraphicFramePr/>
                <a:graphic xmlns:a="http://schemas.openxmlformats.org/drawingml/2006/main">
                  <a:graphicData uri="http://schemas.microsoft.com/office/word/2010/wordprocessingShape">
                    <wps:wsp>
                      <wps:cNvCnPr>
                        <a:cxnSpLocks noChangeShapeType="true"/>
                      </wps:cNvCnPr>
                      <wps:spPr bwMode="auto">
                        <a:xfrm>
                          <a:off x="0" y="0"/>
                          <a:ext cx="5600700" cy="266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4.4pt;height:2.1pt;width:441pt;z-index:251665408;mso-width-relative:page;mso-height-relative:page;" filled="f" stroked="t" coordsize="21600,21600" o:gfxdata="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JNKKr7SAAAABQEA&#10;AA8AAAAAAAAAAQAgAAAAOAAAAGRycy9kb3ducmV2LnhtbFBLAQIUABQAAAAIAIdO4kCanuN20QEA&#10;AGUDAAAOAAAAAAAAAAEAIAAAADcBAABkcnMvZTJvRG9jLnhtbFBLBQYAAAAABgAGAFkBAAB6BQAA&#10;AAA=&#10;">
                <v:fill on="f" focussize="0,0"/>
                <v:stroke color="#000000" joinstyle="round"/>
                <v:imagedata o:title=""/>
                <o:lock v:ext="edit" aspectratio="f"/>
              </v:line>
            </w:pict>
          </mc:Fallback>
        </mc:AlternateContent>
      </w:r>
      <w:r>
        <w:rPr>
          <w:rFonts w:eastAsia="黑体"/>
          <w:b/>
          <w:color w:val="000000" w:themeColor="text1"/>
          <w:sz w:val="28"/>
          <w:szCs w:val="28"/>
          <w14:textFill>
            <w14:solidFill>
              <w14:schemeClr w14:val="tx1"/>
            </w14:solidFill>
          </w14:textFill>
        </w:rPr>
        <w:tab/>
      </w:r>
    </w:p>
    <w:p>
      <w:pPr>
        <w:ind w:firstLine="640"/>
        <w:jc w:val="center"/>
        <w:rPr>
          <w:color w:val="000000" w:themeColor="text1"/>
          <w:sz w:val="21"/>
          <w:szCs w:val="24"/>
          <w14:textFill>
            <w14:solidFill>
              <w14:schemeClr w14:val="tx1"/>
            </w14:solidFill>
          </w14:textFill>
        </w:rPr>
      </w:pPr>
      <w:r>
        <w:rPr>
          <w:rFonts w:hint="eastAsia" w:eastAsia="黑体"/>
          <w:color w:val="000000" w:themeColor="text1"/>
          <w:sz w:val="32"/>
          <w:szCs w:val="32"/>
          <w14:textFill>
            <w14:solidFill>
              <w14:schemeClr w14:val="tx1"/>
            </w14:solidFill>
          </w14:textFill>
        </w:rPr>
        <w:t>广东省住房和城乡建设厅</w:t>
      </w:r>
      <w:r>
        <w:rPr>
          <w:rFonts w:eastAsia="黑体"/>
          <w:color w:val="000000" w:themeColor="text1"/>
          <w:spacing w:val="20"/>
          <w:sz w:val="28"/>
          <w:szCs w:val="28"/>
          <w14:textFill>
            <w14:solidFill>
              <w14:schemeClr w14:val="tx1"/>
            </w14:solidFill>
          </w14:textFill>
        </w:rPr>
        <w:t xml:space="preserve">  </w:t>
      </w:r>
      <w:r>
        <w:rPr>
          <w:rFonts w:hint="eastAsia" w:eastAsia="黑体"/>
          <w:color w:val="000000" w:themeColor="text1"/>
          <w:spacing w:val="20"/>
          <w:sz w:val="32"/>
          <w:szCs w:val="32"/>
          <w14:textFill>
            <w14:solidFill>
              <w14:schemeClr w14:val="tx1"/>
            </w14:solidFill>
          </w14:textFill>
        </w:rPr>
        <w:t>发布</w:t>
      </w:r>
    </w:p>
    <w:p>
      <w:pPr>
        <w:ind w:firstLine="480"/>
        <w:rPr>
          <w:rFonts w:eastAsia="黑体"/>
          <w:color w:val="000000" w:themeColor="text1"/>
          <w14:textFill>
            <w14:solidFill>
              <w14:schemeClr w14:val="tx1"/>
            </w14:solidFill>
          </w14:textFill>
        </w:rPr>
      </w:pPr>
    </w:p>
    <w:tbl>
      <w:tblPr>
        <w:tblStyle w:val="30"/>
        <w:tblpPr w:leftFromText="180" w:rightFromText="180" w:vertAnchor="text" w:horzAnchor="page" w:tblpX="7810" w:tblpY="283"/>
        <w:tblOverlap w:val="never"/>
        <w:tblW w:w="2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263"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本标准不涉及专利</w:t>
            </w:r>
          </w:p>
        </w:tc>
      </w:tr>
    </w:tbl>
    <w:p>
      <w:pPr>
        <w:adjustRightInd/>
        <w:snapToGrid/>
        <w:spacing w:before="312" w:beforeLines="100" w:after="312" w:afterLines="100" w:line="240" w:lineRule="auto"/>
        <w:ind w:firstLine="0" w:firstLineChars="0"/>
        <w:rPr>
          <w:b/>
          <w:bCs/>
          <w:color w:val="000000" w:themeColor="text1"/>
          <w:sz w:val="32"/>
          <w:szCs w:val="32"/>
          <w14:textFill>
            <w14:solidFill>
              <w14:schemeClr w14:val="tx1"/>
            </w14:solidFill>
          </w14:textFill>
        </w:rPr>
      </w:pPr>
    </w:p>
    <w:p>
      <w:pPr>
        <w:adjustRightInd/>
        <w:snapToGrid/>
        <w:spacing w:before="312" w:beforeLines="100" w:after="312" w:afterLines="100" w:line="240" w:lineRule="auto"/>
        <w:ind w:firstLine="0" w:firstLineChars="0"/>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广东省地方标准</w:t>
      </w:r>
    </w:p>
    <w:p>
      <w:pPr>
        <w:adjustRightInd/>
        <w:snapToGrid/>
        <w:spacing w:before="312" w:beforeLines="100" w:after="312" w:afterLines="100"/>
        <w:ind w:firstLine="0" w:firstLineChars="0"/>
        <w:jc w:val="center"/>
        <w:rPr>
          <w:rFonts w:eastAsia="黑体"/>
          <w:b/>
          <w:bCs/>
          <w:color w:val="000000" w:themeColor="text1"/>
          <w:sz w:val="48"/>
          <w:szCs w:val="48"/>
          <w14:textFill>
            <w14:solidFill>
              <w14:schemeClr w14:val="tx1"/>
            </w14:solidFill>
          </w14:textFill>
        </w:rPr>
      </w:pPr>
      <w:r>
        <w:rPr>
          <w:rFonts w:hint="eastAsia" w:eastAsia="黑体"/>
          <w:b/>
          <w:bCs/>
          <w:color w:val="000000" w:themeColor="text1"/>
          <w:sz w:val="48"/>
          <w:szCs w:val="48"/>
          <w14:textFill>
            <w14:solidFill>
              <w14:schemeClr w14:val="tx1"/>
            </w14:solidFill>
          </w14:textFill>
        </w:rPr>
        <w:t>大跨度平板—剪力墙结构</w:t>
      </w:r>
      <w:r>
        <w:rPr>
          <w:rFonts w:eastAsia="黑体"/>
          <w:b/>
          <w:bCs/>
          <w:color w:val="000000" w:themeColor="text1"/>
          <w:sz w:val="48"/>
          <w:szCs w:val="48"/>
          <w14:textFill>
            <w14:solidFill>
              <w14:schemeClr w14:val="tx1"/>
            </w14:solidFill>
          </w14:textFill>
        </w:rPr>
        <w:t>技术规程</w:t>
      </w:r>
    </w:p>
    <w:p>
      <w:pPr>
        <w:adjustRightInd/>
        <w:snapToGrid/>
        <w:spacing w:before="156" w:beforeLines="50" w:after="156" w:afterLines="50"/>
        <w:ind w:firstLine="0" w:firstLineChars="0"/>
        <w:jc w:val="center"/>
        <w:rPr>
          <w:rFonts w:eastAsia="Arial Unicode MS"/>
          <w:b/>
          <w:bCs/>
          <w:color w:val="000000" w:themeColor="text1"/>
          <w:sz w:val="28"/>
          <w:szCs w:val="28"/>
          <w14:textFill>
            <w14:solidFill>
              <w14:schemeClr w14:val="tx1"/>
            </w14:solidFill>
          </w14:textFill>
        </w:rPr>
      </w:pPr>
      <w:r>
        <w:rPr>
          <w:rFonts w:eastAsia="Arial Unicode MS"/>
          <w:b/>
          <w:bCs/>
          <w:color w:val="000000" w:themeColor="text1"/>
          <w:sz w:val="28"/>
          <w:szCs w:val="28"/>
          <w14:textFill>
            <w14:solidFill>
              <w14:schemeClr w14:val="tx1"/>
            </w14:solidFill>
          </w14:textFill>
        </w:rPr>
        <w:t xml:space="preserve">Technical specification for </w:t>
      </w:r>
      <w:r>
        <w:rPr>
          <w:rFonts w:hint="eastAsia" w:eastAsia="Arial Unicode MS"/>
          <w:b/>
          <w:bCs/>
          <w:color w:val="000000" w:themeColor="text1"/>
          <w:sz w:val="28"/>
          <w:szCs w:val="28"/>
          <w14:textFill>
            <w14:solidFill>
              <w14:schemeClr w14:val="tx1"/>
            </w14:solidFill>
          </w14:textFill>
        </w:rPr>
        <w:t xml:space="preserve">shear wall structure with </w:t>
      </w:r>
    </w:p>
    <w:p>
      <w:pPr>
        <w:adjustRightInd/>
        <w:snapToGrid/>
        <w:spacing w:before="156" w:beforeLines="50" w:after="156" w:afterLines="50"/>
        <w:ind w:firstLine="0" w:firstLineChars="0"/>
        <w:jc w:val="center"/>
        <w:rPr>
          <w:b/>
          <w:bCs/>
          <w:color w:val="000000" w:themeColor="text1"/>
          <w:sz w:val="36"/>
          <w:szCs w:val="36"/>
          <w14:textFill>
            <w14:solidFill>
              <w14:schemeClr w14:val="tx1"/>
            </w14:solidFill>
          </w14:textFill>
        </w:rPr>
      </w:pPr>
      <w:r>
        <w:rPr>
          <w:rFonts w:hint="eastAsia" w:eastAsia="Arial Unicode MS"/>
          <w:b/>
          <w:bCs/>
          <w:color w:val="000000" w:themeColor="text1"/>
          <w:sz w:val="28"/>
          <w:szCs w:val="28"/>
          <w14:textFill>
            <w14:solidFill>
              <w14:schemeClr w14:val="tx1"/>
            </w14:solidFill>
          </w14:textFill>
        </w:rPr>
        <w:t>large</w:t>
      </w:r>
      <w:r>
        <w:rPr>
          <w:rFonts w:eastAsia="Arial Unicode MS"/>
          <w:b/>
          <w:bCs/>
          <w:color w:val="000000" w:themeColor="text1"/>
          <w:sz w:val="28"/>
          <w:szCs w:val="28"/>
          <w14:textFill>
            <w14:solidFill>
              <w14:schemeClr w14:val="tx1"/>
            </w14:solidFill>
          </w14:textFill>
        </w:rPr>
        <w:t>-</w:t>
      </w:r>
      <w:r>
        <w:rPr>
          <w:rFonts w:hint="eastAsia" w:eastAsia="Arial Unicode MS"/>
          <w:b/>
          <w:bCs/>
          <w:color w:val="000000" w:themeColor="text1"/>
          <w:sz w:val="28"/>
          <w:szCs w:val="28"/>
          <w14:textFill>
            <w14:solidFill>
              <w14:schemeClr w14:val="tx1"/>
            </w14:solidFill>
          </w14:textFill>
        </w:rPr>
        <w:t>span flat slab</w:t>
      </w:r>
    </w:p>
    <w:p>
      <w:pPr>
        <w:ind w:firstLine="602"/>
        <w:jc w:val="center"/>
        <w:rPr>
          <w:b/>
          <w:bCs/>
          <w:color w:val="000000" w:themeColor="text1"/>
          <w:sz w:val="32"/>
          <w:szCs w:val="32"/>
          <w14:textFill>
            <w14:solidFill>
              <w14:schemeClr w14:val="tx1"/>
            </w14:solidFill>
          </w14:textFill>
        </w:rPr>
      </w:pPr>
      <w:r>
        <w:rPr>
          <w:b/>
          <w:color w:val="000000" w:themeColor="text1"/>
          <w:sz w:val="30"/>
          <w:szCs w:val="30"/>
          <w14:textFill>
            <w14:solidFill>
              <w14:schemeClr w14:val="tx1"/>
            </w14:solidFill>
          </w14:textFill>
        </w:rPr>
        <w:t>(</w:t>
      </w:r>
      <w:r>
        <w:rPr>
          <w:rFonts w:hint="eastAsia"/>
          <w:b/>
          <w:color w:val="000000" w:themeColor="text1"/>
          <w:sz w:val="30"/>
          <w:szCs w:val="30"/>
          <w14:textFill>
            <w14:solidFill>
              <w14:schemeClr w14:val="tx1"/>
            </w14:solidFill>
          </w14:textFill>
        </w:rPr>
        <w:t>征求意见稿</w:t>
      </w:r>
      <w:r>
        <w:rPr>
          <w:b/>
          <w:color w:val="000000" w:themeColor="text1"/>
          <w:sz w:val="30"/>
          <w:szCs w:val="30"/>
          <w14:textFill>
            <w14:solidFill>
              <w14:schemeClr w14:val="tx1"/>
            </w14:solidFill>
          </w14:textFill>
        </w:rPr>
        <w:t>)</w:t>
      </w:r>
    </w:p>
    <w:p>
      <w:pPr>
        <w:adjustRightInd/>
        <w:snapToGrid/>
        <w:spacing w:before="156" w:beforeLines="50" w:after="156" w:afterLines="50"/>
        <w:ind w:firstLine="0" w:firstLineChars="0"/>
        <w:jc w:val="center"/>
        <w:rPr>
          <w:b w:val="0"/>
          <w:bCs w:val="0"/>
          <w:color w:val="000000" w:themeColor="text1"/>
          <w:sz w:val="28"/>
          <w:szCs w:val="160"/>
          <w14:textFill>
            <w14:solidFill>
              <w14:schemeClr w14:val="tx1"/>
            </w14:solidFill>
          </w14:textFill>
        </w:rPr>
      </w:pPr>
      <w:r>
        <w:rPr>
          <w:rFonts w:ascii="Times New Roman" w:hAnsi="Times New Roman" w:eastAsia="宋体"/>
          <w:color w:val="000000" w:themeColor="text1"/>
          <w:sz w:val="28"/>
          <w:szCs w:val="160"/>
          <w14:textFill>
            <w14:solidFill>
              <w14:schemeClr w14:val="tx1"/>
            </w14:solidFill>
          </w14:textFill>
        </w:rPr>
        <w:t>DBJ/T XX-XX-202</w:t>
      </w:r>
      <w:r>
        <w:rPr>
          <w:color w:val="000000" w:themeColor="text1"/>
          <w:sz w:val="28"/>
          <w:szCs w:val="160"/>
          <w14:textFill>
            <w14:solidFill>
              <w14:schemeClr w14:val="tx1"/>
            </w14:solidFill>
          </w14:textFill>
        </w:rPr>
        <w:t>2</w:t>
      </w:r>
    </w:p>
    <w:p>
      <w:pPr>
        <w:adjustRightInd/>
        <w:snapToGrid/>
        <w:spacing w:line="240" w:lineRule="auto"/>
        <w:ind w:firstLine="0" w:firstLineChars="0"/>
        <w:rPr>
          <w:color w:val="000000" w:themeColor="text1"/>
          <w:sz w:val="21"/>
          <w14:textFill>
            <w14:solidFill>
              <w14:schemeClr w14:val="tx1"/>
            </w14:solidFill>
          </w14:textFill>
        </w:rPr>
      </w:pPr>
    </w:p>
    <w:p>
      <w:pPr>
        <w:adjustRightInd/>
        <w:snapToGrid/>
        <w:spacing w:line="240" w:lineRule="auto"/>
        <w:ind w:firstLine="0" w:firstLineChars="0"/>
        <w:rPr>
          <w:color w:val="000000" w:themeColor="text1"/>
          <w:sz w:val="21"/>
          <w14:textFill>
            <w14:solidFill>
              <w14:schemeClr w14:val="tx1"/>
            </w14:solidFill>
          </w14:textFill>
        </w:rPr>
      </w:pPr>
    </w:p>
    <w:p>
      <w:pPr>
        <w:adjustRightInd/>
        <w:snapToGrid/>
        <w:spacing w:line="240" w:lineRule="auto"/>
        <w:ind w:firstLine="0" w:firstLineChars="0"/>
        <w:rPr>
          <w:color w:val="000000" w:themeColor="text1"/>
          <w:sz w:val="21"/>
          <w14:textFill>
            <w14:solidFill>
              <w14:schemeClr w14:val="tx1"/>
            </w14:solidFill>
          </w14:textFill>
        </w:rPr>
      </w:pPr>
    </w:p>
    <w:p>
      <w:pPr>
        <w:adjustRightInd/>
        <w:snapToGrid/>
        <w:spacing w:line="240" w:lineRule="auto"/>
        <w:ind w:firstLine="0" w:firstLineChars="0"/>
        <w:rPr>
          <w:color w:val="000000" w:themeColor="text1"/>
          <w:sz w:val="21"/>
          <w14:textFill>
            <w14:solidFill>
              <w14:schemeClr w14:val="tx1"/>
            </w14:solidFill>
          </w14:textFill>
        </w:rPr>
      </w:pPr>
    </w:p>
    <w:p>
      <w:pPr>
        <w:ind w:firstLine="2520" w:firstLineChars="900"/>
        <w:rPr>
          <w:color w:val="000000" w:themeColor="text1"/>
          <w:sz w:val="28"/>
          <w:szCs w:val="160"/>
          <w14:textFill>
            <w14:solidFill>
              <w14:schemeClr w14:val="tx1"/>
            </w14:solidFill>
          </w14:textFill>
        </w:rPr>
      </w:pPr>
      <w:bookmarkStart w:id="5" w:name="_Toc370997664"/>
      <w:bookmarkStart w:id="6" w:name="_Toc375993696"/>
      <w:bookmarkStart w:id="7" w:name="_Toc371095474"/>
      <w:bookmarkStart w:id="8" w:name="_Toc371095592"/>
      <w:bookmarkStart w:id="9" w:name="_Toc375993540"/>
      <w:bookmarkStart w:id="10" w:name="_Toc370997579"/>
      <w:r>
        <w:rPr>
          <w:color w:val="000000" w:themeColor="text1"/>
          <w:sz w:val="28"/>
          <w:szCs w:val="160"/>
          <w14:textFill>
            <w14:solidFill>
              <w14:schemeClr w14:val="tx1"/>
            </w14:solidFill>
          </w14:textFill>
        </w:rPr>
        <w:t>住房城乡建设部备案号：XXX</w:t>
      </w:r>
    </w:p>
    <w:p>
      <w:pPr>
        <w:ind w:firstLine="2520" w:firstLineChars="900"/>
        <w:rPr>
          <w:color w:val="000000" w:themeColor="text1"/>
          <w:sz w:val="28"/>
          <w:szCs w:val="160"/>
          <w14:textFill>
            <w14:solidFill>
              <w14:schemeClr w14:val="tx1"/>
            </w14:solidFill>
          </w14:textFill>
        </w:rPr>
      </w:pPr>
      <w:r>
        <w:rPr>
          <w:color w:val="000000" w:themeColor="text1"/>
          <w:sz w:val="28"/>
          <w:szCs w:val="160"/>
          <w14:textFill>
            <w14:solidFill>
              <w14:schemeClr w14:val="tx1"/>
            </w14:solidFill>
          </w14:textFill>
        </w:rPr>
        <w:t>批准部门：广东省住房和城乡建设厅</w:t>
      </w:r>
    </w:p>
    <w:p>
      <w:pPr>
        <w:ind w:firstLine="2520" w:firstLineChars="900"/>
        <w:rPr>
          <w:color w:val="000000" w:themeColor="text1"/>
          <w:sz w:val="28"/>
          <w:szCs w:val="160"/>
          <w14:textFill>
            <w14:solidFill>
              <w14:schemeClr w14:val="tx1"/>
            </w14:solidFill>
          </w14:textFill>
        </w:rPr>
      </w:pPr>
      <w:r>
        <w:rPr>
          <w:color w:val="000000" w:themeColor="text1"/>
          <w:sz w:val="28"/>
          <w:szCs w:val="160"/>
          <w14:textFill>
            <w14:solidFill>
              <w14:schemeClr w14:val="tx1"/>
            </w14:solidFill>
          </w14:textFill>
        </w:rPr>
        <w:t>施行日期：202</w:t>
      </w:r>
      <w:r>
        <w:rPr>
          <w:rFonts w:hint="eastAsia"/>
          <w:color w:val="000000" w:themeColor="text1"/>
          <w:sz w:val="28"/>
          <w:szCs w:val="160"/>
          <w14:textFill>
            <w14:solidFill>
              <w14:schemeClr w14:val="tx1"/>
            </w14:solidFill>
          </w14:textFill>
        </w:rPr>
        <w:t>2</w:t>
      </w:r>
      <w:r>
        <w:rPr>
          <w:color w:val="000000" w:themeColor="text1"/>
          <w:sz w:val="28"/>
          <w:szCs w:val="160"/>
          <w14:textFill>
            <w14:solidFill>
              <w14:schemeClr w14:val="tx1"/>
            </w14:solidFill>
          </w14:textFill>
        </w:rPr>
        <w:t>年XX月XX日</w:t>
      </w:r>
    </w:p>
    <w:p>
      <w:pPr>
        <w:ind w:right="1423" w:rightChars="593" w:firstLine="482"/>
        <w:rPr>
          <w:b/>
          <w:bCs/>
          <w:color w:val="000000" w:themeColor="text1"/>
          <w14:textFill>
            <w14:solidFill>
              <w14:schemeClr w14:val="tx1"/>
            </w14:solidFill>
          </w14:textFill>
        </w:rPr>
      </w:pPr>
    </w:p>
    <w:p>
      <w:pPr>
        <w:ind w:right="1423" w:rightChars="593" w:firstLine="482"/>
        <w:rPr>
          <w:b/>
          <w:bCs/>
          <w:color w:val="000000" w:themeColor="text1"/>
          <w14:textFill>
            <w14:solidFill>
              <w14:schemeClr w14:val="tx1"/>
            </w14:solidFill>
          </w14:textFill>
        </w:rPr>
      </w:pPr>
    </w:p>
    <w:p>
      <w:pPr>
        <w:ind w:right="1423" w:rightChars="593" w:firstLine="560"/>
        <w:rPr>
          <w:color w:val="000000" w:themeColor="text1"/>
          <w:sz w:val="28"/>
          <w:szCs w:val="36"/>
          <w14:textFill>
            <w14:solidFill>
              <w14:schemeClr w14:val="tx1"/>
            </w14:solidFill>
          </w14:textFill>
        </w:rPr>
      </w:pPr>
    </w:p>
    <w:p>
      <w:pPr>
        <w:ind w:right="1423" w:rightChars="593" w:firstLine="560"/>
        <w:rPr>
          <w:color w:val="000000" w:themeColor="text1"/>
          <w:sz w:val="28"/>
          <w:szCs w:val="36"/>
          <w14:textFill>
            <w14:solidFill>
              <w14:schemeClr w14:val="tx1"/>
            </w14:solidFill>
          </w14:textFill>
        </w:rPr>
      </w:pPr>
    </w:p>
    <w:p>
      <w:pPr>
        <w:ind w:firstLine="560"/>
        <w:jc w:val="center"/>
        <w:rPr>
          <w:rFonts w:eastAsia="仿宋"/>
          <w:color w:val="000000" w:themeColor="text1"/>
          <w:sz w:val="28"/>
          <w:szCs w:val="36"/>
          <w14:textFill>
            <w14:solidFill>
              <w14:schemeClr w14:val="tx1"/>
            </w14:solidFill>
          </w14:textFill>
        </w:rPr>
      </w:pPr>
      <w:r>
        <w:rPr>
          <w:rFonts w:eastAsia="仿宋"/>
          <w:color w:val="000000" w:themeColor="text1"/>
          <w:sz w:val="28"/>
          <w:szCs w:val="36"/>
          <w14:textFill>
            <w14:solidFill>
              <w14:schemeClr w14:val="tx1"/>
            </w14:solidFill>
          </w14:textFill>
        </w:rPr>
        <w:t>XXXX</w:t>
      </w:r>
      <w:r>
        <w:rPr>
          <w:color w:val="000000" w:themeColor="text1"/>
          <w:sz w:val="28"/>
          <w:szCs w:val="36"/>
          <w14:textFill>
            <w14:solidFill>
              <w14:schemeClr w14:val="tx1"/>
            </w14:solidFill>
          </w14:textFill>
        </w:rPr>
        <w:t>出版社</w:t>
      </w:r>
    </w:p>
    <w:p>
      <w:pPr>
        <w:ind w:firstLine="560"/>
        <w:jc w:val="center"/>
        <w:rPr>
          <w:bCs/>
          <w:color w:val="000000" w:themeColor="text1"/>
          <w:sz w:val="28"/>
          <w:szCs w:val="36"/>
          <w14:textFill>
            <w14:solidFill>
              <w14:schemeClr w14:val="tx1"/>
            </w14:solidFill>
          </w14:textFill>
        </w:rPr>
      </w:pPr>
      <w:r>
        <w:rPr>
          <w:bCs/>
          <w:color w:val="000000" w:themeColor="text1"/>
          <w:sz w:val="28"/>
          <w:szCs w:val="36"/>
          <w14:textFill>
            <w14:solidFill>
              <w14:schemeClr w14:val="tx1"/>
            </w14:solidFill>
          </w14:textFill>
        </w:rPr>
        <w:t>202</w:t>
      </w:r>
      <w:r>
        <w:rPr>
          <w:rFonts w:hint="eastAsia"/>
          <w:bCs/>
          <w:color w:val="000000" w:themeColor="text1"/>
          <w:sz w:val="28"/>
          <w:szCs w:val="36"/>
          <w14:textFill>
            <w14:solidFill>
              <w14:schemeClr w14:val="tx1"/>
            </w14:solidFill>
          </w14:textFill>
        </w:rPr>
        <w:t>2</w:t>
      </w:r>
      <w:r>
        <w:rPr>
          <w:bCs/>
          <w:color w:val="000000" w:themeColor="text1"/>
          <w:sz w:val="28"/>
          <w:szCs w:val="36"/>
          <w14:textFill>
            <w14:solidFill>
              <w14:schemeClr w14:val="tx1"/>
            </w14:solidFill>
          </w14:textFill>
        </w:rPr>
        <w:t xml:space="preserve">  广州</w:t>
      </w:r>
    </w:p>
    <w:bookmarkEnd w:id="5"/>
    <w:bookmarkEnd w:id="6"/>
    <w:bookmarkEnd w:id="7"/>
    <w:bookmarkEnd w:id="8"/>
    <w:bookmarkEnd w:id="9"/>
    <w:bookmarkEnd w:id="10"/>
    <w:p>
      <w:pPr>
        <w:adjustRightInd/>
        <w:snapToGrid/>
        <w:spacing w:line="240" w:lineRule="auto"/>
        <w:ind w:firstLine="0" w:firstLineChars="0"/>
        <w:jc w:val="center"/>
        <w:rPr>
          <w:b/>
          <w:bCs/>
          <w:color w:val="000000" w:themeColor="text1"/>
          <w:sz w:val="30"/>
          <w:szCs w:val="30"/>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start="1"/>
          <w:cols w:space="425" w:num="1"/>
          <w:titlePg/>
          <w:docGrid w:type="lines" w:linePitch="312" w:charSpace="0"/>
        </w:sectPr>
      </w:pPr>
      <w:bookmarkStart w:id="11" w:name="_Toc371095477"/>
      <w:bookmarkStart w:id="12" w:name="_Toc375993543"/>
      <w:bookmarkStart w:id="13" w:name="_Toc375993699"/>
      <w:bookmarkStart w:id="14" w:name="_Toc370997582"/>
      <w:bookmarkStart w:id="15" w:name="_Toc371095595"/>
      <w:bookmarkStart w:id="16" w:name="_Toc370997667"/>
    </w:p>
    <w:p>
      <w:pPr>
        <w:spacing w:line="440" w:lineRule="exact"/>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前   言</w:t>
      </w:r>
    </w:p>
    <w:p>
      <w:pPr>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根据</w:t>
      </w:r>
      <w:r>
        <w:rPr>
          <w:rFonts w:hint="eastAsia"/>
          <w:color w:val="000000" w:themeColor="text1"/>
          <w14:textFill>
            <w14:solidFill>
              <w14:schemeClr w14:val="tx1"/>
            </w14:solidFill>
          </w14:textFill>
        </w:rPr>
        <w:t>广东省住房和城乡建设厅</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关于下达广东省标准</w:t>
      </w:r>
      <w:r>
        <w:rPr>
          <w:rFonts w:hint="eastAsia" w:ascii="宋体" w:hAnsi="宋体" w:cs="宋体"/>
          <w:color w:val="000000" w:themeColor="text1"/>
          <w14:textFill>
            <w14:solidFill>
              <w14:schemeClr w14:val="tx1"/>
            </w14:solidFill>
          </w14:textFill>
        </w:rPr>
        <w:t>&lt;大跨度平板-剪力墙结构技术规程&gt;编制任务</w:t>
      </w:r>
      <w:r>
        <w:rPr>
          <w:color w:val="000000" w:themeColor="text1"/>
          <w14:textFill>
            <w14:solidFill>
              <w14:schemeClr w14:val="tx1"/>
            </w14:solidFill>
          </w14:textFill>
        </w:rPr>
        <w:t>的通知》要求，编制组经广泛调查研究，认真总结实践经验，参考有关国际标准和国</w:t>
      </w:r>
      <w:r>
        <w:rPr>
          <w:rFonts w:hint="eastAsia"/>
          <w:color w:val="000000" w:themeColor="text1"/>
          <w14:textFill>
            <w14:solidFill>
              <w14:schemeClr w14:val="tx1"/>
            </w14:solidFill>
          </w14:textFill>
        </w:rPr>
        <w:t>内</w:t>
      </w:r>
      <w:r>
        <w:rPr>
          <w:color w:val="000000" w:themeColor="text1"/>
          <w14:textFill>
            <w14:solidFill>
              <w14:schemeClr w14:val="tx1"/>
            </w14:solidFill>
          </w14:textFill>
        </w:rPr>
        <w:t>先进标准，并在广泛征求意见的基础上，制订了本规程。</w:t>
      </w:r>
    </w:p>
    <w:p>
      <w:pPr>
        <w:spacing w:line="440" w:lineRule="exact"/>
        <w:ind w:firstLine="480"/>
        <w:rPr>
          <w:bCs/>
          <w:color w:val="000000" w:themeColor="text1"/>
          <w14:textFill>
            <w14:solidFill>
              <w14:schemeClr w14:val="tx1"/>
            </w14:solidFill>
          </w14:textFill>
        </w:rPr>
      </w:pPr>
      <w:r>
        <w:rPr>
          <w:bCs/>
          <w:color w:val="000000" w:themeColor="text1"/>
          <w14:textFill>
            <w14:solidFill>
              <w14:schemeClr w14:val="tx1"/>
            </w14:solidFill>
          </w14:textFill>
        </w:rPr>
        <w:t>本规程在</w:t>
      </w:r>
      <w:r>
        <w:rPr>
          <w:rFonts w:hint="eastAsia"/>
          <w:bCs/>
          <w:color w:val="000000" w:themeColor="text1"/>
          <w14:textFill>
            <w14:solidFill>
              <w14:schemeClr w14:val="tx1"/>
            </w14:solidFill>
          </w14:textFill>
        </w:rPr>
        <w:t>现行</w:t>
      </w:r>
      <w:r>
        <w:rPr>
          <w:bCs/>
          <w:color w:val="000000" w:themeColor="text1"/>
          <w14:textFill>
            <w14:solidFill>
              <w14:schemeClr w14:val="tx1"/>
            </w14:solidFill>
          </w14:textFill>
        </w:rPr>
        <w:t>国家及行业标准基础上，以提高</w:t>
      </w:r>
      <w:r>
        <w:rPr>
          <w:rFonts w:hint="eastAsia"/>
          <w:bCs/>
          <w:color w:val="000000" w:themeColor="text1"/>
          <w14:textFill>
            <w14:solidFill>
              <w14:schemeClr w14:val="tx1"/>
            </w14:solidFill>
          </w14:textFill>
        </w:rPr>
        <w:t>住宅建筑品质、提高</w:t>
      </w:r>
      <w:r>
        <w:rPr>
          <w:bCs/>
          <w:color w:val="000000" w:themeColor="text1"/>
          <w14:textFill>
            <w14:solidFill>
              <w14:schemeClr w14:val="tx1"/>
            </w14:solidFill>
          </w14:textFill>
        </w:rPr>
        <w:t>建设效率</w:t>
      </w:r>
      <w:r>
        <w:rPr>
          <w:rFonts w:hint="eastAsia"/>
          <w:bCs/>
          <w:color w:val="000000" w:themeColor="text1"/>
          <w14:textFill>
            <w14:solidFill>
              <w14:schemeClr w14:val="tx1"/>
            </w14:solidFill>
          </w14:textFill>
        </w:rPr>
        <w:t>和工业化程度</w:t>
      </w:r>
      <w:r>
        <w:rPr>
          <w:bCs/>
          <w:color w:val="000000" w:themeColor="text1"/>
          <w14:textFill>
            <w14:solidFill>
              <w14:schemeClr w14:val="tx1"/>
            </w14:solidFill>
          </w14:textFill>
        </w:rPr>
        <w:t>为目的，从材料、结构设计、施工</w:t>
      </w:r>
      <w:r>
        <w:rPr>
          <w:rFonts w:hint="eastAsia"/>
          <w:bCs/>
          <w:color w:val="000000" w:themeColor="text1"/>
          <w14:textFill>
            <w14:solidFill>
              <w14:schemeClr w14:val="tx1"/>
            </w14:solidFill>
          </w14:textFill>
        </w:rPr>
        <w:t>、验收</w:t>
      </w:r>
      <w:r>
        <w:rPr>
          <w:bCs/>
          <w:color w:val="000000" w:themeColor="text1"/>
          <w14:textFill>
            <w14:solidFill>
              <w14:schemeClr w14:val="tx1"/>
            </w14:solidFill>
          </w14:textFill>
        </w:rPr>
        <w:t>等方面提出综合考虑</w:t>
      </w:r>
      <w:r>
        <w:rPr>
          <w:rFonts w:hint="eastAsia"/>
          <w:bCs/>
          <w:color w:val="000000" w:themeColor="text1"/>
          <w14:textFill>
            <w14:solidFill>
              <w14:schemeClr w14:val="tx1"/>
            </w14:solidFill>
          </w14:textFill>
        </w:rPr>
        <w:t>结构</w:t>
      </w:r>
      <w:r>
        <w:rPr>
          <w:bCs/>
          <w:color w:val="000000" w:themeColor="text1"/>
          <w14:textFill>
            <w14:solidFill>
              <w14:schemeClr w14:val="tx1"/>
            </w14:solidFill>
          </w14:textFill>
        </w:rPr>
        <w:t>性能、施工便捷和经济效益的</w:t>
      </w:r>
      <w:r>
        <w:rPr>
          <w:rFonts w:hint="eastAsia"/>
          <w:bCs/>
          <w:color w:val="000000" w:themeColor="text1"/>
          <w14:textFill>
            <w14:solidFill>
              <w14:schemeClr w14:val="tx1"/>
            </w14:solidFill>
          </w14:textFill>
        </w:rPr>
        <w:t>大跨度平板—剪力墙结构</w:t>
      </w:r>
      <w:r>
        <w:rPr>
          <w:bCs/>
          <w:color w:val="000000" w:themeColor="text1"/>
          <w14:textFill>
            <w14:solidFill>
              <w14:schemeClr w14:val="tx1"/>
            </w14:solidFill>
          </w14:textFill>
        </w:rPr>
        <w:t>技术要求。</w:t>
      </w:r>
    </w:p>
    <w:p>
      <w:pPr>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本规程共</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章，主要技术内容包括：总则，术语，基本规定，结构</w:t>
      </w:r>
      <w:r>
        <w:rPr>
          <w:rFonts w:hint="eastAsia"/>
          <w:color w:val="000000" w:themeColor="text1"/>
          <w14:textFill>
            <w14:solidFill>
              <w14:schemeClr w14:val="tx1"/>
            </w14:solidFill>
          </w14:textFill>
        </w:rPr>
        <w:t>设计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构件及节点设计</w:t>
      </w:r>
      <w:r>
        <w:rPr>
          <w:color w:val="000000" w:themeColor="text1"/>
          <w14:textFill>
            <w14:solidFill>
              <w14:schemeClr w14:val="tx1"/>
            </w14:solidFill>
          </w14:textFill>
        </w:rPr>
        <w:t>，施工及验收。</w:t>
      </w:r>
    </w:p>
    <w:p>
      <w:pPr>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本规程由</w:t>
      </w:r>
      <w:r>
        <w:rPr>
          <w:rFonts w:hint="eastAsia"/>
          <w:color w:val="000000" w:themeColor="text1"/>
          <w14:textFill>
            <w14:solidFill>
              <w14:schemeClr w14:val="tx1"/>
            </w14:solidFill>
          </w14:textFill>
        </w:rPr>
        <w:t>广东省住房和城乡建设厅负责</w:t>
      </w:r>
      <w:r>
        <w:rPr>
          <w:color w:val="000000" w:themeColor="text1"/>
          <w14:textFill>
            <w14:solidFill>
              <w14:schemeClr w14:val="tx1"/>
            </w14:solidFill>
          </w14:textFill>
        </w:rPr>
        <w:t>管理，由</w:t>
      </w:r>
      <w:r>
        <w:rPr>
          <w:rFonts w:hint="eastAsia"/>
          <w:color w:val="000000" w:themeColor="text1"/>
          <w14:textFill>
            <w14:solidFill>
              <w14:schemeClr w14:val="tx1"/>
            </w14:solidFill>
          </w14:textFill>
        </w:rPr>
        <w:t>广东建星建造集团有限公司、清华大学</w:t>
      </w:r>
      <w:r>
        <w:rPr>
          <w:color w:val="000000" w:themeColor="text1"/>
          <w14:textFill>
            <w14:solidFill>
              <w14:schemeClr w14:val="tx1"/>
            </w14:solidFill>
          </w14:textFill>
        </w:rPr>
        <w:t>负责具体技术内容的解释。执行过程中如有意见或建议，请寄送</w:t>
      </w:r>
      <w:r>
        <w:rPr>
          <w:rFonts w:hint="eastAsia"/>
          <w:color w:val="000000" w:themeColor="text1"/>
          <w14:textFill>
            <w14:solidFill>
              <w14:schemeClr w14:val="tx1"/>
            </w14:solidFill>
          </w14:textFill>
        </w:rPr>
        <w:t>广东建星建造集团有限公司</w:t>
      </w:r>
      <w:r>
        <w:rPr>
          <w:color w:val="000000" w:themeColor="text1"/>
          <w14:textFill>
            <w14:solidFill>
              <w14:schemeClr w14:val="tx1"/>
            </w14:solidFill>
          </w14:textFill>
        </w:rPr>
        <w:t>（地址：</w:t>
      </w:r>
      <w:r>
        <w:rPr>
          <w:rFonts w:hint="eastAsia"/>
          <w:color w:val="000000" w:themeColor="text1"/>
          <w14:textFill>
            <w14:solidFill>
              <w14:schemeClr w14:val="tx1"/>
            </w14:solidFill>
          </w14:textFill>
        </w:rPr>
        <w:t>珠海市香洲区兴华路1</w:t>
      </w:r>
      <w:r>
        <w:rPr>
          <w:color w:val="000000" w:themeColor="text1"/>
          <w14:textFill>
            <w14:solidFill>
              <w14:schemeClr w14:val="tx1"/>
            </w14:solidFill>
          </w14:textFill>
        </w:rPr>
        <w:t>76</w:t>
      </w:r>
      <w:r>
        <w:rPr>
          <w:rFonts w:hint="eastAsia"/>
          <w:color w:val="000000" w:themeColor="text1"/>
          <w14:textFill>
            <w14:solidFill>
              <w14:schemeClr w14:val="tx1"/>
            </w14:solidFill>
          </w14:textFill>
        </w:rPr>
        <w:t>号，邮箱：</w:t>
      </w:r>
      <w:r>
        <w:rPr>
          <w:color w:val="000000" w:themeColor="text1"/>
          <w14:textFill>
            <w14:solidFill>
              <w14:schemeClr w14:val="tx1"/>
            </w14:solidFill>
          </w14:textFill>
        </w:rPr>
        <w:t>office@constar-gd.com）。</w:t>
      </w:r>
    </w:p>
    <w:p>
      <w:pPr>
        <w:spacing w:line="44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本规程</w:t>
      </w:r>
      <w:r>
        <w:rPr>
          <w:color w:val="000000" w:themeColor="text1"/>
          <w14:textFill>
            <w14:solidFill>
              <w14:schemeClr w14:val="tx1"/>
            </w14:solidFill>
          </w14:textFill>
        </w:rPr>
        <w:t xml:space="preserve">主编单位： </w:t>
      </w:r>
      <w:r>
        <w:rPr>
          <w:rFonts w:hint="eastAsia"/>
          <w:color w:val="000000" w:themeColor="text1"/>
          <w14:textFill>
            <w14:solidFill>
              <w14:schemeClr w14:val="tx1"/>
            </w14:solidFill>
          </w14:textFill>
        </w:rPr>
        <w:t>广东建星建造集团有限公司</w:t>
      </w:r>
    </w:p>
    <w:p>
      <w:pPr>
        <w:spacing w:line="440" w:lineRule="exac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清华大学</w:t>
      </w:r>
    </w:p>
    <w:p>
      <w:pPr>
        <w:spacing w:line="440" w:lineRule="exact"/>
        <w:ind w:firstLine="480"/>
        <w:rPr>
          <w:color w:val="000000" w:themeColor="text1"/>
          <w:szCs w:val="24"/>
          <w14:textFill>
            <w14:solidFill>
              <w14:schemeClr w14:val="tx1"/>
            </w14:solidFill>
          </w14:textFill>
        </w:rPr>
      </w:pPr>
      <w:r>
        <w:rPr>
          <w:rFonts w:hint="eastAsia"/>
          <w:color w:val="000000" w:themeColor="text1"/>
          <w14:textFill>
            <w14:solidFill>
              <w14:schemeClr w14:val="tx1"/>
            </w14:solidFill>
          </w14:textFill>
        </w:rPr>
        <w:t>本规程</w:t>
      </w:r>
      <w:r>
        <w:rPr>
          <w:color w:val="000000" w:themeColor="text1"/>
          <w14:textFill>
            <w14:solidFill>
              <w14:schemeClr w14:val="tx1"/>
            </w14:solidFill>
          </w14:textFill>
        </w:rPr>
        <w:t>参编单位：</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广东省建科建筑设计院有限公司</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中国建筑科学研究院有限公司</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珠海市建设工程质量监测站</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珠海华发实业股份有限公司</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美的置业集团有限公司</w:t>
      </w:r>
    </w:p>
    <w:p>
      <w:pPr>
        <w:spacing w:line="440" w:lineRule="exact"/>
        <w:ind w:firstLine="2640" w:firstLineChars="11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广东省建筑业协会</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珠海深圳清华大学研究院创新中心</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 xml:space="preserve"> 珠海市建设安全科学研究中心有限公司</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广东合迪科技有限公司</w:t>
      </w:r>
    </w:p>
    <w:p>
      <w:pPr>
        <w:spacing w:line="440" w:lineRule="exact"/>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中易建科技有限公司</w:t>
      </w:r>
    </w:p>
    <w:p>
      <w:pPr>
        <w:adjustRightInd/>
        <w:spacing w:line="440" w:lineRule="exact"/>
        <w:ind w:left="2947" w:leftChars="228" w:hanging="2400" w:hangingChars="1000"/>
        <w:rPr>
          <w:color w:val="000000" w:themeColor="text1"/>
          <w14:textFill>
            <w14:solidFill>
              <w14:schemeClr w14:val="tx1"/>
            </w14:solidFill>
          </w14:textFill>
        </w:rPr>
      </w:pPr>
      <w:r>
        <w:rPr>
          <w:color w:val="000000" w:themeColor="text1"/>
          <w14:textFill>
            <w14:solidFill>
              <w14:schemeClr w14:val="tx1"/>
            </w14:solidFill>
          </w14:textFill>
        </w:rPr>
        <w:t xml:space="preserve">主要起草人： </w:t>
      </w:r>
      <w:r>
        <w:rPr>
          <w:rFonts w:hint="eastAsia"/>
          <w:color w:val="000000" w:themeColor="text1"/>
          <w14:textFill>
            <w14:solidFill>
              <w14:schemeClr w14:val="tx1"/>
            </w14:solidFill>
          </w14:textFill>
        </w:rPr>
        <w:t>王爱志 樊健生 徐其功 田春雨</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梁剑明</w:t>
      </w:r>
    </w:p>
    <w:p>
      <w:pPr>
        <w:adjustRightInd/>
        <w:spacing w:line="440" w:lineRule="exact"/>
        <w:ind w:firstLine="1920" w:firstLineChars="8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常志华 曹敏丽 毕吉庆 周 萌 胡兰英</w:t>
      </w:r>
    </w:p>
    <w:p>
      <w:pPr>
        <w:adjustRightInd/>
        <w:spacing w:line="440" w:lineRule="exact"/>
        <w:ind w:firstLine="1920" w:firstLineChars="8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刘入瑞 朱礼敏 甘生宇 魏 偲 何敏秀</w:t>
      </w:r>
    </w:p>
    <w:p>
      <w:pPr>
        <w:adjustRightInd/>
        <w:spacing w:line="440" w:lineRule="exact"/>
        <w:ind w:firstLine="1920" w:firstLineChars="8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吴嘉欣 零东烈 闫贵海 程 敏 王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军 </w:t>
      </w:r>
    </w:p>
    <w:p>
      <w:pPr>
        <w:adjustRightInd/>
        <w:spacing w:line="440" w:lineRule="exact"/>
        <w:ind w:firstLine="2160" w:firstLineChars="9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郭志亚 刘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芳 张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玲</w:t>
      </w:r>
    </w:p>
    <w:p>
      <w:pPr>
        <w:adjustRightInd/>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主要审查人：</w:t>
      </w:r>
    </w:p>
    <w:p>
      <w:pPr>
        <w:adjustRightInd/>
        <w:spacing w:line="440" w:lineRule="exact"/>
        <w:ind w:firstLine="480"/>
        <w:rPr>
          <w:color w:val="000000" w:themeColor="text1"/>
          <w14:textFill>
            <w14:solidFill>
              <w14:schemeClr w14:val="tx1"/>
            </w14:solidFill>
          </w14:textFill>
        </w:rPr>
      </w:pPr>
    </w:p>
    <w:bookmarkEnd w:id="11"/>
    <w:bookmarkEnd w:id="12"/>
    <w:bookmarkEnd w:id="13"/>
    <w:bookmarkEnd w:id="14"/>
    <w:bookmarkEnd w:id="15"/>
    <w:bookmarkEnd w:id="16"/>
    <w:p>
      <w:pPr>
        <w:ind w:firstLine="480"/>
        <w:rPr>
          <w:color w:val="000000" w:themeColor="text1"/>
          <w14:textFill>
            <w14:solidFill>
              <w14:schemeClr w14:val="tx1"/>
            </w14:solidFill>
          </w14:textFill>
        </w:rPr>
        <w:sectPr>
          <w:footerReference r:id="rId12" w:type="first"/>
          <w:footerReference r:id="rId11" w:type="default"/>
          <w:pgSz w:w="11906" w:h="16838"/>
          <w:pgMar w:top="1440" w:right="1800" w:bottom="1440" w:left="1800" w:header="851" w:footer="992" w:gutter="0"/>
          <w:pgNumType w:fmt="upperRoman"/>
          <w:cols w:space="425" w:num="1"/>
          <w:titlePg/>
          <w:docGrid w:type="lines" w:linePitch="312" w:charSpace="0"/>
        </w:sectPr>
      </w:pPr>
    </w:p>
    <w:p>
      <w:pPr>
        <w:spacing w:line="312" w:lineRule="auto"/>
        <w:ind w:firstLine="0" w:firstLineChars="0"/>
        <w:jc w:val="center"/>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 xml:space="preserve">目    </w:t>
      </w:r>
      <w:r>
        <w:rPr>
          <w:rFonts w:hint="eastAsia"/>
          <w:b/>
          <w:color w:val="000000" w:themeColor="text1"/>
          <w:sz w:val="30"/>
          <w:szCs w:val="30"/>
          <w14:textFill>
            <w14:solidFill>
              <w14:schemeClr w14:val="tx1"/>
            </w14:solidFill>
          </w14:textFill>
        </w:rPr>
        <w:t>录</w:t>
      </w:r>
    </w:p>
    <w:p>
      <w:pPr>
        <w:pStyle w:val="20"/>
        <w:rPr>
          <w:rFonts w:asciiTheme="minorHAnsi" w:hAnsiTheme="minorHAnsi" w:cstheme="minorBidi"/>
          <w:bCs w:val="0"/>
          <w:color w:val="000000" w:themeColor="text1"/>
          <w:sz w:val="21"/>
          <w:szCs w:val="22"/>
          <w14:textFill>
            <w14:solidFill>
              <w14:schemeClr w14:val="tx1"/>
            </w14:solidFill>
          </w14:textFill>
        </w:rPr>
      </w:pPr>
      <w:r>
        <w:rPr>
          <w:rFonts w:ascii="宋体" w:hAnsi="宋体"/>
          <w:caps/>
          <w:color w:val="000000" w:themeColor="text1"/>
          <w14:textFill>
            <w14:solidFill>
              <w14:schemeClr w14:val="tx1"/>
            </w14:solidFill>
          </w14:textFill>
        </w:rPr>
        <w:fldChar w:fldCharType="begin"/>
      </w:r>
      <w:r>
        <w:rPr>
          <w:rFonts w:ascii="宋体" w:hAnsi="宋体"/>
          <w:caps/>
          <w:color w:val="000000" w:themeColor="text1"/>
          <w14:textFill>
            <w14:solidFill>
              <w14:schemeClr w14:val="tx1"/>
            </w14:solidFill>
          </w14:textFill>
        </w:rPr>
        <w:instrText xml:space="preserve">TOC \o "1-2" \h \u </w:instrText>
      </w:r>
      <w:r>
        <w:rPr>
          <w:rFonts w:ascii="宋体" w:hAnsi="宋体"/>
          <w:caps/>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"_Toc87629845"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1 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"_Toc87629846"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2 术语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"_Toc87629850"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3 基本规定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"_Toc87629851"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4 结构设计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ind w:firstLine="400"/>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"_Toc87629852"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4.1 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ind w:firstLine="400"/>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"_Toc87629853"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4.2 结构分析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"_Toc87629854"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5 构件及节点设计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ind w:firstLine="400"/>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"_Toc87629855"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5.1 构件设计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4"/>
        <w:tabs>
          <w:tab w:val="right" w:leader="dot" w:pos="8296"/>
        </w:tabs>
        <w:ind w:firstLine="400"/>
        <w:rPr>
          <w:rFonts w:asciiTheme="minorHAnsi" w:hAnsiTheme="minorHAnsi" w:eastAsiaTheme="minorEastAsia" w:cstheme="minorBidi"/>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"_Toc87629856"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5.2 节点设计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"_Toc87629857"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6 施工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"_Toc87629862"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7 检查与验收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"_Toc87629866"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本</w:t>
      </w:r>
      <w:r>
        <w:rPr>
          <w:rStyle w:val="35"/>
          <w:rFonts w:hint="eastAsia"/>
          <w:color w:val="000000" w:themeColor="text1"/>
          <w14:textFill>
            <w14:solidFill>
              <w14:schemeClr w14:val="tx1"/>
            </w14:solidFill>
          </w14:textFill>
        </w:rPr>
        <w:t>规程</w:t>
      </w:r>
      <w:r>
        <w:rPr>
          <w:rStyle w:val="35"/>
          <w:color w:val="000000" w:themeColor="text1"/>
          <w14:textFill>
            <w14:solidFill>
              <w14:schemeClr w14:val="tx1"/>
            </w14:solidFill>
          </w14:textFill>
        </w:rPr>
        <w:t>用词说明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rPr>
          <w:rFonts w:asciiTheme="minorHAnsi" w:hAnsiTheme="minorHAnsi" w:cstheme="minorBidi"/>
          <w:bCs w:val="0"/>
          <w:color w:val="000000" w:themeColor="text1"/>
          <w:sz w:val="2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"_Toc87629867" </w:instrText>
      </w:r>
      <w:r>
        <w:rPr>
          <w:color w:val="000000" w:themeColor="text1"/>
          <w14:textFill>
            <w14:solidFill>
              <w14:schemeClr w14:val="tx1"/>
            </w14:solidFill>
          </w14:textFill>
        </w:rPr>
        <w:fldChar w:fldCharType="separate"/>
      </w:r>
      <w:r>
        <w:rPr>
          <w:rStyle w:val="35"/>
          <w:color w:val="000000" w:themeColor="text1"/>
          <w14:textFill>
            <w14:solidFill>
              <w14:schemeClr w14:val="tx1"/>
            </w14:solidFill>
          </w14:textFill>
        </w:rPr>
        <w:t>引用标准名录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_Toc87629867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ind w:firstLine="480"/>
        <w:rPr>
          <w:rFonts w:ascii="宋体" w:hAnsi="宋体"/>
          <w:bCs/>
          <w:caps/>
          <w:color w:val="000000" w:themeColor="text1"/>
          <w:szCs w:val="24"/>
          <w14:textFill>
            <w14:solidFill>
              <w14:schemeClr w14:val="tx1"/>
            </w14:solidFill>
          </w14:textFill>
        </w:rPr>
        <w:sectPr>
          <w:pgSz w:w="11906" w:h="16838"/>
          <w:pgMar w:top="1440" w:right="1800" w:bottom="1440" w:left="1800" w:header="851" w:footer="992" w:gutter="0"/>
          <w:pgNumType w:fmt="upperRoman"/>
          <w:cols w:space="425" w:num="1"/>
          <w:titlePg/>
          <w:docGrid w:type="lines" w:linePitch="312" w:charSpace="0"/>
        </w:sectPr>
      </w:pPr>
      <w:r>
        <w:rPr>
          <w:rFonts w:ascii="宋体" w:hAnsi="宋体"/>
          <w:bCs/>
          <w:caps/>
          <w:color w:val="000000" w:themeColor="text1"/>
          <w:szCs w:val="24"/>
          <w14:textFill>
            <w14:solidFill>
              <w14:schemeClr w14:val="tx1"/>
            </w14:solidFill>
          </w14:textFill>
        </w:rPr>
        <w:fldChar w:fldCharType="end"/>
      </w:r>
    </w:p>
    <w:p>
      <w:pPr>
        <w:adjustRightInd/>
        <w:snapToGrid/>
        <w:spacing w:after="312" w:afterLines="100" w:line="400" w:lineRule="exact"/>
        <w:ind w:firstLine="0" w:firstLineChars="0"/>
        <w:jc w:val="center"/>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Contents</w:t>
      </w:r>
    </w:p>
    <w:p>
      <w:pPr>
        <w:pStyle w:val="20"/>
        <w:tabs>
          <w:tab w:val="right" w:leader="dot" w:pos="8306"/>
          <w:tab w:val="clear" w:pos="420"/>
          <w:tab w:val="clear" w:pos="8296"/>
        </w:tabs>
        <w:rPr>
          <w:color w:val="000000" w:themeColor="text1"/>
          <w14:textFill>
            <w14:solidFill>
              <w14:schemeClr w14:val="tx1"/>
            </w14:solidFill>
          </w14:textFill>
        </w:rPr>
      </w:pPr>
      <w:r>
        <w:rPr>
          <w:rFonts w:ascii="Calibri" w:hAnsi="Calibri"/>
          <w:b/>
          <w:color w:val="000000" w:themeColor="text1"/>
          <w:kern w:val="0"/>
          <w:sz w:val="22"/>
          <w:szCs w:val="22"/>
          <w14:textFill>
            <w14:solidFill>
              <w14:schemeClr w14:val="tx1"/>
            </w14:solidFill>
          </w14:textFill>
        </w:rPr>
        <w:fldChar w:fldCharType="begin"/>
      </w:r>
      <w:r>
        <w:rPr>
          <w:b/>
          <w:color w:val="000000" w:themeColor="text1"/>
          <w:sz w:val="22"/>
          <w:szCs w:val="22"/>
          <w14:textFill>
            <w14:solidFill>
              <w14:schemeClr w14:val="tx1"/>
            </w14:solidFill>
          </w14:textFill>
        </w:rPr>
        <w:instrText xml:space="preserve"> </w:instrText>
      </w:r>
      <w:r>
        <w:rPr>
          <w:rFonts w:hint="eastAsia"/>
          <w:b/>
          <w:color w:val="000000" w:themeColor="text1"/>
          <w:sz w:val="22"/>
          <w:szCs w:val="22"/>
          <w14:textFill>
            <w14:solidFill>
              <w14:schemeClr w14:val="tx1"/>
            </w14:solidFill>
          </w14:textFill>
        </w:rPr>
        <w:instrText xml:space="preserve">TOC \f \h \z \u</w:instrText>
      </w:r>
      <w:r>
        <w:rPr>
          <w:b/>
          <w:color w:val="000000" w:themeColor="text1"/>
          <w:sz w:val="22"/>
          <w:szCs w:val="22"/>
          <w14:textFill>
            <w14:solidFill>
              <w14:schemeClr w14:val="tx1"/>
            </w14:solidFill>
          </w14:textFill>
        </w:rPr>
        <w:instrText xml:space="preserve"> </w:instrText>
      </w:r>
      <w:r>
        <w:rPr>
          <w:rFonts w:ascii="Calibri" w:hAnsi="Calibri"/>
          <w:b/>
          <w:color w:val="000000" w:themeColor="text1"/>
          <w:kern w:val="0"/>
          <w:sz w:val="22"/>
          <w:szCs w:val="22"/>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"_Toc29836"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 General Provisions</w:t>
      </w:r>
      <w:r>
        <w:rPr>
          <w:color w:val="000000" w:themeColor="text1"/>
          <w14:textFill>
            <w14:solidFill>
              <w14:schemeClr w14:val="tx1"/>
            </w14:solidFill>
          </w14:textFill>
        </w:rPr>
        <w:tab/>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 Terms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"_Toc2035"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 Basic Requirements</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"_Toc24975"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 Structural Design</w:t>
      </w:r>
      <w:r>
        <w:rPr>
          <w:color w:val="000000" w:themeColor="text1"/>
          <w14:textFill>
            <w14:solidFill>
              <w14:schemeClr w14:val="tx1"/>
            </w14:solidFill>
          </w14:textFill>
        </w:rPr>
        <w:tab/>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p>
    <w:p>
      <w:pPr>
        <w:pStyle w:val="24"/>
        <w:tabs>
          <w:tab w:val="right" w:leader="dot" w:pos="8306"/>
        </w:tabs>
        <w:ind w:firstLine="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"_Toc28460"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 General Requirements</w:t>
      </w:r>
      <w:r>
        <w:rPr>
          <w:color w:val="000000" w:themeColor="text1"/>
          <w14:textFill>
            <w14:solidFill>
              <w14:schemeClr w14:val="tx1"/>
            </w14:solidFill>
          </w14:textFill>
        </w:rPr>
        <w:tab/>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p>
    <w:p>
      <w:pPr>
        <w:pStyle w:val="24"/>
        <w:tabs>
          <w:tab w:val="right" w:leader="dot" w:pos="8306"/>
        </w:tabs>
        <w:ind w:firstLine="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 Structural Analysis</w:t>
      </w:r>
      <w:r>
        <w:rPr>
          <w:color w:val="000000" w:themeColor="text1"/>
          <w14:textFill>
            <w14:solidFill>
              <w14:schemeClr w14:val="tx1"/>
            </w14:solidFill>
          </w14:textFill>
        </w:rPr>
        <w:tab/>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 Design of Members and Joints</w:t>
      </w:r>
      <w:r>
        <w:rPr>
          <w:color w:val="000000" w:themeColor="text1"/>
          <w14:textFill>
            <w14:solidFill>
              <w14:schemeClr w14:val="tx1"/>
            </w14:solidFill>
          </w14:textFill>
        </w:rPr>
        <w:tab/>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p>
    <w:p>
      <w:pPr>
        <w:pStyle w:val="24"/>
        <w:tabs>
          <w:tab w:val="right" w:leader="dot" w:pos="8306"/>
        </w:tabs>
        <w:ind w:firstLine="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"_Toc4451"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 Design of Members</w:t>
      </w:r>
      <w:r>
        <w:rPr>
          <w:color w:val="000000" w:themeColor="text1"/>
          <w14:textFill>
            <w14:solidFill>
              <w14:schemeClr w14:val="tx1"/>
            </w14:solidFill>
          </w14:textFill>
        </w:rPr>
        <w:tab/>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p>
    <w:p>
      <w:pPr>
        <w:pStyle w:val="24"/>
        <w:tabs>
          <w:tab w:val="right" w:leader="dot" w:pos="8306"/>
        </w:tabs>
        <w:ind w:firstLine="4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"_Toc21372"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 Design of Joints</w:t>
      </w:r>
      <w:r>
        <w:rPr>
          <w:color w:val="000000" w:themeColor="text1"/>
          <w14:textFill>
            <w14:solidFill>
              <w14:schemeClr w14:val="tx1"/>
            </w14:solidFill>
          </w14:textFill>
        </w:rPr>
        <w:tab/>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"_Toc30943"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 Construction</w:t>
      </w:r>
      <w:r>
        <w:rPr>
          <w:color w:val="000000" w:themeColor="text1"/>
          <w14:textFill>
            <w14:solidFill>
              <w14:schemeClr w14:val="tx1"/>
            </w14:solidFill>
          </w14:textFill>
        </w:rPr>
        <w:tab/>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 Inspection and Acceptance</w:t>
      </w:r>
      <w:r>
        <w:rPr>
          <w:color w:val="000000" w:themeColor="text1"/>
          <w14:textFill>
            <w14:solidFill>
              <w14:schemeClr w14:val="tx1"/>
            </w14:solidFill>
          </w14:textFill>
        </w:rPr>
        <w:tab/>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"_Toc32472"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Explanation of Wording in This Specification</w:t>
      </w:r>
      <w:r>
        <w:rPr>
          <w:color w:val="000000" w:themeColor="text1"/>
          <w14:textFill>
            <w14:solidFill>
              <w14:schemeClr w14:val="tx1"/>
            </w14:solidFill>
          </w14:textFill>
        </w:rPr>
        <w:tab/>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p>
    <w:p>
      <w:pPr>
        <w:pStyle w:val="20"/>
        <w:tabs>
          <w:tab w:val="right" w:leader="dot" w:pos="8306"/>
          <w:tab w:val="clear" w:pos="420"/>
          <w:tab w:val="clear" w:pos="829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"_Toc25521"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List of Quoted Standards</w:t>
      </w:r>
      <w:r>
        <w:rPr>
          <w:color w:val="000000" w:themeColor="text1"/>
          <w14:textFill>
            <w14:solidFill>
              <w14:schemeClr w14:val="tx1"/>
            </w14:solidFill>
          </w14:textFill>
        </w:rPr>
        <w:tab/>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p>
    <w:p>
      <w:pPr>
        <w:tabs>
          <w:tab w:val="left" w:pos="420"/>
          <w:tab w:val="right" w:leader="dot" w:pos="8296"/>
        </w:tabs>
        <w:ind w:firstLine="480"/>
        <w:jc w:val="left"/>
        <w:rPr>
          <w:bCs/>
          <w:caps/>
          <w:color w:val="000000" w:themeColor="text1"/>
          <w:sz w:val="20"/>
          <w:szCs w:val="24"/>
          <w14:textFill>
            <w14:solidFill>
              <w14:schemeClr w14:val="tx1"/>
            </w14:solidFill>
          </w14:textFill>
        </w:rPr>
      </w:pPr>
      <w:r>
        <w:rPr>
          <w:color w:val="000000" w:themeColor="text1"/>
          <w:szCs w:val="22"/>
          <w14:textFill>
            <w14:solidFill>
              <w14:schemeClr w14:val="tx1"/>
            </w14:solidFill>
          </w14:textFill>
        </w:rPr>
        <w:fldChar w:fldCharType="end"/>
      </w:r>
    </w:p>
    <w:p>
      <w:pPr>
        <w:ind w:firstLine="480"/>
        <w:rPr>
          <w:rFonts w:ascii="宋体" w:hAnsi="宋体"/>
          <w:bCs/>
          <w:caps/>
          <w:color w:val="000000" w:themeColor="text1"/>
          <w:szCs w:val="24"/>
          <w14:textFill>
            <w14:solidFill>
              <w14:schemeClr w14:val="tx1"/>
            </w14:solidFill>
          </w14:textFill>
        </w:rPr>
      </w:pPr>
    </w:p>
    <w:p>
      <w:pPr>
        <w:ind w:firstLine="480"/>
        <w:rPr>
          <w:color w:val="000000" w:themeColor="text1"/>
          <w14:textFill>
            <w14:solidFill>
              <w14:schemeClr w14:val="tx1"/>
            </w14:solidFill>
          </w14:textFill>
        </w:rPr>
      </w:pPr>
    </w:p>
    <w:p>
      <w:pPr>
        <w:pStyle w:val="39"/>
        <w:numPr>
          <w:ilvl w:val="255"/>
          <w:numId w:val="0"/>
        </w:numPr>
        <w:spacing w:before="312" w:after="312"/>
        <w:rPr>
          <w:color w:val="000000" w:themeColor="text1"/>
          <w14:textFill>
            <w14:solidFill>
              <w14:schemeClr w14:val="tx1"/>
            </w14:solidFill>
          </w14:textFill>
        </w:rPr>
        <w:sectPr>
          <w:footerReference r:id="rId14" w:type="first"/>
          <w:footerReference r:id="rId13" w:type="default"/>
          <w:pgSz w:w="11906" w:h="16838"/>
          <w:pgMar w:top="1440" w:right="1800" w:bottom="1440" w:left="1800" w:header="851" w:footer="992" w:gutter="0"/>
          <w:pgNumType w:fmt="upperRoman"/>
          <w:cols w:space="425" w:num="1"/>
          <w:titlePg/>
          <w:docGrid w:type="lines" w:linePitch="312" w:charSpace="0"/>
        </w:sectPr>
      </w:pPr>
    </w:p>
    <w:p>
      <w:pPr>
        <w:pStyle w:val="39"/>
        <w:spacing w:before="312" w:after="312"/>
        <w:rPr>
          <w:color w:val="000000" w:themeColor="text1"/>
          <w14:textFill>
            <w14:solidFill>
              <w14:schemeClr w14:val="tx1"/>
            </w14:solidFill>
          </w14:textFill>
        </w:rPr>
      </w:pPr>
      <w:bookmarkStart w:id="17" w:name="_Toc23039"/>
      <w:bookmarkStart w:id="18" w:name="_Toc87629845"/>
      <w:bookmarkStart w:id="19" w:name="_Toc27153"/>
      <w:bookmarkStart w:id="20" w:name="_Toc24718"/>
      <w:bookmarkStart w:id="21" w:name="_Toc17015"/>
      <w:bookmarkStart w:id="22" w:name="_Toc5363"/>
      <w:bookmarkStart w:id="23" w:name="_Toc89"/>
      <w:bookmarkStart w:id="24" w:name="_Toc29445"/>
      <w:bookmarkStart w:id="25" w:name="_Toc24579"/>
      <w:bookmarkStart w:id="26" w:name="_Toc32148"/>
      <w:r>
        <w:rPr>
          <w:color w:val="000000" w:themeColor="text1"/>
          <w14:textFill>
            <w14:solidFill>
              <w14:schemeClr w14:val="tx1"/>
            </w14:solidFill>
          </w14:textFill>
        </w:rPr>
        <w:t>总则</w:t>
      </w:r>
      <w:bookmarkEnd w:id="0"/>
      <w:bookmarkEnd w:id="1"/>
      <w:bookmarkEnd w:id="2"/>
      <w:bookmarkEnd w:id="17"/>
      <w:bookmarkEnd w:id="18"/>
      <w:bookmarkEnd w:id="19"/>
      <w:bookmarkEnd w:id="20"/>
      <w:bookmarkEnd w:id="21"/>
      <w:bookmarkEnd w:id="22"/>
      <w:bookmarkEnd w:id="23"/>
      <w:bookmarkEnd w:id="24"/>
      <w:bookmarkEnd w:id="25"/>
      <w:bookmarkEnd w:id="26"/>
    </w:p>
    <w:p>
      <w:pPr>
        <w:pStyle w:val="42"/>
        <w:numPr>
          <w:ilvl w:val="0"/>
          <w:numId w:val="4"/>
        </w:numPr>
        <w:rPr>
          <w:rFonts w:eastAsiaTheme="minorEastAsia"/>
          <w:color w:val="000000" w:themeColor="text1"/>
          <w:szCs w:val="21"/>
          <w14:textFill>
            <w14:solidFill>
              <w14:schemeClr w14:val="tx1"/>
            </w14:solidFill>
          </w14:textFill>
        </w:rPr>
      </w:pPr>
      <w:r>
        <w:rPr>
          <w:rFonts w:eastAsiaTheme="minorEastAsia"/>
          <w:color w:val="000000" w:themeColor="text1"/>
          <w14:textFill>
            <w14:solidFill>
              <w14:schemeClr w14:val="tx1"/>
            </w14:solidFill>
          </w14:textFill>
        </w:rPr>
        <w:t>为</w:t>
      </w:r>
      <w:r>
        <w:rPr>
          <w:rFonts w:hint="eastAsia" w:eastAsiaTheme="minorEastAsia"/>
          <w:color w:val="000000" w:themeColor="text1"/>
          <w14:textFill>
            <w14:solidFill>
              <w14:schemeClr w14:val="tx1"/>
            </w14:solidFill>
          </w14:textFill>
        </w:rPr>
        <w:t>统一平板-剪力墙</w:t>
      </w:r>
      <w:r>
        <w:rPr>
          <w:rFonts w:eastAsiaTheme="minorEastAsia"/>
          <w:color w:val="000000" w:themeColor="text1"/>
          <w14:textFill>
            <w14:solidFill>
              <w14:schemeClr w14:val="tx1"/>
            </w14:solidFill>
          </w14:textFill>
        </w:rPr>
        <w:t>结构</w:t>
      </w:r>
      <w:r>
        <w:rPr>
          <w:rFonts w:hint="eastAsia" w:eastAsiaTheme="minorEastAsia"/>
          <w:color w:val="000000" w:themeColor="text1"/>
          <w14:textFill>
            <w14:solidFill>
              <w14:schemeClr w14:val="tx1"/>
            </w14:solidFill>
          </w14:textFill>
        </w:rPr>
        <w:t>的设计、施工及验收等标准</w:t>
      </w:r>
      <w:r>
        <w:rPr>
          <w:rFonts w:eastAsiaTheme="minorEastAsia"/>
          <w:color w:val="000000" w:themeColor="text1"/>
          <w14:textFill>
            <w14:solidFill>
              <w14:schemeClr w14:val="tx1"/>
            </w14:solidFill>
          </w14:textFill>
        </w:rPr>
        <w:t>，做到安全适用、技术先进、经济合理、保证质量，制定本规程。</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除结构外边缘、楼梯间，电梯间的连梁和框架梁外，其余部位水平构件以平板为主，可以提供室内灵活使用的大空间；楼板较厚可以提供优异的隔声性能；从而为用户提供更高品质的住宅建筑。同时，现场施工可采用大模板、飞（台）模等工具式模板做法等做法，减少梁模板支设和钢筋绑扎工作，提高施工效率。</w:t>
      </w:r>
    </w:p>
    <w:p>
      <w:pPr>
        <w:pStyle w:val="65"/>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由于楼板厚度较大，通常在160mm以上，和剪力墙的厚度接近，且结构内部楼面梁较少，因此楼板除了承载竖向荷载、协调面内变形外，局部会承担面外弯矩，并对结构抗侧刚度产生贡献。因此，从结构整体分析、构件和节点设计方面，和普通的采用梁板体系楼面的剪力墙结构有区别。</w:t>
      </w:r>
    </w:p>
    <w:p>
      <w:pPr>
        <w:pStyle w:val="65"/>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编制组通过理论分析、试验研究、试点工程应用等工作，总结了平板-剪力墙结构设计、施工及验收的主要技术要求，编制了本标准，供广大设计、施工单位参考使用。</w:t>
      </w:r>
    </w:p>
    <w:p>
      <w:pPr>
        <w:pStyle w:val="42"/>
        <w:numPr>
          <w:ilvl w:val="0"/>
          <w:numId w:val="4"/>
        </w:numPr>
        <w:rPr>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本规程适用于抗震设防烈度不超过8度的</w:t>
      </w:r>
      <w:r>
        <w:rPr>
          <w:rFonts w:hint="eastAsia" w:eastAsiaTheme="minorEastAsia"/>
          <w:color w:val="000000" w:themeColor="text1"/>
          <w14:textFill>
            <w14:solidFill>
              <w14:schemeClr w14:val="tx1"/>
            </w14:solidFill>
          </w14:textFill>
        </w:rPr>
        <w:t>广东省</w:t>
      </w:r>
      <w:r>
        <w:rPr>
          <w:rFonts w:eastAsiaTheme="minorEastAsia"/>
          <w:color w:val="000000" w:themeColor="text1"/>
          <w14:textFill>
            <w14:solidFill>
              <w14:schemeClr w14:val="tx1"/>
            </w14:solidFill>
          </w14:textFill>
        </w:rPr>
        <w:t>民用</w:t>
      </w:r>
      <w:r>
        <w:rPr>
          <w:rFonts w:hint="eastAsia" w:eastAsiaTheme="minorEastAsia"/>
          <w:color w:val="000000" w:themeColor="text1"/>
          <w14:textFill>
            <w14:solidFill>
              <w14:schemeClr w14:val="tx1"/>
            </w14:solidFill>
          </w14:textFill>
        </w:rPr>
        <w:t>居住</w:t>
      </w:r>
      <w:r>
        <w:rPr>
          <w:rFonts w:eastAsiaTheme="minorEastAsia"/>
          <w:color w:val="000000" w:themeColor="text1"/>
          <w14:textFill>
            <w14:solidFill>
              <w14:schemeClr w14:val="tx1"/>
            </w14:solidFill>
          </w14:textFill>
        </w:rPr>
        <w:t>建筑</w:t>
      </w:r>
      <w:r>
        <w:rPr>
          <w:rFonts w:hint="eastAsia" w:eastAsiaTheme="minorEastAsia"/>
          <w:color w:val="000000" w:themeColor="text1"/>
          <w14:textFill>
            <w14:solidFill>
              <w14:schemeClr w14:val="tx1"/>
            </w14:solidFill>
          </w14:textFill>
        </w:rPr>
        <w:t>中平板-剪力墙</w:t>
      </w:r>
      <w:r>
        <w:rPr>
          <w:rFonts w:eastAsiaTheme="minorEastAsia"/>
          <w:color w:val="000000" w:themeColor="text1"/>
          <w14:textFill>
            <w14:solidFill>
              <w14:schemeClr w14:val="tx1"/>
            </w14:solidFill>
          </w14:textFill>
        </w:rPr>
        <w:t>结构的设计、施工及验收</w:t>
      </w:r>
      <w:r>
        <w:rPr>
          <w:rFonts w:hint="eastAsia" w:eastAsiaTheme="minorEastAsia"/>
          <w:color w:val="000000" w:themeColor="text1"/>
          <w14:textFill>
            <w14:solidFill>
              <w14:schemeClr w14:val="tx1"/>
            </w14:solidFill>
          </w14:textFill>
        </w:rPr>
        <w:t>。</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广东省范围内抗震设防烈度为6度~8度，板跨度一般楼板短向跨度不宜小于6.0m，且不宜大于9.0m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板厚在</w:t>
      </w:r>
      <w:r>
        <w:rPr>
          <w:color w:val="000000" w:themeColor="text1"/>
          <w14:textFill>
            <w14:solidFill>
              <w14:schemeClr w14:val="tx1"/>
            </w14:solidFill>
          </w14:textFill>
        </w:rPr>
        <w:t>160mm</w:t>
      </w:r>
      <w:r>
        <w:rPr>
          <w:rFonts w:hint="eastAsia"/>
          <w:color w:val="000000" w:themeColor="text1"/>
          <w14:textFill>
            <w14:solidFill>
              <w14:schemeClr w14:val="tx1"/>
            </w14:solidFill>
          </w14:textFill>
        </w:rPr>
        <w:t>以上民用居住建筑均可采用平板-剪力墙结构。</w:t>
      </w:r>
    </w:p>
    <w:p>
      <w:pPr>
        <w:pStyle w:val="42"/>
        <w:numPr>
          <w:ilvl w:val="0"/>
          <w:numId w:val="4"/>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的设计、施工及验收除应符合本规程外，尚应符合《混凝土结构设计规范》GB50010、《混凝土结构工程施工规范》GB50666、《混凝土结构工程施工质量验收规范》GB50204、《高层建筑混凝土结构技术规程》J</w:t>
      </w:r>
      <w:r>
        <w:rPr>
          <w:color w:val="000000" w:themeColor="text1"/>
          <w14:textFill>
            <w14:solidFill>
              <w14:schemeClr w14:val="tx1"/>
            </w14:solidFill>
          </w14:textFill>
        </w:rPr>
        <w:t>GJ3</w:t>
      </w:r>
      <w:r>
        <w:rPr>
          <w:rFonts w:hint="eastAsia"/>
          <w:color w:val="000000" w:themeColor="text1"/>
          <w14:textFill>
            <w14:solidFill>
              <w14:schemeClr w14:val="tx1"/>
            </w14:solidFill>
          </w14:textFill>
        </w:rPr>
        <w:t>等现行国家标准的规定。平板-剪力墙结构的设计、施工及验收也可以按广东省标准《高层建筑混凝土结构技术规程》D</w:t>
      </w:r>
      <w:r>
        <w:rPr>
          <w:color w:val="000000" w:themeColor="text1"/>
          <w14:textFill>
            <w14:solidFill>
              <w14:schemeClr w14:val="tx1"/>
            </w14:solidFill>
          </w14:textFill>
        </w:rPr>
        <w:t>BJ/T15-92</w:t>
      </w:r>
      <w:r>
        <w:rPr>
          <w:rFonts w:hint="eastAsia"/>
          <w:color w:val="000000" w:themeColor="text1"/>
          <w14:textFill>
            <w14:solidFill>
              <w14:schemeClr w14:val="tx1"/>
            </w14:solidFill>
          </w14:textFill>
        </w:rPr>
        <w:t>等地方标准执行，但应在设计中考虑楼板的抗侧力刚度。</w:t>
      </w:r>
    </w:p>
    <w:p>
      <w:pPr>
        <w:pStyle w:val="65"/>
        <w:ind w:firstLine="480"/>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标准中的平板-剪力墙结构按国家及行业标准来设计、施工及验收，本标准中主要根据结构特点，给出了设计、施工及验收中需遵守的补充规定或者对国家现行标准中的规定进行细化。平板-剪力墙结构如按广东省地方标准执行，本标准中的相关规定应符合广东省地方标准相关规定。</w:t>
      </w:r>
    </w:p>
    <w:p>
      <w:pPr>
        <w:ind w:firstLine="480"/>
        <w:rPr>
          <w:color w:val="000000" w:themeColor="text1"/>
          <w14:textFill>
            <w14:solidFill>
              <w14:schemeClr w14:val="tx1"/>
            </w14:solidFill>
          </w14:textFill>
        </w:rPr>
        <w:sectPr>
          <w:footerReference r:id="rId16" w:type="first"/>
          <w:footerReference r:id="rId15" w:type="default"/>
          <w:pgSz w:w="11906" w:h="16838"/>
          <w:pgMar w:top="1440" w:right="1800" w:bottom="1440" w:left="1800" w:header="851" w:footer="992" w:gutter="0"/>
          <w:pgNumType w:start="1"/>
          <w:cols w:space="425" w:num="1"/>
          <w:titlePg/>
          <w:docGrid w:type="lines" w:linePitch="312" w:charSpace="0"/>
        </w:sectPr>
      </w:pPr>
    </w:p>
    <w:p>
      <w:pPr>
        <w:pStyle w:val="39"/>
        <w:spacing w:before="312" w:after="312"/>
        <w:rPr>
          <w:color w:val="000000" w:themeColor="text1"/>
          <w14:textFill>
            <w14:solidFill>
              <w14:schemeClr w14:val="tx1"/>
            </w14:solidFill>
          </w14:textFill>
        </w:rPr>
      </w:pPr>
      <w:bookmarkStart w:id="27" w:name="_Toc31724"/>
      <w:bookmarkStart w:id="28" w:name="_Toc31412"/>
      <w:bookmarkStart w:id="29" w:name="_Toc87629846"/>
      <w:bookmarkStart w:id="30" w:name="_Toc4232"/>
      <w:bookmarkStart w:id="31" w:name="_Toc30931"/>
      <w:bookmarkStart w:id="32" w:name="_Toc23715"/>
      <w:bookmarkStart w:id="33" w:name="_Toc8394"/>
      <w:bookmarkStart w:id="34" w:name="_Toc23662"/>
      <w:bookmarkStart w:id="35" w:name="_Toc22985"/>
      <w:bookmarkStart w:id="36" w:name="_Toc819"/>
      <w:r>
        <w:rPr>
          <w:rFonts w:hint="eastAsia"/>
          <w:color w:val="000000" w:themeColor="text1"/>
          <w14:textFill>
            <w14:solidFill>
              <w14:schemeClr w14:val="tx1"/>
            </w14:solidFill>
          </w14:textFill>
        </w:rPr>
        <w:t>术语</w:t>
      </w:r>
      <w:bookmarkEnd w:id="27"/>
      <w:bookmarkEnd w:id="28"/>
      <w:bookmarkEnd w:id="29"/>
      <w:bookmarkStart w:id="37" w:name="_Toc24178"/>
      <w:bookmarkStart w:id="38" w:name="_Toc2905"/>
    </w:p>
    <w:p>
      <w:pPr>
        <w:pStyle w:val="54"/>
        <w:numPr>
          <w:ilvl w:val="0"/>
          <w:numId w:val="5"/>
        </w:numPr>
        <w:spacing w:before="312" w:beforeLines="100" w:after="312" w:afterLines="100"/>
        <w:jc w:val="center"/>
        <w:outlineLvl w:val="1"/>
        <w:rPr>
          <w:b/>
          <w:vanish/>
          <w:color w:val="000000" w:themeColor="text1"/>
          <w:szCs w:val="24"/>
          <w14:textFill>
            <w14:solidFill>
              <w14:schemeClr w14:val="tx1"/>
            </w14:solidFill>
          </w14:textFill>
        </w:rPr>
      </w:pPr>
      <w:bookmarkStart w:id="39" w:name="_Toc87359619"/>
      <w:bookmarkEnd w:id="39"/>
      <w:bookmarkStart w:id="40" w:name="_Toc87629847"/>
      <w:bookmarkEnd w:id="40"/>
      <w:bookmarkStart w:id="41" w:name="_Toc497744673"/>
    </w:p>
    <w:p>
      <w:pPr>
        <w:pStyle w:val="54"/>
        <w:numPr>
          <w:ilvl w:val="0"/>
          <w:numId w:val="5"/>
        </w:numPr>
        <w:spacing w:before="312" w:beforeLines="100" w:after="312" w:afterLines="100"/>
        <w:jc w:val="center"/>
        <w:outlineLvl w:val="1"/>
        <w:rPr>
          <w:b/>
          <w:vanish/>
          <w:color w:val="000000" w:themeColor="text1"/>
          <w:szCs w:val="24"/>
          <w14:textFill>
            <w14:solidFill>
              <w14:schemeClr w14:val="tx1"/>
            </w14:solidFill>
          </w14:textFill>
        </w:rPr>
      </w:pPr>
      <w:bookmarkStart w:id="42" w:name="_Toc87359620"/>
      <w:bookmarkEnd w:id="42"/>
      <w:bookmarkStart w:id="43" w:name="_Toc87629848"/>
      <w:bookmarkEnd w:id="43"/>
    </w:p>
    <w:bookmarkEnd w:id="3"/>
    <w:bookmarkEnd w:id="4"/>
    <w:bookmarkEnd w:id="30"/>
    <w:bookmarkEnd w:id="31"/>
    <w:bookmarkEnd w:id="32"/>
    <w:bookmarkEnd w:id="33"/>
    <w:bookmarkEnd w:id="34"/>
    <w:bookmarkEnd w:id="35"/>
    <w:bookmarkEnd w:id="36"/>
    <w:bookmarkEnd w:id="37"/>
    <w:bookmarkEnd w:id="38"/>
    <w:bookmarkEnd w:id="41"/>
    <w:p>
      <w:pPr>
        <w:pStyle w:val="42"/>
        <w:numPr>
          <w:ilvl w:val="0"/>
          <w:numId w:val="6"/>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w:t>
      </w:r>
      <w:r>
        <w:rPr>
          <w:color w:val="000000" w:themeColor="text1"/>
          <w14:textFill>
            <w14:solidFill>
              <w14:schemeClr w14:val="tx1"/>
            </w14:solidFill>
          </w14:textFill>
        </w:rPr>
        <w:t xml:space="preserve">shear wall structure with span flat slab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除结构外边缘、楼梯间、电梯间的连梁和框架梁外，其余部位水平构件以厚度不小于160mm的平板为主且平板参与抗侧力的钢筋混凝土剪力墙结构，简称平板-剪力墙结构。 </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剪力墙结构中，除结构外边缘、核心筒部位的连梁和框架梁外，原则上其余部位水平构件以厚板为主，板跨度一般楼板短向跨度不宜小于6.0m，且不宜大于9.0m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板厚不小于</w:t>
      </w:r>
      <w:r>
        <w:rPr>
          <w:color w:val="000000" w:themeColor="text1"/>
          <w14:textFill>
            <w14:solidFill>
              <w14:schemeClr w14:val="tx1"/>
            </w14:solidFill>
          </w14:textFill>
        </w:rPr>
        <w:t>160mm</w:t>
      </w:r>
      <w:r>
        <w:rPr>
          <w:rFonts w:hint="eastAsia"/>
          <w:color w:val="000000" w:themeColor="text1"/>
          <w14:textFill>
            <w14:solidFill>
              <w14:schemeClr w14:val="tx1"/>
            </w14:solidFill>
          </w14:textFill>
        </w:rPr>
        <w:t>。</w:t>
      </w:r>
    </w:p>
    <w:p>
      <w:pPr>
        <w:pStyle w:val="42"/>
        <w:numPr>
          <w:ilvl w:val="0"/>
          <w:numId w:val="6"/>
        </w:numPr>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 welded steel fabric</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具有相同或不同直径的纵向和横向钢筋分别以一定间距垂直排列，全部交叉点均用电阻点焊焊在一起的钢筋网片，简称焊接网。</w:t>
      </w:r>
    </w:p>
    <w:p>
      <w:pPr>
        <w:pStyle w:val="39"/>
        <w:spacing w:before="312" w:after="312"/>
        <w:rPr>
          <w:color w:val="000000" w:themeColor="text1"/>
          <w14:textFill>
            <w14:solidFill>
              <w14:schemeClr w14:val="tx1"/>
            </w14:solidFill>
          </w14:textFill>
        </w:rPr>
      </w:pPr>
      <w:bookmarkStart w:id="44" w:name="_Toc9823"/>
      <w:bookmarkStart w:id="45" w:name="_Toc16926"/>
      <w:bookmarkStart w:id="46" w:name="_Toc3241"/>
      <w:bookmarkStart w:id="47" w:name="_Toc703"/>
      <w:bookmarkStart w:id="48" w:name="_Toc6820"/>
      <w:bookmarkStart w:id="49" w:name="_Toc87629850"/>
      <w:bookmarkStart w:id="50" w:name="_Toc25477"/>
      <w:bookmarkStart w:id="51" w:name="_Toc8255"/>
      <w:bookmarkStart w:id="52" w:name="_Toc22587"/>
      <w:bookmarkStart w:id="53" w:name="_Toc21191"/>
      <w:bookmarkStart w:id="54" w:name="_Toc17871"/>
      <w:bookmarkStart w:id="55" w:name="_Toc2692"/>
      <w:r>
        <w:rPr>
          <w:rFonts w:hint="eastAsia"/>
          <w:color w:val="000000" w:themeColor="text1"/>
          <w14:textFill>
            <w14:solidFill>
              <w14:schemeClr w14:val="tx1"/>
            </w14:solidFill>
          </w14:textFill>
        </w:rPr>
        <w:t>基本规定</w:t>
      </w:r>
      <w:bookmarkEnd w:id="44"/>
      <w:bookmarkEnd w:id="45"/>
      <w:bookmarkEnd w:id="46"/>
      <w:bookmarkEnd w:id="47"/>
      <w:bookmarkEnd w:id="48"/>
      <w:bookmarkEnd w:id="49"/>
      <w:bookmarkEnd w:id="50"/>
      <w:bookmarkEnd w:id="51"/>
      <w:bookmarkEnd w:id="52"/>
      <w:bookmarkEnd w:id="53"/>
      <w:bookmarkEnd w:id="54"/>
      <w:bookmarkEnd w:id="55"/>
      <w:bookmarkStart w:id="56" w:name="_Toc9697"/>
      <w:bookmarkStart w:id="57" w:name="_Toc2035"/>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"3 Basic Requirements" \l 1</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56"/>
      <w:bookmarkEnd w:id="57"/>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在平板-剪力墙结构的建筑设计中，应进行结构与设备管线、装饰和装修等的集成设计，并应加强建设、设计、施工等各方之间的协同。</w:t>
      </w:r>
    </w:p>
    <w:p>
      <w:pPr>
        <w:pStyle w:val="65"/>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本条强调了平板-剪力墙结构的建筑设计应考虑各专业的集成，并且各单位需要协同配合。此项工作对建筑功能和结构布置的合理性，以及对工程造价都会产生较大的影响，是十分重要的。</w:t>
      </w:r>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在平板-剪力墙结构布置中，除楼梯间、电梯间区域以外的楼板均宜采用厚板，楼板短向跨度不宜小于6.0m，且不宜大于9.0m。</w:t>
      </w:r>
    </w:p>
    <w:p>
      <w:pPr>
        <w:pStyle w:val="65"/>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考虑到住宅户型的套内尺寸一般在6.0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~9.0m范围，本条根据该范围给出了大跨度平板-剪力墙结构中楼板的跨度要求。当楼板跨度在6.0m以下时，可按一般剪力墙结构进行设计；当楼板跨度在6.0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~9.0m之间时，由于楼板厚度较大，对剪力墙和连梁的受力有影响，设计需要满足本规程的有关要求。当跨度大于9m时，板厚过大，需要进行专门设计。</w:t>
      </w:r>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平板-剪力墙结构应按现行国家标准《建筑工程抗震设防分类标准》GB 50223确定抗震设防类别，其抗震等级应符合现行国家标准《建筑抗震设计规范》GB 50011和《高层建筑混凝土结构技术规程》JGJ3中关于剪力墙结构的有关规定。</w:t>
      </w:r>
    </w:p>
    <w:p>
      <w:pPr>
        <w:pStyle w:val="65"/>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根据多个项目案例的小震、大震分析结果发现，虽然厚板一定程度的参与侧向受力，但是仅对结构整体抗侧刚度略有提高，并对局部构件和连接节点的损伤有一定影响；结构整体的抗侧力体系仍主要由剪力墙与连梁组成，结构整体屈服模式及构件的破坏形态与普通剪力墙结构基本一致。故其抗震等级应按剪力墙结构来确定。</w:t>
      </w:r>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平板-剪力墙结构构件及其连接节点应构造可靠、受力明确，并应满足安全性、适用性和耐久性等要求。</w:t>
      </w:r>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平板-剪力墙结构的耐久性设计应根据设计使用年限和环境类别确定，并应符合现行国家标准《混凝土结构设计规范》GB 50010的有关规定。</w:t>
      </w:r>
    </w:p>
    <w:p>
      <w:pPr>
        <w:pStyle w:val="42"/>
        <w:numPr>
          <w:ilvl w:val="0"/>
          <w:numId w:val="7"/>
        </w:numPr>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平板-剪力墙结构的混凝土、钢筋和预埋件等材料应符合现行国家标准《混凝土结构设计规范》</w:t>
      </w:r>
      <w:r>
        <w:rPr>
          <w:rFonts w:hint="eastAsia"/>
          <w:color w:val="000000" w:themeColor="text1"/>
          <w14:textFill>
            <w14:solidFill>
              <w14:schemeClr w14:val="tx1"/>
            </w14:solidFill>
          </w14:textFill>
        </w:rPr>
        <w:t>GB 50010的有关规定。</w:t>
      </w:r>
    </w:p>
    <w:p>
      <w:pPr>
        <w:pStyle w:val="42"/>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平板-剪力墙结构宜采用钢筋焊接网、免拆模板或高精度模板等工业化的建造方式。</w:t>
      </w:r>
    </w:p>
    <w:p>
      <w:pPr>
        <w:pStyle w:val="65"/>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为满足装配式建筑的实施要求，提高施工效率，提升建筑品质，推荐在平板-剪力墙结构中应用钢筋焊接网、免拆模板或高精度模板等工业化的建造方式。</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sectPr>
          <w:footerReference r:id="rId18" w:type="first"/>
          <w:footerReference r:id="rId17" w:type="default"/>
          <w:pgSz w:w="11906" w:h="16838"/>
          <w:pgMar w:top="1440" w:right="1800" w:bottom="1440" w:left="1800" w:header="851" w:footer="992" w:gutter="0"/>
          <w:cols w:space="425" w:num="1"/>
          <w:titlePg/>
          <w:docGrid w:type="lines" w:linePitch="312" w:charSpace="0"/>
        </w:sectPr>
      </w:pPr>
    </w:p>
    <w:p>
      <w:pPr>
        <w:pStyle w:val="39"/>
        <w:spacing w:before="312" w:after="312"/>
        <w:rPr>
          <w:color w:val="000000" w:themeColor="text1"/>
          <w14:textFill>
            <w14:solidFill>
              <w14:schemeClr w14:val="tx1"/>
            </w14:solidFill>
          </w14:textFill>
        </w:rPr>
      </w:pPr>
      <w:bookmarkStart w:id="58" w:name="_Toc31458"/>
      <w:bookmarkStart w:id="59" w:name="_Toc9679"/>
      <w:bookmarkStart w:id="60" w:name="_Toc17791"/>
      <w:bookmarkStart w:id="61" w:name="_Toc29743"/>
      <w:bookmarkStart w:id="62" w:name="_Toc87629851"/>
      <w:bookmarkStart w:id="63" w:name="_Toc18819"/>
      <w:bookmarkStart w:id="64" w:name="_Toc20058"/>
      <w:bookmarkStart w:id="65" w:name="_Toc637"/>
      <w:bookmarkStart w:id="66" w:name="_Toc20983"/>
      <w:bookmarkStart w:id="67" w:name="_Toc136"/>
      <w:bookmarkStart w:id="68" w:name="_Toc437556868"/>
      <w:bookmarkStart w:id="69" w:name="_Toc482387634"/>
      <w:bookmarkStart w:id="70" w:name="_Toc437556872"/>
      <w:bookmarkStart w:id="71" w:name="_Toc482387637"/>
      <w:bookmarkStart w:id="72" w:name="_Toc3083"/>
      <w:bookmarkStart w:id="73" w:name="_Toc446929385"/>
      <w:bookmarkStart w:id="74" w:name="_Toc27064"/>
      <w:r>
        <w:rPr>
          <w:rFonts w:hint="eastAsia"/>
          <w:color w:val="000000" w:themeColor="text1"/>
          <w14:textFill>
            <w14:solidFill>
              <w14:schemeClr w14:val="tx1"/>
            </w14:solidFill>
          </w14:textFill>
        </w:rPr>
        <w:t>结构设计</w:t>
      </w:r>
      <w:bookmarkEnd w:id="58"/>
      <w:bookmarkEnd w:id="59"/>
      <w:bookmarkEnd w:id="60"/>
      <w:bookmarkEnd w:id="61"/>
      <w:bookmarkEnd w:id="62"/>
      <w:bookmarkEnd w:id="63"/>
      <w:bookmarkEnd w:id="64"/>
      <w:bookmarkEnd w:id="65"/>
      <w:bookmarkEnd w:id="66"/>
      <w:bookmarkEnd w:id="67"/>
      <w:bookmarkStart w:id="75" w:name="_Toc24975"/>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"4 Structural Design" \l 1</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75"/>
    </w:p>
    <w:p>
      <w:pPr>
        <w:pStyle w:val="41"/>
        <w:spacing w:before="312" w:after="312"/>
        <w:ind w:left="0"/>
        <w:rPr>
          <w:color w:val="000000" w:themeColor="text1"/>
          <w14:textFill>
            <w14:solidFill>
              <w14:schemeClr w14:val="tx1"/>
            </w14:solidFill>
          </w14:textFill>
        </w:rPr>
      </w:pPr>
      <w:bookmarkStart w:id="76" w:name="_Toc87629852"/>
      <w:bookmarkStart w:id="77" w:name="_Toc16975"/>
      <w:bookmarkStart w:id="78" w:name="_Toc11541"/>
      <w:bookmarkStart w:id="79" w:name="_Toc546"/>
      <w:bookmarkStart w:id="80" w:name="_Toc16673"/>
      <w:bookmarkStart w:id="81" w:name="_Toc29481"/>
      <w:bookmarkStart w:id="82" w:name="_Toc25928"/>
      <w:bookmarkStart w:id="83" w:name="_Toc23257"/>
      <w:bookmarkStart w:id="84" w:name="_Toc21134"/>
      <w:bookmarkStart w:id="85" w:name="_Toc28795"/>
      <w:r>
        <w:rPr>
          <w:rFonts w:hint="eastAsia"/>
          <w:color w:val="000000" w:themeColor="text1"/>
          <w14:textFill>
            <w14:solidFill>
              <w14:schemeClr w14:val="tx1"/>
            </w14:solidFill>
          </w14:textFill>
        </w:rPr>
        <w:t>一般规定</w:t>
      </w:r>
      <w:bookmarkEnd w:id="76"/>
      <w:bookmarkEnd w:id="77"/>
      <w:bookmarkEnd w:id="78"/>
      <w:bookmarkEnd w:id="79"/>
      <w:bookmarkEnd w:id="80"/>
      <w:bookmarkEnd w:id="81"/>
      <w:bookmarkEnd w:id="82"/>
      <w:bookmarkEnd w:id="83"/>
      <w:bookmarkEnd w:id="84"/>
      <w:bookmarkEnd w:id="85"/>
      <w:bookmarkStart w:id="86" w:name="_Toc30117"/>
      <w:bookmarkStart w:id="87" w:name="_Toc28460"/>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"4.1 General Requirements" \l 2</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86"/>
      <w:bookmarkEnd w:id="87"/>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w:t>
      </w:r>
      <w:r>
        <w:rPr>
          <w:color w:val="000000" w:themeColor="text1"/>
          <w14:textFill>
            <w14:solidFill>
              <w14:schemeClr w14:val="tx1"/>
            </w14:solidFill>
          </w14:textFill>
        </w:rPr>
        <w:t>房屋的最大适用高度应符合表</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的规定</w:t>
      </w:r>
      <w:r>
        <w:rPr>
          <w:rFonts w:hint="eastAsia"/>
          <w:color w:val="000000" w:themeColor="text1"/>
          <w14:textFill>
            <w14:solidFill>
              <w14:schemeClr w14:val="tx1"/>
            </w14:solidFill>
          </w14:textFill>
        </w:rPr>
        <w:t>。</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表4.1.1  大跨度平板-剪力墙结构的最大适用高度（m）</w:t>
      </w:r>
    </w:p>
    <w:tbl>
      <w:tblPr>
        <w:tblStyle w:val="30"/>
        <w:tblW w:w="67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728"/>
        <w:gridCol w:w="1661"/>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728" w:type="dxa"/>
            <w:gridSpan w:val="4"/>
            <w:tcBorders>
              <w:tl2br w:val="nil"/>
              <w:tr2bl w:val="nil"/>
            </w:tcBorders>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抗震设防烈度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710"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度</w:t>
            </w:r>
          </w:p>
        </w:tc>
        <w:tc>
          <w:tcPr>
            <w:tcW w:w="1728"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度</w:t>
            </w:r>
          </w:p>
        </w:tc>
        <w:tc>
          <w:tcPr>
            <w:tcW w:w="1661"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度（0.2g）</w:t>
            </w:r>
          </w:p>
        </w:tc>
        <w:tc>
          <w:tcPr>
            <w:tcW w:w="1629"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度（0.3g）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710"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0</w:t>
            </w:r>
          </w:p>
        </w:tc>
        <w:tc>
          <w:tcPr>
            <w:tcW w:w="1728" w:type="dxa"/>
            <w:tcBorders>
              <w:tl2br w:val="nil"/>
              <w:tr2bl w:val="nil"/>
            </w:tcBorders>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w:t>
            </w:r>
          </w:p>
        </w:tc>
        <w:tc>
          <w:tcPr>
            <w:tcW w:w="1661" w:type="dxa"/>
            <w:tcBorders>
              <w:tl2br w:val="nil"/>
              <w:tr2bl w:val="nil"/>
            </w:tcBorders>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10</w:t>
            </w:r>
            <w:r>
              <w:rPr>
                <w:color w:val="000000" w:themeColor="text1"/>
                <w14:textFill>
                  <w14:solidFill>
                    <w14:schemeClr w14:val="tx1"/>
                  </w14:solidFill>
                </w14:textFill>
              </w:rPr>
              <w:t>0</w:t>
            </w:r>
          </w:p>
        </w:tc>
        <w:tc>
          <w:tcPr>
            <w:tcW w:w="1629" w:type="dxa"/>
            <w:tcBorders>
              <w:tl2br w:val="nil"/>
              <w:tr2bl w:val="nil"/>
            </w:tcBorders>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r>
    </w:tbl>
    <w:p>
      <w:pPr>
        <w:widowControl/>
        <w:spacing w:line="324" w:lineRule="auto"/>
        <w:ind w:firstLine="36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注：房屋高度指室外地面到主要屋面板板顶的高度，不包括局部突出屋顶的部分。</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根据多个项目案例的小震、大震分析结果发现，虽然厚板一定程度的参与侧向受力，但是仅对结构抗侧刚度略有提高，并对局部构件的破坏模式有一定影响；结构的抗侧力体系主要由剪力墙与连梁组成，其破坏形态与剪力墙结构基本一致。故最大适用高度应按照《建筑抗震设计规范》GB50011中抗震墙结构来确定。当超出适用高度范围时，应根据相关规定进行性能化设计及抗震超限审查。</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w:t>
      </w:r>
      <w:bookmarkStart w:id="88" w:name="_Toc464907997"/>
      <w:r>
        <w:rPr>
          <w:color w:val="000000" w:themeColor="text1"/>
          <w14:textFill>
            <w14:solidFill>
              <w14:schemeClr w14:val="tx1"/>
            </w14:solidFill>
          </w14:textFill>
        </w:rPr>
        <w:t>的高宽比不宜超过表</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2中的规定</w:t>
      </w:r>
      <w:r>
        <w:rPr>
          <w:color w:val="000000" w:themeColor="text1"/>
          <w14:textFill>
            <w14:solidFill>
              <w14:schemeClr w14:val="tx1"/>
            </w14:solidFill>
          </w14:textFill>
        </w:rPr>
        <w:t>。</w:t>
      </w:r>
    </w:p>
    <w:p>
      <w:pPr>
        <w:pStyle w:val="45"/>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房屋最大高宽比</w:t>
      </w:r>
    </w:p>
    <w:tbl>
      <w:tblPr>
        <w:tblStyle w:val="30"/>
        <w:tblW w:w="62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068"/>
        <w:gridCol w:w="20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0" w:type="dxa"/>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抗震设防</w:t>
            </w:r>
            <w:r>
              <w:rPr>
                <w:color w:val="000000" w:themeColor="text1"/>
                <w14:textFill>
                  <w14:solidFill>
                    <w14:schemeClr w14:val="tx1"/>
                  </w14:solidFill>
                </w14:textFill>
              </w:rPr>
              <w:t>烈度</w:t>
            </w:r>
          </w:p>
        </w:tc>
        <w:tc>
          <w:tcPr>
            <w:tcW w:w="2068" w:type="dxa"/>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度</w:t>
            </w:r>
          </w:p>
        </w:tc>
        <w:tc>
          <w:tcPr>
            <w:tcW w:w="2069" w:type="dxa"/>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0" w:type="dxa"/>
            <w:vAlign w:val="center"/>
          </w:tcPr>
          <w:p>
            <w:pPr>
              <w:pStyle w:val="47"/>
              <w:rPr>
                <w:color w:val="000000" w:themeColor="text1"/>
                <w14:textFill>
                  <w14:solidFill>
                    <w14:schemeClr w14:val="tx1"/>
                  </w14:solidFill>
                </w14:textFill>
              </w:rPr>
            </w:pPr>
            <w:r>
              <w:rPr>
                <w:color w:val="000000" w:themeColor="text1"/>
                <w14:textFill>
                  <w14:solidFill>
                    <w14:schemeClr w14:val="tx1"/>
                  </w14:solidFill>
                </w14:textFill>
              </w:rPr>
              <w:t>最大高宽比</w:t>
            </w:r>
          </w:p>
        </w:tc>
        <w:tc>
          <w:tcPr>
            <w:tcW w:w="2068" w:type="dxa"/>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2069" w:type="dxa"/>
            <w:vAlign w:val="center"/>
          </w:tcPr>
          <w:p>
            <w:pPr>
              <w:pStyle w:val="47"/>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r>
      <w:bookmarkEnd w:id="88"/>
    </w:tbl>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高宽比按照《高层建筑混凝土结构技术规程》JGJ3中规定的剪力墙结构的最大高宽比来确定。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平板-剪力墙结构布置应满足下列要求</w:t>
      </w:r>
      <w:r>
        <w:rPr>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结构平面形状宜简单、规则，质量和刚度分布宜均匀。不应采用严重不规则的平面布置；</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结构侧向刚度沿竖向宜下大上小，逐渐均匀变化，避免侧向刚度和承载力突变；</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不宜采用楼板大开洞或楼板局部不连续的结构方案；</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不宜采用楼板错层的结构方案。</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在满足现行国家标准《建筑抗震设计规范》GB 50011和《高层建筑混凝土结构技术规程》JGJ3规定的剪力墙结构平面布置要求的基础上，平板-剪力墙结构由于楼板跨度较大，板上大开洞将导致楼板有较大削弱，楼板可能产生显著的面内变形，不利于楼板受力；另外，由于楼板厚度较大，楼板具有一定的面外刚度，如采用楼板错层布置将导致该位置剪力墙面外弯矩和剪力较大，易形成类似短柱的受力形态，墙的抗震延性较差。</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平板-剪力墙结构中，构件</w:t>
      </w:r>
      <w:r>
        <w:rPr>
          <w:color w:val="000000" w:themeColor="text1"/>
          <w14:textFill>
            <w14:solidFill>
              <w14:schemeClr w14:val="tx1"/>
            </w14:solidFill>
          </w14:textFill>
        </w:rPr>
        <w:t>布置应符合</w:t>
      </w:r>
      <w:r>
        <w:rPr>
          <w:rFonts w:hint="eastAsia"/>
          <w:color w:val="000000" w:themeColor="text1"/>
          <w14:textFill>
            <w14:solidFill>
              <w14:schemeClr w14:val="tx1"/>
            </w14:solidFill>
          </w14:textFill>
        </w:rPr>
        <w:t>下列规定</w:t>
      </w:r>
      <w:r>
        <w:rPr>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剪力墙宜沿两个主轴方向或其他方向双向布置，不应采用仅单向有墙的结构布置。</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剪力墙宜自下至上连续布置，避免侧向刚度和承载力沿竖向突变。</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剪力墙应沿结构外围、楼梯间及电梯间周边布置，门窗洞口宜上下对齐，形成明确的墙肢和连梁。</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楼面梁宜减少设置，除楼梯间、电梯间以外的区域宜采用厚板，居住建筑户内可不布置剪力墙及楼面梁；</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不宜设置框架柱；当局部设置框架柱时，在规定的地震水平力作用下各层框架部分承受的楼层剪力不应大于楼层总剪力的10%。</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剪力墙及连梁一般沿结构周边和楼电梯井筒布置，在结构内部采用厚板，形成大空间。对于居住建筑，分户墙可布置为剪力墙，户内不宜布置剪力墙及楼面梁。结构局部可能会布置框架柱，框架部分承受的楼层剪力不应大于楼层总剪力的10%，结构仍按照剪力墙结构的相关规定进行设计。当框架部分承受的楼层剪力大于楼层总剪力的10%，应满足框架-剪力墙结构的相关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结构及构件布置不规则时，应按相关规范要求进行地震作用计算和内力调整，并应对薄弱部位采取有效的抗震构造措施。</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本条是按照现行国家标准《建筑抗震设计规范》GB 50011的有关规定来考虑。</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平板-剪力墙结构及构件布置除应符合本章规定外，尚应符合现行国家标准《建筑抗震设计规范》GB 50011和《高层建筑混凝土结构技术规程》JGJ3中关于剪力墙结构的有关规定</w:t>
      </w:r>
      <w:r>
        <w:rPr>
          <w:color w:val="000000" w:themeColor="text1"/>
          <w14:textFill>
            <w14:solidFill>
              <w14:schemeClr w14:val="tx1"/>
            </w14:solidFill>
          </w14:textFill>
        </w:rPr>
        <w:t>。</w:t>
      </w:r>
    </w:p>
    <w:p>
      <w:pPr>
        <w:pStyle w:val="41"/>
        <w:spacing w:before="312" w:after="312"/>
        <w:ind w:left="0"/>
        <w:rPr>
          <w:color w:val="000000" w:themeColor="text1"/>
          <w14:textFill>
            <w14:solidFill>
              <w14:schemeClr w14:val="tx1"/>
            </w14:solidFill>
          </w14:textFill>
        </w:rPr>
      </w:pPr>
      <w:bookmarkStart w:id="89" w:name="_Toc8261"/>
      <w:bookmarkStart w:id="90" w:name="_Toc13179"/>
      <w:bookmarkStart w:id="91" w:name="_Toc28458"/>
      <w:bookmarkStart w:id="92" w:name="_Toc8242"/>
      <w:bookmarkStart w:id="93" w:name="_Toc5805"/>
      <w:bookmarkStart w:id="94" w:name="_Toc27943"/>
      <w:bookmarkStart w:id="95" w:name="_Toc5581"/>
      <w:bookmarkStart w:id="96" w:name="_Toc29462"/>
      <w:bookmarkStart w:id="97" w:name="_Toc2993"/>
      <w:bookmarkStart w:id="98" w:name="_Toc87629853"/>
      <w:r>
        <w:rPr>
          <w:rFonts w:hint="eastAsia"/>
          <w:color w:val="000000" w:themeColor="text1"/>
          <w14:textFill>
            <w14:solidFill>
              <w14:schemeClr w14:val="tx1"/>
            </w14:solidFill>
          </w14:textFill>
        </w:rPr>
        <w:t>结构分析</w:t>
      </w:r>
      <w:bookmarkEnd w:id="89"/>
      <w:bookmarkEnd w:id="90"/>
      <w:bookmarkEnd w:id="91"/>
      <w:bookmarkEnd w:id="92"/>
      <w:bookmarkEnd w:id="93"/>
      <w:bookmarkEnd w:id="94"/>
      <w:bookmarkEnd w:id="95"/>
      <w:bookmarkEnd w:id="96"/>
      <w:bookmarkEnd w:id="97"/>
      <w:bookmarkEnd w:id="98"/>
      <w:bookmarkStart w:id="99" w:name="_Toc175"/>
      <w:bookmarkStart w:id="100" w:name="_Toc7412"/>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"4.2 Structural Analysis" \l 2</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99"/>
      <w:bookmarkEnd w:id="100"/>
    </w:p>
    <w:p>
      <w:pPr>
        <w:pStyle w:val="42"/>
        <w:rPr>
          <w:color w:val="000000" w:themeColor="text1"/>
          <w14:textFill>
            <w14:solidFill>
              <w14:schemeClr w14:val="tx1"/>
            </w14:solidFill>
          </w14:textFill>
        </w:rPr>
      </w:pPr>
      <w:bookmarkStart w:id="101" w:name="_Toc464907909"/>
      <w:r>
        <w:rPr>
          <w:rFonts w:hint="eastAsia"/>
          <w:color w:val="000000" w:themeColor="text1"/>
          <w14:textFill>
            <w14:solidFill>
              <w14:schemeClr w14:val="tx1"/>
            </w14:solidFill>
          </w14:textFill>
        </w:rPr>
        <w:t>风荷载或多遇</w:t>
      </w:r>
      <w:r>
        <w:rPr>
          <w:color w:val="000000" w:themeColor="text1"/>
          <w14:textFill>
            <w14:solidFill>
              <w14:schemeClr w14:val="tx1"/>
            </w14:solidFill>
          </w14:textFill>
        </w:rPr>
        <w:t>地震作用下</w:t>
      </w:r>
      <w:r>
        <w:rPr>
          <w:rFonts w:hint="eastAsia"/>
          <w:color w:val="000000" w:themeColor="text1"/>
          <w14:textFill>
            <w14:solidFill>
              <w14:schemeClr w14:val="tx1"/>
            </w14:solidFill>
          </w14:textFill>
        </w:rPr>
        <w:t>的结构</w:t>
      </w:r>
      <w:r>
        <w:rPr>
          <w:color w:val="000000" w:themeColor="text1"/>
          <w14:textFill>
            <w14:solidFill>
              <w14:schemeClr w14:val="tx1"/>
            </w14:solidFill>
          </w14:textFill>
        </w:rPr>
        <w:t>内力和变形</w:t>
      </w:r>
      <w:r>
        <w:rPr>
          <w:rFonts w:hint="eastAsia"/>
          <w:color w:val="000000" w:themeColor="text1"/>
          <w14:textFill>
            <w14:solidFill>
              <w14:schemeClr w14:val="tx1"/>
            </w14:solidFill>
          </w14:textFill>
        </w:rPr>
        <w:t>可采用</w:t>
      </w:r>
      <w:r>
        <w:rPr>
          <w:color w:val="000000" w:themeColor="text1"/>
          <w14:textFill>
            <w14:solidFill>
              <w14:schemeClr w14:val="tx1"/>
            </w14:solidFill>
          </w14:textFill>
        </w:rPr>
        <w:t>弹性</w:t>
      </w:r>
      <w:r>
        <w:rPr>
          <w:rFonts w:hint="eastAsia"/>
          <w:color w:val="000000" w:themeColor="text1"/>
          <w14:textFill>
            <w14:solidFill>
              <w14:schemeClr w14:val="tx1"/>
            </w14:solidFill>
          </w14:textFill>
        </w:rPr>
        <w:t>方法计算，框架梁及连梁等构件可考虑梁端局部塑性变形引起的内力重分布</w:t>
      </w:r>
      <w:r>
        <w:rPr>
          <w:color w:val="000000" w:themeColor="text1"/>
          <w14:textFill>
            <w14:solidFill>
              <w14:schemeClr w14:val="tx1"/>
            </w14:solidFill>
          </w14:textFill>
        </w:rPr>
        <w:t>。</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采用弹性方法进行内力和位移计算时，计算模型应符合以下规定：</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剪力墙可采用壳单元模拟。</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楼板宜采用壳单元模拟，计算结构变形时不宜计入楼板面外刚度，计算构件内力时应计入楼板面外刚度。</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连梁可用壳单元或杆单元模拟，当连梁的跨高比小于2时，宜用壳单元模拟。</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楼面梁可采用杆单元模拟。</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由于楼板与剪力墙的厚度接近，且楼面少梁或无梁，因此传统上将剪力墙仅作为楼板支座、不考虑楼板面内和面外刚度的方法，计算结构内力时不够准确，尤其是在楼板支座位置，已经不能反应结构的真实受力状况。计算结构变形时，可偏于安全不计入楼板面外刚度。计算模型中，建议墙、板均采用壳单元模拟，可同时考虑其面内和面外变形；梁仍采用杆单元模拟。现行通用的设计软件包括PKPM、YJK、ETABS中均可实现以上分析方法。</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在结构地震作用效应计算时，可对剪力墙连梁刚度予以折减，折减系数不宜小于0.5。</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本条是按照现行国家标准《高层建筑混凝土结构技术规程》JGJ3中的规定来考虑。</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在结构内力与位移计算中，现浇楼盖和装配整体式楼盖楼面梁的刚度可考虑翼缘的作用予以增大。近似考虑时，楼面梁刚度增大系数可根据翼缘情况取1.3~2.0。但当楼板采用考虑面外刚度的壳单元模拟时，楼面梁的刚度增大系数宜取1.0。</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本条是按照现行国家标准《高层建筑混凝土结构技术规程》JGJ3中的规定来考虑。但当楼板已考虑面外刚度时，楼面梁的刚度不宜再增大。</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按弹性方法计算的风荷载或多遇地震标准值作用下的楼层层间最大水平位移与层高之比不宜大于1/1000。</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本条是按照现行国家标准《建筑抗震设计规范》GB 50011和《高层建筑混凝土结构技术规程》JGJ3中规定的剪力墙结构的层间位移角限值来考虑。</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楼板内力可采用弹性方法计算，并应计入水平荷载作用下楼板的内力</w:t>
      </w:r>
      <w:r>
        <w:rPr>
          <w:color w:val="000000" w:themeColor="text1"/>
          <w14:textFill>
            <w14:solidFill>
              <w14:schemeClr w14:val="tx1"/>
            </w14:solidFill>
          </w14:textFill>
        </w:rPr>
        <w:t>。</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当楼板与剪力墙的厚度接近时，在水平荷载作用下（含风荷载、地震作用），楼板与墙连接处会产生较大的面外弯矩。因此，要求在楼板承载力设计中，其内力组合应计入水平荷载作用下的楼板内力。</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剪力墙应计入墙肢的面外弯矩，并对墙肢的面外受弯承载力进行复核</w:t>
      </w:r>
      <w:r>
        <w:rPr>
          <w:color w:val="000000" w:themeColor="text1"/>
          <w14:textFill>
            <w14:solidFill>
              <w14:schemeClr w14:val="tx1"/>
            </w14:solidFill>
          </w14:textFill>
        </w:rPr>
        <w:t>。</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平板-剪力墙结构中，当楼板与剪力墙的厚度接近时，在重力荷载及水平荷载作用下，剪力墙作为楼板的支座会产生较大的面外弯矩，因此需要对其面外的压弯或者拉弯承载力进行复核。</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平板-剪力墙结构宜进行</w:t>
      </w:r>
      <w:r>
        <w:rPr>
          <w:color w:val="000000" w:themeColor="text1"/>
          <w14:textFill>
            <w14:solidFill>
              <w14:schemeClr w14:val="tx1"/>
            </w14:solidFill>
          </w14:textFill>
        </w:rPr>
        <w:t>预估罕遇地震作用下的</w:t>
      </w:r>
      <w:r>
        <w:rPr>
          <w:rFonts w:hint="eastAsia"/>
          <w:color w:val="000000" w:themeColor="text1"/>
          <w14:textFill>
            <w14:solidFill>
              <w14:schemeClr w14:val="tx1"/>
            </w14:solidFill>
          </w14:textFill>
        </w:rPr>
        <w:t>弹塑性变形</w:t>
      </w:r>
      <w:r>
        <w:rPr>
          <w:color w:val="000000" w:themeColor="text1"/>
          <w14:textFill>
            <w14:solidFill>
              <w14:schemeClr w14:val="tx1"/>
            </w14:solidFill>
          </w14:textFill>
        </w:rPr>
        <w:t>分析，</w:t>
      </w:r>
      <w:r>
        <w:rPr>
          <w:rFonts w:hint="eastAsia"/>
          <w:color w:val="000000" w:themeColor="text1"/>
          <w14:textFill>
            <w14:solidFill>
              <w14:schemeClr w14:val="tx1"/>
            </w14:solidFill>
          </w14:textFill>
        </w:rPr>
        <w:t>并应符合下列要求：</w:t>
      </w:r>
    </w:p>
    <w:bookmarkEnd w:id="101"/>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宜采用动力时程分析方法。</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剪力墙及楼板应采用壳单元模拟，同时计入平面内和平面外的刚度，并应在洞口及截面变化处合理划分单元。</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连梁可采用壳单元或杆单元模拟，楼面梁宜采用杆单元模拟，梁与楼板单元协同受力。</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构件的几何尺寸、配筋应按实际情况确定。</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应考虑材料的非线性，钢筋及混凝土材料的本构关系可按现行国家标准《混凝土结构设计规范》GB50010的有关规定采用。</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应考虑几何非线性影响。</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由于楼板参与一部分结构抗震受力，因此参考《建筑抗震设计规范》GB50011中对于板柱-抗震墙结构的规定，建议对于抗震要求较高的结构进行弹塑性变形分析。当结构由于超高超限需要进行性能化设计时，也应该进行弹塑性分析。</w:t>
      </w:r>
    </w:p>
    <w:p>
      <w:pPr>
        <w:pStyle w:val="65"/>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弹塑性分析可采用现行的通用有限元分析程序，其中墙、板可采用分层壳单元模拟，并考虑钢筋配置。单元划分尺度应兼顾计算效率及准确性。混凝土材料应考虑弹塑性损伤与刚度退化。计算结果中，主要考察层间变形指标，同时也应兼顾构件的破坏情况，包括混凝土的损伤及钢筋的塑性应变，如果局部构件损伤严重应予适当加强。</w:t>
      </w:r>
    </w:p>
    <w:p>
      <w:pPr>
        <w:pStyle w:val="42"/>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结构薄弱层（部位）层间弹塑性位移与层高之比不应大于</w:t>
      </w:r>
      <w:r>
        <w:rPr>
          <w:color w:val="000000" w:themeColor="text1"/>
          <w14:textFill>
            <w14:solidFill>
              <w14:schemeClr w14:val="tx1"/>
            </w14:solidFill>
          </w14:textFill>
        </w:rPr>
        <w:t>1/120</w:t>
      </w:r>
      <w:r>
        <w:rPr>
          <w:rFonts w:hint="eastAsia"/>
          <w:color w:val="000000" w:themeColor="text1"/>
          <w14:textFill>
            <w14:solidFill>
              <w14:schemeClr w14:val="tx1"/>
            </w14:solidFill>
          </w14:textFill>
        </w:rPr>
        <w:t>。</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本条是按照现行国家标准《建筑抗震设计规范》GB 50011和《高层建筑混凝土结构技术规程》JGJ3中规定的剪力墙结构的层间位移角限值来考虑。</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平板-剪力墙结构如需进行结构抗震性能验算，其抗震性能目标应按现行行业标准《高层建筑混凝土结构技术规程》JGJ3的有关规定确定</w:t>
      </w:r>
      <w:r>
        <w:rPr>
          <w:color w:val="000000" w:themeColor="text1"/>
          <w14:textFill>
            <w14:solidFill>
              <w14:schemeClr w14:val="tx1"/>
            </w14:solidFill>
          </w14:textFill>
        </w:rPr>
        <w:t>。</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平板-剪力墙结构的计算分析除应符合本章规定外，尚应符合现行国家标准《建筑抗震设计规范》GB 50011和《高层建筑混凝土结构技术规程》JGJ3中关于剪力墙结构的有关规定。</w:t>
      </w:r>
    </w:p>
    <w:p>
      <w:pPr>
        <w:ind w:firstLine="480"/>
        <w:rPr>
          <w:color w:val="000000" w:themeColor="text1"/>
          <w14:textFill>
            <w14:solidFill>
              <w14:schemeClr w14:val="tx1"/>
            </w14:solidFill>
          </w14:textFill>
        </w:rPr>
      </w:pPr>
    </w:p>
    <w:p>
      <w:pPr>
        <w:pStyle w:val="39"/>
        <w:numPr>
          <w:ilvl w:val="0"/>
          <w:numId w:val="0"/>
        </w:numPr>
        <w:spacing w:before="312" w:after="312"/>
        <w:ind w:left="360"/>
        <w:jc w:val="both"/>
        <w:rPr>
          <w:color w:val="000000" w:themeColor="text1"/>
          <w14:textFill>
            <w14:solidFill>
              <w14:schemeClr w14:val="tx1"/>
            </w14:solidFill>
          </w14:textFill>
        </w:rPr>
        <w:sectPr>
          <w:pgSz w:w="11906" w:h="16838"/>
          <w:pgMar w:top="1440" w:right="1800" w:bottom="1440" w:left="1800" w:header="851" w:footer="992" w:gutter="0"/>
          <w:cols w:space="425" w:num="1"/>
          <w:titlePg/>
          <w:docGrid w:type="lines" w:linePitch="312" w:charSpace="0"/>
        </w:sectPr>
      </w:pPr>
    </w:p>
    <w:p>
      <w:pPr>
        <w:pStyle w:val="39"/>
        <w:spacing w:before="312" w:after="312"/>
        <w:rPr>
          <w:color w:val="000000" w:themeColor="text1"/>
          <w14:textFill>
            <w14:solidFill>
              <w14:schemeClr w14:val="tx1"/>
            </w14:solidFill>
          </w14:textFill>
        </w:rPr>
      </w:pPr>
      <w:bookmarkStart w:id="102" w:name="_Toc14037"/>
      <w:bookmarkStart w:id="103" w:name="_Toc12018"/>
      <w:bookmarkStart w:id="104" w:name="_Toc3468"/>
      <w:bookmarkStart w:id="105" w:name="_Toc10367"/>
      <w:bookmarkStart w:id="106" w:name="_Toc18154"/>
      <w:bookmarkStart w:id="107" w:name="_Toc87629854"/>
      <w:bookmarkStart w:id="108" w:name="_Toc27818"/>
      <w:bookmarkStart w:id="109" w:name="_Toc18448"/>
      <w:bookmarkStart w:id="110" w:name="_Toc30335"/>
      <w:bookmarkStart w:id="111" w:name="_Toc24005"/>
      <w:r>
        <w:rPr>
          <w:rFonts w:hint="eastAsia"/>
          <w:color w:val="000000" w:themeColor="text1"/>
          <w14:textFill>
            <w14:solidFill>
              <w14:schemeClr w14:val="tx1"/>
            </w14:solidFill>
          </w14:textFill>
        </w:rPr>
        <w:t>构件及节点设计</w:t>
      </w:r>
      <w:bookmarkEnd w:id="102"/>
      <w:bookmarkEnd w:id="103"/>
      <w:bookmarkEnd w:id="104"/>
      <w:bookmarkEnd w:id="105"/>
      <w:bookmarkEnd w:id="106"/>
      <w:bookmarkEnd w:id="107"/>
      <w:bookmarkEnd w:id="108"/>
      <w:bookmarkEnd w:id="109"/>
      <w:bookmarkEnd w:id="110"/>
      <w:bookmarkEnd w:id="111"/>
      <w:bookmarkStart w:id="112" w:name="_Toc14588"/>
      <w:bookmarkStart w:id="113" w:name="_Toc24051"/>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"5 Design of Components and Nodes" \l 1</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112"/>
      <w:bookmarkEnd w:id="113"/>
    </w:p>
    <w:p>
      <w:pPr>
        <w:pStyle w:val="41"/>
        <w:spacing w:before="312" w:after="312"/>
        <w:ind w:left="0"/>
        <w:rPr>
          <w:color w:val="000000" w:themeColor="text1"/>
          <w14:textFill>
            <w14:solidFill>
              <w14:schemeClr w14:val="tx1"/>
            </w14:solidFill>
          </w14:textFill>
        </w:rPr>
      </w:pPr>
      <w:bookmarkStart w:id="114" w:name="_Toc12505"/>
      <w:bookmarkStart w:id="115" w:name="_Toc22875"/>
      <w:bookmarkStart w:id="116" w:name="_Toc28512"/>
      <w:bookmarkStart w:id="117" w:name="_Toc16934"/>
      <w:bookmarkStart w:id="118" w:name="_Toc15432"/>
      <w:bookmarkStart w:id="119" w:name="_Toc13333"/>
      <w:bookmarkStart w:id="120" w:name="_Toc5703"/>
      <w:bookmarkStart w:id="121" w:name="_Toc32132"/>
      <w:bookmarkStart w:id="122" w:name="_Toc30251"/>
      <w:bookmarkStart w:id="123" w:name="_Toc87629855"/>
      <w:r>
        <w:rPr>
          <w:rFonts w:hint="eastAsia"/>
          <w:color w:val="000000" w:themeColor="text1"/>
          <w14:textFill>
            <w14:solidFill>
              <w14:schemeClr w14:val="tx1"/>
            </w14:solidFill>
          </w14:textFill>
        </w:rPr>
        <w:t>构件设计</w:t>
      </w:r>
      <w:bookmarkEnd w:id="114"/>
      <w:bookmarkEnd w:id="115"/>
      <w:bookmarkEnd w:id="116"/>
      <w:bookmarkEnd w:id="117"/>
      <w:bookmarkEnd w:id="118"/>
      <w:bookmarkEnd w:id="119"/>
      <w:bookmarkEnd w:id="120"/>
      <w:bookmarkEnd w:id="121"/>
      <w:bookmarkEnd w:id="122"/>
      <w:bookmarkEnd w:id="123"/>
      <w:bookmarkStart w:id="124" w:name="_Toc21120"/>
      <w:bookmarkStart w:id="125" w:name="_Toc4451"/>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"5.1 Design of Components" \l 2</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124"/>
      <w:bookmarkEnd w:id="125"/>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剪力墙的截面厚度应符合下列规定：</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应满足墙体稳定验算要求。</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底部加强部位不应小于200mm，其他部位不应小于160mm。</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一字型独立剪力墙底部加强部位不应小于220mm，其他部位不应小于180mm。</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不宜小于相连的楼板厚度。</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平板-剪力墙结构中，楼板较厚，墙板作为楼板的支座，尤其是仅支承单侧楼板的墙板（如山墙），其厚度不宜小于楼板，否则地震作用下支座位置的墙板容易发生面外的受弯破坏。</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剪力墙墙肢截面除应进行面内的偏心受压正截面承载力、偏心受拉正截面承载力、斜截面受剪承载力验算外，尚应进行面外偏心受压或受拉承载力计算。</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由于楼板参与抗侧，剪力墙在面外承受的内力不能忽略，故除了墙肢面内承载力验算外，尚应进行面外偏心受压或受拉承载力计算。现行通用的设计软件包括PKPM、YJK、ETABS中均可进行以上计算。</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剪力墙竖向和水平分布钢筋的配置除应符合现行国家标准《建筑抗震设计规范》GB 50011和《高层建筑混凝土结构技术规程》JGJ3的有关规定外，对于受面外受弯承载力控制的剪力墙，其竖向分布钢筋的配筋率尚应满足现行国家标准《混凝土结构设计规范》GB 50010中压弯构件的最小配筋率要求。此外，墙体竖向分布钢筋间距不应大于200mm，竖向分布钢筋配筋率不应小于0.25%。</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结合本规程第4.2.7条的要求，本条对剪力墙竖向分布钢筋的构造要求进行了从严规定。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楼板厚度宜取跨度的1/30~1/40，且不宜大于与之相连的墙肢厚度。当楼板厚度大于</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mm时，宜采用空心楼板。</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对于通常的居住建筑户型平面，按照本标准中的结构布置原则，在户内无梁无墙的情况下，楼板跨度一般在6~8m，则楼板厚度在</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mm左右，与墙厚匹配。为减轻楼板自重，本条规定当楼板厚度大于200mm时可采用空心楼板，此时楼板对结构抗侧力刚度的贡献应考虑折减。</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楼板宜采用双层双向配筋，楼板每个方向受力钢筋的最小配筋率应符合现行国家标准《混凝土结构设计规范》GB 50010的有关规定。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楼板应进行正截面受弯承载力计算，根据受力状况如有需要尚应补充支座位置斜截面受剪承载力计算。</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当楼板在支座位置附近承担较大集中荷载时，应补充楼板支座位置斜截面受剪承载力计算。</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楼板应进行正常使用极限状态下的变形验算，挠度限值应满足</w:t>
      </w:r>
      <w:r>
        <w:rPr>
          <w:color w:val="000000" w:themeColor="text1"/>
          <w14:textFill>
            <w14:solidFill>
              <w14:schemeClr w14:val="tx1"/>
            </w14:solidFill>
          </w14:textFill>
        </w:rPr>
        <w:t>现行国家标准《</w:t>
      </w:r>
      <w:r>
        <w:rPr>
          <w:rFonts w:hint="eastAsia"/>
          <w:color w:val="000000" w:themeColor="text1"/>
          <w14:textFill>
            <w14:solidFill>
              <w14:schemeClr w14:val="tx1"/>
            </w14:solidFill>
          </w14:textFill>
        </w:rPr>
        <w:t>混凝土结构</w:t>
      </w:r>
      <w:r>
        <w:rPr>
          <w:color w:val="000000" w:themeColor="text1"/>
          <w14:textFill>
            <w14:solidFill>
              <w14:schemeClr w14:val="tx1"/>
            </w14:solidFill>
          </w14:textFill>
        </w:rPr>
        <w:t>设计规范》GB 5001</w:t>
      </w:r>
      <w:r>
        <w:rPr>
          <w:rFonts w:hint="eastAsia"/>
          <w:color w:val="000000" w:themeColor="text1"/>
          <w14:textFill>
            <w14:solidFill>
              <w14:schemeClr w14:val="tx1"/>
            </w14:solidFill>
          </w14:textFill>
        </w:rPr>
        <w:t>0中</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规定；楼板在除自重以外的恒载和活载准永久组合作用下，最大挠度不宜大于跨度的1/600。</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大跨度平板-剪力墙结构中，楼板厚度通常在160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mm之间，其自重约占准永久荷载组合的50%，参考现行国家标准《混凝土结构设计规范》GB 50010规定的跨度7</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~9m范围的楼盖挠度限值的较高要求（</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0</w:t>
      </w:r>
      <w:r>
        <w:rPr>
          <w:rFonts w:hint="eastAsia"/>
          <w:color w:val="000000" w:themeColor="text1"/>
          <w14:textFill>
            <w14:solidFill>
              <w14:schemeClr w14:val="tx1"/>
            </w14:solidFill>
          </w14:textFill>
        </w:rPr>
        <w:t>/300），为避免内隔墙开裂，规定楼板在除自重以外的准永久组合作用下，最大挠度不宜大于跨度的1/600。</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楼板宜进行舒适度的验算，第1阶竖向自振频率不宜小于3.0HZ。</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当楼板跨度较大时，尚宜满足《建筑楼盖结构振动舒适度技术标准》JGJT 441-2019规定的楼盖振动加速度限值要求。</w:t>
      </w:r>
    </w:p>
    <w:p>
      <w:pPr>
        <w:pStyle w:val="41"/>
        <w:spacing w:before="312" w:after="312"/>
        <w:ind w:left="0"/>
        <w:rPr>
          <w:color w:val="000000" w:themeColor="text1"/>
          <w14:textFill>
            <w14:solidFill>
              <w14:schemeClr w14:val="tx1"/>
            </w14:solidFill>
          </w14:textFill>
        </w:rPr>
      </w:pPr>
      <w:bookmarkStart w:id="126" w:name="_Toc14222"/>
      <w:bookmarkStart w:id="127" w:name="_Toc26839"/>
      <w:bookmarkStart w:id="128" w:name="_Toc87629856"/>
      <w:bookmarkStart w:id="129" w:name="_Toc27019"/>
      <w:bookmarkStart w:id="130" w:name="_Toc26959"/>
      <w:bookmarkStart w:id="131" w:name="_Toc12579"/>
      <w:bookmarkStart w:id="132" w:name="_Toc16713"/>
      <w:bookmarkStart w:id="133" w:name="_Toc20137"/>
      <w:bookmarkStart w:id="134" w:name="_Toc30095"/>
      <w:bookmarkStart w:id="135" w:name="_Toc9457"/>
      <w:r>
        <w:rPr>
          <w:rFonts w:hint="eastAsia"/>
          <w:color w:val="000000" w:themeColor="text1"/>
          <w14:textFill>
            <w14:solidFill>
              <w14:schemeClr w14:val="tx1"/>
            </w14:solidFill>
          </w14:textFill>
        </w:rPr>
        <w:t>节点设计</w:t>
      </w:r>
      <w:bookmarkEnd w:id="126"/>
      <w:bookmarkEnd w:id="127"/>
      <w:bookmarkEnd w:id="128"/>
      <w:bookmarkEnd w:id="129"/>
      <w:bookmarkEnd w:id="130"/>
      <w:bookmarkEnd w:id="131"/>
      <w:bookmarkEnd w:id="132"/>
      <w:bookmarkEnd w:id="133"/>
      <w:bookmarkEnd w:id="134"/>
      <w:bookmarkEnd w:id="135"/>
      <w:bookmarkStart w:id="136" w:name="_Toc21372"/>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TC  "5.2 Design of Nodes" \l 2</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end"/>
      </w:r>
      <w:bookmarkEnd w:id="136"/>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楼板与剪力墙的连接节点构造应满足下列要求：</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中间层中节点处，板面纵筋应贯通，板底纵筋用于承担支座正弯矩的部分宜贯通（图5.2.1（a））。当墙厚满足直线锚固要求时，板底纵筋用于承担支座正弯矩的部分也可采用锚入墙内的方式（图5.2.1（b）），锚固长度不应小于</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aE</w:t>
      </w:r>
      <w:r>
        <w:rPr>
          <w:rFonts w:hint="eastAsia"/>
          <w:color w:val="000000" w:themeColor="text1"/>
          <w14:textFill>
            <w14:solidFill>
              <w14:schemeClr w14:val="tx1"/>
            </w14:solidFill>
          </w14:textFill>
        </w:rPr>
        <w:t>且伸过墙中心线的长度不应小于5</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为板底纵筋的直径；板底纵筋不承担支座正弯矩的部分可伸入墙内不小于5</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且至少到墙中心线。</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中间层边节点处，板面纵筋应伸至墙外侧竖向分布筋位置后向下弯折，板底纵筋用于承担支座正弯矩的部分应伸至墙外侧竖向分布筋位置后向上弯折。相应的纵筋锚固水平段长度不应小于0.4</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aE</w:t>
      </w:r>
      <w:r>
        <w:rPr>
          <w:rFonts w:hint="eastAsia"/>
          <w:color w:val="000000" w:themeColor="text1"/>
          <w14:textFill>
            <w14:solidFill>
              <w14:schemeClr w14:val="tx1"/>
            </w14:solidFill>
          </w14:textFill>
        </w:rPr>
        <w:t>，弯折长度不应小于15</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为锚固钢筋的直径（图5.2.1（c））；板底纵筋其余部分可伸入墙内不小于5</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且至少到墙中心线。</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顶层中节点处，墙的竖向分布筋应伸至板顶并向板内水平弯折，竖直段长度应不小于0.5</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abE</w:t>
      </w:r>
      <w:r>
        <w:rPr>
          <w:rFonts w:hint="eastAsia"/>
          <w:color w:val="000000" w:themeColor="text1"/>
          <w14:textFill>
            <w14:solidFill>
              <w14:schemeClr w14:val="tx1"/>
            </w14:solidFill>
          </w14:textFill>
        </w:rPr>
        <w:t>，水平弯折长度不应小于12</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为墙竖向分布筋的直径（图5.2.1（d））；板面纵筋、板底纵筋应满足本条第1款的要求。</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顶层边节点处，墙外侧竖向分布筋应与板面纵筋搭接，搭接长度不应小于1.5</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aE</w:t>
      </w:r>
      <w:r>
        <w:rPr>
          <w:rFonts w:hint="eastAsia"/>
          <w:color w:val="000000" w:themeColor="text1"/>
          <w14:textFill>
            <w14:solidFill>
              <w14:schemeClr w14:val="tx1"/>
            </w14:solidFill>
          </w14:textFill>
        </w:rPr>
        <w:t>，墙内侧竖向分布筋应伸至板顶并向板内水平弯折，竖直段长度应不小于0.5</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abE</w:t>
      </w:r>
      <w:r>
        <w:rPr>
          <w:rFonts w:hint="eastAsia"/>
          <w:color w:val="000000" w:themeColor="text1"/>
          <w14:textFill>
            <w14:solidFill>
              <w14:schemeClr w14:val="tx1"/>
            </w14:solidFill>
          </w14:textFill>
        </w:rPr>
        <w:t>，水平弯折长度应不小于12</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为墙竖向分布筋的直径（图5.2.1（e））；板面纵筋、板底纵筋在墙内的锚固应满足本条第2款的要求。</w:t>
      </w:r>
    </w:p>
    <w:p>
      <w:pPr>
        <w:pStyle w:val="7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2333625" cy="2353310"/>
            <wp:effectExtent l="0" t="0" r="9525" b="889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24" cstate="print">
                      <a:extLst>
                        <a:ext uri="{28A0092B-C50C-407E-A947-70E740481C1C}">
                          <a14:useLocalDpi xmlns:a14="http://schemas.microsoft.com/office/drawing/2010/main" val="false"/>
                        </a:ext>
                      </a:extLst>
                    </a:blip>
                    <a:srcRect/>
                    <a:stretch>
                      <a:fillRect/>
                    </a:stretch>
                  </pic:blipFill>
                  <pic:spPr>
                    <a:xfrm>
                      <a:off x="0" y="0"/>
                      <a:ext cx="2333625" cy="2353310"/>
                    </a:xfrm>
                    <a:prstGeom prst="rect">
                      <a:avLst/>
                    </a:prstGeom>
                    <a:noFill/>
                    <a:ln w="9525">
                      <a:noFill/>
                      <a:miter lim="800000"/>
                      <a:headEnd/>
                      <a:tailEnd/>
                    </a:ln>
                  </pic:spPr>
                </pic:pic>
              </a:graphicData>
            </a:graphic>
          </wp:inline>
        </w:drawing>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drawing>
          <wp:inline distT="0" distB="0" distL="114300" distR="114300">
            <wp:extent cx="2341880" cy="2362200"/>
            <wp:effectExtent l="0" t="0" r="1270" b="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25" cstate="print">
                      <a:extLst>
                        <a:ext uri="{28A0092B-C50C-407E-A947-70E740481C1C}">
                          <a14:useLocalDpi xmlns:a14="http://schemas.microsoft.com/office/drawing/2010/main" val="false"/>
                        </a:ext>
                      </a:extLst>
                    </a:blip>
                    <a:srcRect/>
                    <a:stretch>
                      <a:fillRect/>
                    </a:stretch>
                  </pic:blipFill>
                  <pic:spPr>
                    <a:xfrm>
                      <a:off x="0" y="0"/>
                      <a:ext cx="2341880" cy="2362200"/>
                    </a:xfrm>
                    <a:prstGeom prst="rect">
                      <a:avLst/>
                    </a:prstGeom>
                    <a:noFill/>
                    <a:ln w="9525">
                      <a:noFill/>
                      <a:miter lim="800000"/>
                      <a:headEnd/>
                      <a:tailEnd/>
                    </a:ln>
                  </pic:spPr>
                </pic:pic>
              </a:graphicData>
            </a:graphic>
          </wp:inline>
        </w:drawing>
      </w:r>
    </w:p>
    <w:p>
      <w:pPr>
        <w:pStyle w:val="45"/>
        <w:ind w:firstLine="1050" w:firstLineChars="5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（a）中间层中节点一                    （b）中间层中节点二</w:t>
      </w:r>
    </w:p>
    <w:p>
      <w:pPr>
        <w:pStyle w:val="7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drawing>
          <wp:inline distT="0" distB="0" distL="114300" distR="114300">
            <wp:extent cx="1494155" cy="1986915"/>
            <wp:effectExtent l="0" t="0" r="10795" b="13335"/>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26" cstate="print">
                      <a:extLst>
                        <a:ext uri="{28A0092B-C50C-407E-A947-70E740481C1C}">
                          <a14:useLocalDpi xmlns:a14="http://schemas.microsoft.com/office/drawing/2010/main" val="false"/>
                        </a:ext>
                      </a:extLst>
                    </a:blip>
                    <a:srcRect/>
                    <a:stretch>
                      <a:fillRect/>
                    </a:stretch>
                  </pic:blipFill>
                  <pic:spPr>
                    <a:xfrm>
                      <a:off x="0" y="0"/>
                      <a:ext cx="1494155" cy="1986915"/>
                    </a:xfrm>
                    <a:prstGeom prst="rect">
                      <a:avLst/>
                    </a:prstGeom>
                    <a:noFill/>
                    <a:ln w="9525">
                      <a:noFill/>
                      <a:miter lim="800000"/>
                      <a:headEnd/>
                      <a:tailEnd/>
                    </a:ln>
                  </pic:spPr>
                </pic:pic>
              </a:graphicData>
            </a:graphic>
          </wp:inline>
        </w:drawing>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drawing>
          <wp:inline distT="0" distB="0" distL="114300" distR="114300">
            <wp:extent cx="2297430" cy="1688465"/>
            <wp:effectExtent l="0" t="0" r="7620" b="698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noChangeArrowheads="true"/>
                    </pic:cNvPicPr>
                  </pic:nvPicPr>
                  <pic:blipFill>
                    <a:blip r:embed="rId27" cstate="print">
                      <a:extLst>
                        <a:ext uri="{28A0092B-C50C-407E-A947-70E740481C1C}">
                          <a14:useLocalDpi xmlns:a14="http://schemas.microsoft.com/office/drawing/2010/main" val="false"/>
                        </a:ext>
                      </a:extLst>
                    </a:blip>
                    <a:srcRect/>
                    <a:stretch>
                      <a:fillRect/>
                    </a:stretch>
                  </pic:blipFill>
                  <pic:spPr>
                    <a:xfrm>
                      <a:off x="0" y="0"/>
                      <a:ext cx="2297430" cy="1688465"/>
                    </a:xfrm>
                    <a:prstGeom prst="rect">
                      <a:avLst/>
                    </a:prstGeom>
                    <a:noFill/>
                    <a:ln w="9525">
                      <a:noFill/>
                      <a:miter lim="800000"/>
                      <a:headEnd/>
                      <a:tailEnd/>
                    </a:ln>
                  </pic:spPr>
                </pic:pic>
              </a:graphicData>
            </a:graphic>
          </wp:inline>
        </w:drawing>
      </w:r>
    </w:p>
    <w:p>
      <w:pPr>
        <w:pStyle w:val="45"/>
        <w:ind w:firstLine="1050" w:firstLineChars="5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（c）中间层边节点                       （d）顶层中节点</w:t>
      </w:r>
    </w:p>
    <w:p>
      <w:pPr>
        <w:pStyle w:val="45"/>
        <w:ind w:firstLine="1050" w:firstLineChars="500"/>
        <w:jc w:val="both"/>
        <w:rPr>
          <w:color w:val="000000" w:themeColor="text1"/>
          <w14:textFill>
            <w14:solidFill>
              <w14:schemeClr w14:val="tx1"/>
            </w14:solidFill>
          </w14:textFill>
        </w:rPr>
      </w:pPr>
    </w:p>
    <w:p>
      <w:pPr>
        <w:pStyle w:val="7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168525" cy="1869440"/>
            <wp:effectExtent l="0" t="0" r="3175" b="1651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28"/>
                    <a:stretch>
                      <a:fillRect/>
                    </a:stretch>
                  </pic:blipFill>
                  <pic:spPr>
                    <a:xfrm>
                      <a:off x="0" y="0"/>
                      <a:ext cx="2168525" cy="1869440"/>
                    </a:xfrm>
                    <a:prstGeom prst="rect">
                      <a:avLst/>
                    </a:prstGeom>
                    <a:noFill/>
                    <a:ln>
                      <a:noFill/>
                    </a:ln>
                  </pic:spPr>
                </pic:pic>
              </a:graphicData>
            </a:graphic>
          </wp:inline>
        </w:drawing>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（e）顶层边节点</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楼板在剪力墙支座处的节点构造</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1—板面纵筋；2—板底纵筋；3—墙水平分布筋；4—墙竖向分布筋；</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5—墙外侧竖向分布筋；6—墙内侧竖向分布筋</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剪力墙需考虑面外承载力要求，同时楼板参与一部分结构抗侧，故本条的各个节点构造均参考了现行国家标准《高层建筑混凝土结构技术规程》JGJ3中抗震设计时框架梁-柱节点的纵筋锚固要求。</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抗震设防烈度为8度时，宜进行楼板与剪力墙连接节点的核心区抗震受剪承载力验算。</w:t>
      </w:r>
    </w:p>
    <w:p>
      <w:pPr>
        <w:pStyle w:val="65"/>
        <w:rPr>
          <w:color w:val="000000" w:themeColor="text1"/>
          <w14:textFill>
            <w14:solidFill>
              <w14:schemeClr w14:val="tx1"/>
            </w14:solidFill>
          </w14:textFill>
        </w:rPr>
      </w:pPr>
      <w:r>
        <w:rPr>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平板-剪力墙结构中，由于楼板参与一部分结构抗侧，当地震作用较大时，楼板与剪力墙的连接节点可能会发生剪切破坏，因此规定设防烈度为8度时宜进行节点核心区抗震受剪承载力验算。验算方法可参考现行国家标准《混凝土结构设计规范》GB 50010中关于框架梁柱节点核心区抗震受剪承载力验算的规定。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顶层楼板与剪力墙连接节点核心区内宜设置抗剪钢筋，抗剪钢筋宜采用倒U型插筋的形式（图5.2.3）；插筋应沿墙肢方向布置，其间距宜与板面纵筋间距一致，在墙厚方向不宜少于2排；插筋直径不宜小于8mm，竖直段应锚入板底。</w:t>
      </w:r>
    </w:p>
    <w:p>
      <w:pPr>
        <w:pStyle w:val="7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822575" cy="1756410"/>
            <wp:effectExtent l="0" t="0" r="12065" b="11430"/>
            <wp:docPr id="19"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true"/>
                    </pic:cNvPicPr>
                  </pic:nvPicPr>
                  <pic:blipFill>
                    <a:blip r:embed="rId29"/>
                    <a:stretch>
                      <a:fillRect/>
                    </a:stretch>
                  </pic:blipFill>
                  <pic:spPr>
                    <a:xfrm>
                      <a:off x="0" y="0"/>
                      <a:ext cx="2822575" cy="1756410"/>
                    </a:xfrm>
                    <a:prstGeom prst="rect">
                      <a:avLst/>
                    </a:prstGeom>
                    <a:noFill/>
                    <a:ln>
                      <a:noFill/>
                    </a:ln>
                  </pic:spPr>
                </pic:pic>
              </a:graphicData>
            </a:graphic>
          </wp:inline>
        </w:drawing>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节点核心区配置抗剪钢筋（顶层中节点）</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1—板面纵筋；2—板底纵筋；3—墙水平分布筋；4—墙竖向分布筋；5—倒U型插筋</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楼板在卫生间位置不宜降板，如设备要求必须降板时，降板高度不宜超过150mm，可采用折板形式。板内纵筋应可靠锚固，当直线锚固长度不足时可采用弯折锚固的方式（图5.2.4）。</w:t>
      </w:r>
    </w:p>
    <w:p>
      <w:pPr>
        <w:pStyle w:val="7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996690" cy="1153795"/>
            <wp:effectExtent l="0" t="0" r="11430" b="4445"/>
            <wp:docPr id="30" name="图片 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55"/>
                    <pic:cNvPicPr>
                      <a:picLocks noChangeAspect="true"/>
                    </pic:cNvPicPr>
                  </pic:nvPicPr>
                  <pic:blipFill>
                    <a:blip r:embed="rId30"/>
                    <a:stretch>
                      <a:fillRect/>
                    </a:stretch>
                  </pic:blipFill>
                  <pic:spPr>
                    <a:xfrm>
                      <a:off x="0" y="0"/>
                      <a:ext cx="3996690" cy="1153795"/>
                    </a:xfrm>
                    <a:prstGeom prst="rect">
                      <a:avLst/>
                    </a:prstGeom>
                    <a:noFill/>
                    <a:ln>
                      <a:noFill/>
                    </a:ln>
                  </pic:spPr>
                </pic:pic>
              </a:graphicData>
            </a:graphic>
          </wp:inline>
        </w:drawing>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降板位置的节点构造</w:t>
      </w:r>
    </w:p>
    <w:p>
      <w:pPr>
        <w:pStyle w:val="45"/>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1—板面纵筋；2—板底纵筋</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楼板在梁支座处的节点构造应符合下列要求：</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边梁支座处，板面纵筋应伸至梁外侧纵筋内侧后向下弯折，水平段长度应不小于0.35</w:t>
      </w:r>
      <w:r>
        <w:rPr>
          <w:rFonts w:hint="eastAsia"/>
          <w:i/>
          <w:iCs/>
          <w:color w:val="000000" w:themeColor="text1"/>
          <w14:textFill>
            <w14:solidFill>
              <w14:schemeClr w14:val="tx1"/>
            </w14:solidFill>
          </w14:textFill>
        </w:rPr>
        <w:t>l</w:t>
      </w:r>
      <w:r>
        <w:rPr>
          <w:rFonts w:hint="eastAsia"/>
          <w:color w:val="000000" w:themeColor="text1"/>
          <w:vertAlign w:val="subscript"/>
          <w14:textFill>
            <w14:solidFill>
              <w14:schemeClr w14:val="tx1"/>
            </w14:solidFill>
          </w14:textFill>
        </w:rPr>
        <w:t>abE</w:t>
      </w:r>
      <w:r>
        <w:rPr>
          <w:rFonts w:hint="eastAsia"/>
          <w:color w:val="000000" w:themeColor="text1"/>
          <w14:textFill>
            <w14:solidFill>
              <w14:schemeClr w14:val="tx1"/>
            </w14:solidFill>
          </w14:textFill>
        </w:rPr>
        <w:t>，向下弯折长度应取15</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为板面纵筋的直径）。板底纵筋伸入梁内的长度应不小于12</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i/>
          <w:iCs/>
          <w:color w:val="000000" w:themeColor="text1"/>
          <w14:textFill>
            <w14:solidFill>
              <w14:schemeClr w14:val="tx1"/>
            </w14:solidFill>
          </w14:textFill>
        </w:rPr>
        <w:t>d</w:t>
      </w:r>
      <w:r>
        <w:rPr>
          <w:rFonts w:hint="eastAsia"/>
          <w:color w:val="000000" w:themeColor="text1"/>
          <w14:textFill>
            <w14:solidFill>
              <w14:schemeClr w14:val="tx1"/>
            </w14:solidFill>
          </w14:textFill>
        </w:rPr>
        <w:t>为板底纵筋的直径），且宜伸过梁的中心线（图5.2.5（a））。</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中梁支座的板面纵筋应贯通，板底纵筋宜贯通（图5.2.5（b））。当梁宽满足直线锚固要求时，板底纵筋也可采用锚入梁内的方式，锚固方式同图5.2.1（b）。</w:t>
      </w:r>
    </w:p>
    <w:p>
      <w:pPr>
        <w:pStyle w:val="7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drawing>
          <wp:inline distT="0" distB="0" distL="114300" distR="114300">
            <wp:extent cx="1801495" cy="1658620"/>
            <wp:effectExtent l="0" t="0" r="8255" b="1778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31" cstate="print">
                      <a:extLst>
                        <a:ext uri="{28A0092B-C50C-407E-A947-70E740481C1C}">
                          <a14:useLocalDpi xmlns:a14="http://schemas.microsoft.com/office/drawing/2010/main" val="false"/>
                        </a:ext>
                      </a:extLst>
                    </a:blip>
                    <a:srcRect/>
                    <a:stretch>
                      <a:fillRect/>
                    </a:stretch>
                  </pic:blipFill>
                  <pic:spPr>
                    <a:xfrm>
                      <a:off x="0" y="0"/>
                      <a:ext cx="1801495" cy="1658620"/>
                    </a:xfrm>
                    <a:prstGeom prst="rect">
                      <a:avLst/>
                    </a:prstGeom>
                    <a:noFill/>
                    <a:ln w="9525">
                      <a:noFill/>
                      <a:miter lim="800000"/>
                      <a:headEnd/>
                      <a:tailEnd/>
                    </a:ln>
                  </pic:spPr>
                </pic:pic>
              </a:graphicData>
            </a:graphic>
          </wp:inline>
        </w:drawing>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drawing>
          <wp:inline distT="0" distB="0" distL="114300" distR="114300">
            <wp:extent cx="2395855" cy="1703070"/>
            <wp:effectExtent l="0" t="0" r="4445" b="1143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32" cstate="print">
                      <a:extLst>
                        <a:ext uri="{28A0092B-C50C-407E-A947-70E740481C1C}">
                          <a14:useLocalDpi xmlns:a14="http://schemas.microsoft.com/office/drawing/2010/main" val="false"/>
                        </a:ext>
                      </a:extLst>
                    </a:blip>
                    <a:srcRect/>
                    <a:stretch>
                      <a:fillRect/>
                    </a:stretch>
                  </pic:blipFill>
                  <pic:spPr>
                    <a:xfrm>
                      <a:off x="0" y="0"/>
                      <a:ext cx="2395855" cy="1703070"/>
                    </a:xfrm>
                    <a:prstGeom prst="rect">
                      <a:avLst/>
                    </a:prstGeom>
                    <a:noFill/>
                    <a:ln w="9525">
                      <a:noFill/>
                      <a:miter lim="800000"/>
                      <a:headEnd/>
                      <a:tailEnd/>
                    </a:ln>
                  </pic:spPr>
                </pic:pic>
              </a:graphicData>
            </a:graphic>
          </wp:inline>
        </w:drawing>
      </w:r>
    </w:p>
    <w:p>
      <w:pPr>
        <w:pStyle w:val="45"/>
        <w:rPr>
          <w:color w:val="000000" w:themeColor="text1"/>
          <w14:textFill>
            <w14:solidFill>
              <w14:schemeClr w14:val="tx1"/>
            </w14:solidFill>
          </w14:textFill>
        </w:rPr>
      </w:pPr>
      <w:r>
        <w:rPr>
          <w:rStyle w:val="46"/>
          <w:rFonts w:hint="eastAsia"/>
          <w:color w:val="000000" w:themeColor="text1"/>
          <w14:textFill>
            <w14:solidFill>
              <w14:schemeClr w14:val="tx1"/>
            </w14:solidFill>
          </w14:textFill>
        </w:rPr>
        <w:t xml:space="preserve">（a）边梁支座                     </w:t>
      </w:r>
      <w:r>
        <w:rPr>
          <w:rStyle w:val="46"/>
          <w:color w:val="000000" w:themeColor="text1"/>
          <w14:textFill>
            <w14:solidFill>
              <w14:schemeClr w14:val="tx1"/>
            </w14:solidFill>
          </w14:textFill>
        </w:rPr>
        <w:t xml:space="preserve"> </w:t>
      </w:r>
      <w:r>
        <w:rPr>
          <w:rStyle w:val="46"/>
          <w:rFonts w:hint="eastAsia"/>
          <w:color w:val="000000" w:themeColor="text1"/>
          <w14:textFill>
            <w14:solidFill>
              <w14:schemeClr w14:val="tx1"/>
            </w14:solidFill>
          </w14:textFill>
        </w:rPr>
        <w:t xml:space="preserve">  （b）中梁支座</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楼板在梁支座处的节点构造</w:t>
      </w:r>
    </w:p>
    <w:p>
      <w:pPr>
        <w:pStyle w:val="45"/>
        <w:numPr>
          <w:ilvl w:val="0"/>
          <w:numId w:val="8"/>
        </w:numPr>
        <w:rPr>
          <w:color w:val="000000" w:themeColor="text1"/>
          <w14:textFill>
            <w14:solidFill>
              <w14:schemeClr w14:val="tx1"/>
            </w14:solidFill>
          </w14:textFill>
        </w:rPr>
      </w:pPr>
      <w:r>
        <w:rPr>
          <w:rFonts w:hint="eastAsia"/>
          <w:color w:val="000000" w:themeColor="text1"/>
          <w14:textFill>
            <w14:solidFill>
              <w14:schemeClr w14:val="tx1"/>
            </w14:solidFill>
          </w14:textFill>
        </w:rPr>
        <w:t>板面纵筋；2—板底纵筋；3—边梁；4—中梁</w:t>
      </w:r>
    </w:p>
    <w:p>
      <w:pPr>
        <w:pStyle w:val="45"/>
        <w:ind w:left="360"/>
        <w:jc w:val="both"/>
        <w:rPr>
          <w:color w:val="000000" w:themeColor="text1"/>
          <w14:textFill>
            <w14:solidFill>
              <w14:schemeClr w14:val="tx1"/>
            </w14:solidFill>
          </w14:textFill>
        </w:rPr>
      </w:pP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连梁、框架梁在剪力墙支座处的节点构造应符合</w:t>
      </w:r>
      <w:r>
        <w:rPr>
          <w:color w:val="000000" w:themeColor="text1"/>
          <w14:textFill>
            <w14:solidFill>
              <w14:schemeClr w14:val="tx1"/>
            </w14:solidFill>
          </w14:textFill>
        </w:rPr>
        <w:t>现行国家标准《建筑抗震设计规范》GB 50011</w:t>
      </w:r>
      <w:r>
        <w:rPr>
          <w:rFonts w:hint="eastAsia"/>
          <w:color w:val="000000" w:themeColor="text1"/>
          <w14:textFill>
            <w14:solidFill>
              <w14:schemeClr w14:val="tx1"/>
            </w14:solidFill>
          </w14:textFill>
        </w:rPr>
        <w:t>和《高层建筑混凝土结构技术规程》JGJ3的</w:t>
      </w:r>
      <w:r>
        <w:rPr>
          <w:color w:val="000000" w:themeColor="text1"/>
          <w14:textFill>
            <w14:solidFill>
              <w14:schemeClr w14:val="tx1"/>
            </w14:solidFill>
          </w14:textFill>
        </w:rPr>
        <w:t>有关</w:t>
      </w:r>
      <w:r>
        <w:rPr>
          <w:rFonts w:hint="eastAsia"/>
          <w:color w:val="000000" w:themeColor="text1"/>
          <w14:textFill>
            <w14:solidFill>
              <w14:schemeClr w14:val="tx1"/>
            </w14:solidFill>
          </w14:textFill>
        </w:rPr>
        <w:t>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平板-剪力墙结构宜采用钢筋焊接网，钢筋焊接网设计应符合《钢筋焊接网混凝土结构技术规程》JGJ114-2014的有关规定。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当网片钢筋遇折板节点时，宜按以下节点优化进行施工（图5.2.8），节点优化设计应符合受力计算及构造要求。</w:t>
      </w:r>
    </w:p>
    <w:p>
      <w:pPr>
        <w:pStyle w:val="42"/>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592705" cy="1334770"/>
            <wp:effectExtent l="0" t="0" r="13335" b="6350"/>
            <wp:docPr id="20" name="图片 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33"/>
                    <pic:cNvPicPr>
                      <a:picLocks noChangeAspect="true"/>
                    </pic:cNvPicPr>
                  </pic:nvPicPr>
                  <pic:blipFill>
                    <a:blip r:embed="rId33"/>
                    <a:stretch>
                      <a:fillRect/>
                    </a:stretch>
                  </pic:blipFill>
                  <pic:spPr>
                    <a:xfrm>
                      <a:off x="0" y="0"/>
                      <a:ext cx="2592705" cy="1334770"/>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2429510" cy="1148715"/>
            <wp:effectExtent l="0" t="0" r="8890" b="9525"/>
            <wp:docPr id="21" name="图片 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34"/>
                    <pic:cNvPicPr>
                      <a:picLocks noChangeAspect="true"/>
                    </pic:cNvPicPr>
                  </pic:nvPicPr>
                  <pic:blipFill>
                    <a:blip r:embed="rId34"/>
                    <a:stretch>
                      <a:fillRect/>
                    </a:stretch>
                  </pic:blipFill>
                  <pic:spPr>
                    <a:xfrm>
                      <a:off x="0" y="0"/>
                      <a:ext cx="2429510" cy="1148715"/>
                    </a:xfrm>
                    <a:prstGeom prst="rect">
                      <a:avLst/>
                    </a:prstGeom>
                    <a:noFill/>
                    <a:ln>
                      <a:noFill/>
                    </a:ln>
                  </pic:spPr>
                </pic:pic>
              </a:graphicData>
            </a:graphic>
          </wp:inline>
        </w:drawing>
      </w:r>
    </w:p>
    <w:p>
      <w:pPr>
        <w:pStyle w:val="45"/>
        <w:rPr>
          <w:rStyle w:val="46"/>
          <w:color w:val="000000" w:themeColor="text1"/>
          <w14:textFill>
            <w14:solidFill>
              <w14:schemeClr w14:val="tx1"/>
            </w14:solidFill>
          </w14:textFill>
        </w:rPr>
      </w:pPr>
      <w:r>
        <w:rPr>
          <w:rStyle w:val="46"/>
          <w:color w:val="000000" w:themeColor="text1"/>
          <w14:textFill>
            <w14:solidFill>
              <w14:schemeClr w14:val="tx1"/>
            </w14:solidFill>
          </w14:textFill>
        </w:rPr>
        <w:t>（a）</w:t>
      </w:r>
      <w:r>
        <w:rPr>
          <w:rStyle w:val="46"/>
          <w:rFonts w:hint="eastAsia"/>
          <w:color w:val="000000" w:themeColor="text1"/>
          <w14:textFill>
            <w14:solidFill>
              <w14:schemeClr w14:val="tx1"/>
            </w14:solidFill>
          </w14:textFill>
        </w:rPr>
        <w:t>优化前折板节点</w:t>
      </w:r>
      <w:r>
        <w:rPr>
          <w:rStyle w:val="46"/>
          <w:rFonts w:hint="eastAsia"/>
          <w:color w:val="000000" w:themeColor="text1"/>
          <w14:textFill>
            <w14:solidFill>
              <w14:schemeClr w14:val="tx1"/>
            </w14:solidFill>
          </w14:textFill>
        </w:rPr>
        <w:t xml:space="preserve">  </w:t>
      </w:r>
      <w:r>
        <w:rPr>
          <w:rStyle w:val="46"/>
          <w:rFonts w:hint="eastAsia"/>
          <w:color w:val="000000" w:themeColor="text1"/>
          <w14:textFill>
            <w14:solidFill>
              <w14:schemeClr w14:val="tx1"/>
            </w14:solidFill>
          </w14:textFill>
        </w:rPr>
        <w:t xml:space="preserve">               </w:t>
      </w:r>
      <w:r>
        <w:rPr>
          <w:rStyle w:val="46"/>
          <w:rFonts w:hint="eastAsia"/>
          <w:color w:val="000000" w:themeColor="text1"/>
          <w14:textFill>
            <w14:solidFill>
              <w14:schemeClr w14:val="tx1"/>
            </w14:solidFill>
          </w14:textFill>
        </w:rPr>
        <w:t xml:space="preserve">  </w:t>
      </w:r>
      <w:r>
        <w:rPr>
          <w:rStyle w:val="46"/>
          <w:color w:val="000000" w:themeColor="text1"/>
          <w14:textFill>
            <w14:solidFill>
              <w14:schemeClr w14:val="tx1"/>
            </w14:solidFill>
          </w14:textFill>
        </w:rPr>
        <w:t>（b）</w:t>
      </w:r>
      <w:r>
        <w:rPr>
          <w:rStyle w:val="46"/>
          <w:rFonts w:hint="eastAsia"/>
          <w:color w:val="000000" w:themeColor="text1"/>
          <w14:textFill>
            <w14:solidFill>
              <w14:schemeClr w14:val="tx1"/>
            </w14:solidFill>
          </w14:textFill>
        </w:rPr>
        <w:t>优化后折板节点</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图5.2.8</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折板位置钢筋节点构造</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1—板筋；</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现浇双向板底网的搭接及锚固宜符合下列规定：</w:t>
      </w:r>
    </w:p>
    <w:p>
      <w:pPr>
        <w:pStyle w:val="42"/>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底网短跨方向的受力钢筋不宜在跨中搭接，在端部宜直接伸入支座锚固，也可以采用与伸入支座的附加焊接网或绑扎钢筋搭接（图5.2.9（a）（</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w:t>
      </w:r>
    </w:p>
    <w:p>
      <w:pPr>
        <w:pStyle w:val="42"/>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底网长跨方向的钢筋宜伸入支座锚固，也可采用与伸入支座的附加焊接网或绑扎钢筋搭接（图5.2.9（a）（</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p>
    <w:p>
      <w:pPr>
        <w:pStyle w:val="42"/>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附加焊接网或绑扎钢筋伸入支座的钢筋截面面积分别不应小于短跨、长跨方向跨中受力钢筋的截面面积；</w:t>
      </w:r>
    </w:p>
    <w:p>
      <w:pPr>
        <w:pStyle w:val="42"/>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附加焊接网或绑扎钢筋伸入支座的锚固长度及搭接长度应符合</w:t>
      </w:r>
      <w:r>
        <w:rPr>
          <w:rFonts w:hint="eastAsia"/>
          <w:color w:val="000000" w:themeColor="text1"/>
          <w14:textFill>
            <w14:solidFill>
              <w14:schemeClr w14:val="tx1"/>
            </w14:solidFill>
          </w14:textFill>
        </w:rPr>
        <w:t>《钢筋焊接网混凝土结构技术规程》JGJ114-2014的有关规定</w:t>
      </w:r>
      <w:r>
        <w:rPr>
          <w:color w:val="000000" w:themeColor="text1"/>
          <w14:textFill>
            <w14:solidFill>
              <w14:schemeClr w14:val="tx1"/>
            </w14:solidFill>
          </w14:textFill>
        </w:rPr>
        <w:t>。</w:t>
      </w:r>
    </w:p>
    <w:p>
      <w:pPr>
        <w:pStyle w:val="42"/>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双向板底网的搭接位置与面网的搭接位置不宜在同一断面。</w:t>
      </w:r>
    </w:p>
    <w:p>
      <w:pPr>
        <w:pStyle w:val="42"/>
        <w:numPr>
          <w:ilvl w:val="0"/>
          <w:numId w:val="0"/>
        </w:numPr>
        <w:rPr>
          <w:color w:val="000000" w:themeColor="text1"/>
          <w14:textFill>
            <w14:solidFill>
              <w14:schemeClr w14:val="tx1"/>
            </w14:solidFill>
          </w14:textFill>
        </w:rPr>
      </w:pPr>
    </w:p>
    <w:p>
      <w:pPr>
        <w:pStyle w:val="42"/>
        <w:numPr>
          <w:ilvl w:val="255"/>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758565" cy="2331085"/>
            <wp:effectExtent l="0" t="0" r="0" b="0"/>
            <wp:docPr id="25" name="图片 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true"/>
                    </pic:cNvPicPr>
                  </pic:nvPicPr>
                  <pic:blipFill>
                    <a:blip r:embed="rId35"/>
                    <a:stretch>
                      <a:fillRect/>
                    </a:stretch>
                  </pic:blipFill>
                  <pic:spPr>
                    <a:xfrm>
                      <a:off x="0" y="0"/>
                      <a:ext cx="3781556" cy="2345147"/>
                    </a:xfrm>
                    <a:prstGeom prst="rect">
                      <a:avLst/>
                    </a:prstGeom>
                  </pic:spPr>
                </pic:pic>
              </a:graphicData>
            </a:graphic>
          </wp:inline>
        </w:drawing>
      </w:r>
    </w:p>
    <w:p>
      <w:pPr>
        <w:pStyle w:val="42"/>
        <w:numPr>
          <w:ilvl w:val="255"/>
          <w:numId w:val="0"/>
        </w:numPr>
        <w:jc w:val="center"/>
        <w:rPr>
          <w:rFonts w:eastAsia="黑体"/>
          <w:color w:val="000000" w:themeColor="text1"/>
          <w14:textFill>
            <w14:solidFill>
              <w14:schemeClr w14:val="tx1"/>
            </w14:solidFill>
          </w14:textFill>
        </w:rPr>
      </w:pPr>
      <w:r>
        <w:rPr>
          <w:rStyle w:val="46"/>
          <w:rFonts w:hint="eastAsia"/>
          <w:color w:val="000000" w:themeColor="text1"/>
          <w14:textFill>
            <w14:solidFill>
              <w14:schemeClr w14:val="tx1"/>
            </w14:solidFill>
          </w14:textFill>
        </w:rPr>
        <w:t>（a）双向板底网布置示意</w:t>
      </w:r>
    </w:p>
    <w:p>
      <w:pPr>
        <w:pStyle w:val="42"/>
        <w:numPr>
          <w:ilvl w:val="255"/>
          <w:numId w:val="0"/>
        </w:numPr>
        <w:rPr>
          <w:color w:val="000000" w:themeColor="text1"/>
          <w14:textFill>
            <w14:solidFill>
              <w14:schemeClr w14:val="tx1"/>
            </w14:solidFill>
          </w14:textFill>
        </w:rPr>
      </w:pPr>
    </w:p>
    <w:p>
      <w:pPr>
        <w:pStyle w:val="42"/>
        <w:numPr>
          <w:ilvl w:val="255"/>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005070" cy="1582420"/>
            <wp:effectExtent l="0" t="0" r="5080" b="0"/>
            <wp:docPr id="26" name="图片 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true"/>
                    </pic:cNvPicPr>
                  </pic:nvPicPr>
                  <pic:blipFill>
                    <a:blip r:embed="rId36"/>
                    <a:stretch>
                      <a:fillRect/>
                    </a:stretch>
                  </pic:blipFill>
                  <pic:spPr>
                    <a:xfrm>
                      <a:off x="0" y="0"/>
                      <a:ext cx="5026752" cy="1589243"/>
                    </a:xfrm>
                    <a:prstGeom prst="rect">
                      <a:avLst/>
                    </a:prstGeom>
                  </pic:spPr>
                </pic:pic>
              </a:graphicData>
            </a:graphic>
          </wp:inline>
        </w:drawing>
      </w:r>
      <w:r>
        <w:rPr>
          <w:color w:val="000000" w:themeColor="text1"/>
          <w14:textFill>
            <w14:solidFill>
              <w14:schemeClr w14:val="tx1"/>
            </w14:solidFill>
          </w14:textFill>
        </w:rPr>
        <w:t xml:space="preserve"> </w:t>
      </w:r>
    </w:p>
    <w:p>
      <w:pPr>
        <w:pStyle w:val="42"/>
        <w:numPr>
          <w:ilvl w:val="255"/>
          <w:numId w:val="0"/>
        </w:numPr>
        <w:jc w:val="center"/>
        <w:rPr>
          <w:rFonts w:eastAsia="黑体"/>
          <w:color w:val="000000" w:themeColor="text1"/>
          <w14:textFill>
            <w14:solidFill>
              <w14:schemeClr w14:val="tx1"/>
            </w14:solidFill>
          </w14:textFill>
        </w:rPr>
      </w:pPr>
      <w:r>
        <w:rPr>
          <w:rStyle w:val="46"/>
          <w:rFonts w:hint="eastAsia"/>
          <w:color w:val="000000" w:themeColor="text1"/>
          <w14:textFill>
            <w14:solidFill>
              <w14:schemeClr w14:val="tx1"/>
            </w14:solidFill>
          </w14:textFill>
        </w:rPr>
        <w:t>（</w:t>
      </w:r>
      <w:r>
        <w:rPr>
          <w:rStyle w:val="46"/>
          <w:color w:val="000000" w:themeColor="text1"/>
          <w14:textFill>
            <w14:solidFill>
              <w14:schemeClr w14:val="tx1"/>
            </w14:solidFill>
          </w14:textFill>
        </w:rPr>
        <w:t>b</w:t>
      </w:r>
      <w:r>
        <w:rPr>
          <w:rStyle w:val="46"/>
          <w:rFonts w:hint="eastAsia"/>
          <w:color w:val="000000" w:themeColor="text1"/>
          <w14:textFill>
            <w14:solidFill>
              <w14:schemeClr w14:val="tx1"/>
            </w14:solidFill>
          </w14:textFill>
        </w:rPr>
        <w:t>）叠搭法搭接</w:t>
      </w:r>
      <w:r>
        <w:rPr>
          <w:rStyle w:val="46"/>
          <w:color w:val="000000" w:themeColor="text1"/>
          <w14:textFill>
            <w14:solidFill>
              <w14:schemeClr w14:val="tx1"/>
            </w14:solidFill>
          </w14:textFill>
        </w:rPr>
        <w:t>(1-1)</w:t>
      </w:r>
    </w:p>
    <w:p>
      <w:pPr>
        <w:pStyle w:val="42"/>
        <w:numPr>
          <w:ilvl w:val="255"/>
          <w:numId w:val="0"/>
        </w:numPr>
        <w:jc w:val="center"/>
        <w:rPr>
          <w:color w:val="000000" w:themeColor="text1"/>
          <w14:textFill>
            <w14:solidFill>
              <w14:schemeClr w14:val="tx1"/>
            </w14:solidFill>
          </w14:textFill>
        </w:rPr>
      </w:pPr>
    </w:p>
    <w:p>
      <w:pPr>
        <w:pStyle w:val="42"/>
        <w:numPr>
          <w:ilvl w:val="255"/>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912995" cy="1532890"/>
            <wp:effectExtent l="0" t="0" r="1905" b="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37"/>
                    <a:stretch>
                      <a:fillRect/>
                    </a:stretch>
                  </pic:blipFill>
                  <pic:spPr>
                    <a:xfrm>
                      <a:off x="0" y="0"/>
                      <a:ext cx="4937993" cy="1540968"/>
                    </a:xfrm>
                    <a:prstGeom prst="rect">
                      <a:avLst/>
                    </a:prstGeom>
                  </pic:spPr>
                </pic:pic>
              </a:graphicData>
            </a:graphic>
          </wp:inline>
        </w:drawing>
      </w:r>
    </w:p>
    <w:p>
      <w:pPr>
        <w:pStyle w:val="42"/>
        <w:numPr>
          <w:ilvl w:val="255"/>
          <w:numId w:val="0"/>
        </w:numPr>
        <w:jc w:val="center"/>
        <w:rPr>
          <w:rFonts w:eastAsia="黑体"/>
          <w:color w:val="000000" w:themeColor="text1"/>
          <w14:textFill>
            <w14:solidFill>
              <w14:schemeClr w14:val="tx1"/>
            </w14:solidFill>
          </w14:textFill>
        </w:rPr>
      </w:pPr>
      <w:r>
        <w:rPr>
          <w:rStyle w:val="46"/>
          <w:rFonts w:hint="eastAsia"/>
          <w:color w:val="000000" w:themeColor="text1"/>
          <w14:textFill>
            <w14:solidFill>
              <w14:schemeClr w14:val="tx1"/>
            </w14:solidFill>
          </w14:textFill>
        </w:rPr>
        <w:t>（</w:t>
      </w:r>
      <w:r>
        <w:rPr>
          <w:rStyle w:val="46"/>
          <w:color w:val="000000" w:themeColor="text1"/>
          <w14:textFill>
            <w14:solidFill>
              <w14:schemeClr w14:val="tx1"/>
            </w14:solidFill>
          </w14:textFill>
        </w:rPr>
        <w:t>c</w:t>
      </w:r>
      <w:r>
        <w:rPr>
          <w:rStyle w:val="46"/>
          <w:rFonts w:hint="eastAsia"/>
          <w:color w:val="000000" w:themeColor="text1"/>
          <w14:textFill>
            <w14:solidFill>
              <w14:schemeClr w14:val="tx1"/>
            </w14:solidFill>
          </w14:textFill>
        </w:rPr>
        <w:t>）扣搭法搭接(1</w:t>
      </w:r>
      <w:r>
        <w:rPr>
          <w:rStyle w:val="46"/>
          <w:color w:val="000000" w:themeColor="text1"/>
          <w14:textFill>
            <w14:solidFill>
              <w14:schemeClr w14:val="tx1"/>
            </w14:solidFill>
          </w14:textFill>
        </w:rPr>
        <w:t>-1)</w:t>
      </w:r>
    </w:p>
    <w:p>
      <w:pPr>
        <w:pStyle w:val="42"/>
        <w:numPr>
          <w:ilvl w:val="255"/>
          <w:numId w:val="0"/>
        </w:numPr>
        <w:jc w:val="center"/>
        <w:rPr>
          <w:color w:val="000000" w:themeColor="text1"/>
          <w14:textFill>
            <w14:solidFill>
              <w14:schemeClr w14:val="tx1"/>
            </w14:solidFill>
          </w14:textFill>
        </w:rPr>
      </w:pPr>
    </w:p>
    <w:p>
      <w:pPr>
        <w:pStyle w:val="42"/>
        <w:numPr>
          <w:ilvl w:val="255"/>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783455" cy="1541145"/>
            <wp:effectExtent l="0" t="0" r="0" b="1905"/>
            <wp:docPr id="27" name="图片 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true"/>
                    </pic:cNvPicPr>
                  </pic:nvPicPr>
                  <pic:blipFill>
                    <a:blip r:embed="rId38"/>
                    <a:stretch>
                      <a:fillRect/>
                    </a:stretch>
                  </pic:blipFill>
                  <pic:spPr>
                    <a:xfrm>
                      <a:off x="0" y="0"/>
                      <a:ext cx="4820169" cy="1553526"/>
                    </a:xfrm>
                    <a:prstGeom prst="rect">
                      <a:avLst/>
                    </a:prstGeom>
                  </pic:spPr>
                </pic:pic>
              </a:graphicData>
            </a:graphic>
          </wp:inline>
        </w:drawing>
      </w:r>
    </w:p>
    <w:p>
      <w:pPr>
        <w:pStyle w:val="42"/>
        <w:numPr>
          <w:ilvl w:val="255"/>
          <w:numId w:val="0"/>
        </w:numPr>
        <w:jc w:val="center"/>
        <w:rPr>
          <w:rStyle w:val="46"/>
          <w:color w:val="000000" w:themeColor="text1"/>
          <w14:textFill>
            <w14:solidFill>
              <w14:schemeClr w14:val="tx1"/>
            </w14:solidFill>
          </w14:textFill>
        </w:rPr>
      </w:pPr>
      <w:r>
        <w:rPr>
          <w:rStyle w:val="46"/>
          <w:rFonts w:hint="eastAsia"/>
          <w:color w:val="000000" w:themeColor="text1"/>
          <w14:textFill>
            <w14:solidFill>
              <w14:schemeClr w14:val="tx1"/>
            </w14:solidFill>
          </w14:textFill>
        </w:rPr>
        <w:t>（</w:t>
      </w:r>
      <w:r>
        <w:rPr>
          <w:rStyle w:val="46"/>
          <w:color w:val="000000" w:themeColor="text1"/>
          <w14:textFill>
            <w14:solidFill>
              <w14:schemeClr w14:val="tx1"/>
            </w14:solidFill>
          </w14:textFill>
        </w:rPr>
        <w:t>d</w:t>
      </w:r>
      <w:r>
        <w:rPr>
          <w:rStyle w:val="46"/>
          <w:rFonts w:hint="eastAsia"/>
          <w:color w:val="000000" w:themeColor="text1"/>
          <w14:textFill>
            <w14:solidFill>
              <w14:schemeClr w14:val="tx1"/>
            </w14:solidFill>
          </w14:textFill>
        </w:rPr>
        <w:t xml:space="preserve">）叠搭法搭接 </w:t>
      </w:r>
      <w:r>
        <w:rPr>
          <w:rStyle w:val="46"/>
          <w:color w:val="000000" w:themeColor="text1"/>
          <w14:textFill>
            <w14:solidFill>
              <w14:schemeClr w14:val="tx1"/>
            </w14:solidFill>
          </w14:textFill>
        </w:rPr>
        <w:t>(2-2)</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图5.2.9</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双向板底部钢筋焊接网的搭接</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1—长跨方向钢筋；2—短跨方向钢筋；3—伸入支座的附加钢筋；</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4—支撑梁；5—支座上部钢筋；</w:t>
      </w:r>
    </w:p>
    <w:p>
      <w:pPr>
        <w:widowControl/>
        <w:ind w:firstLineChars="0"/>
        <w:jc w:val="left"/>
        <w:rPr>
          <w:b/>
          <w:bCs/>
          <w:color w:val="000000" w:themeColor="text1"/>
          <w:szCs w:val="24"/>
          <w14:textFill>
            <w14:solidFill>
              <w14:schemeClr w14:val="tx1"/>
            </w14:solidFill>
          </w14:textFill>
        </w:rPr>
      </w:pPr>
    </w:p>
    <w:p>
      <w:pPr>
        <w:spacing w:before="106" w:line="287" w:lineRule="auto"/>
        <w:ind w:right="1" w:firstLine="482"/>
        <w:rPr>
          <w:color w:val="000000" w:themeColor="text1"/>
          <w:szCs w:val="21"/>
          <w14:textFill>
            <w14:solidFill>
              <w14:schemeClr w14:val="tx1"/>
            </w14:solidFill>
          </w14:textFill>
        </w:rPr>
      </w:pPr>
      <w:r>
        <w:rPr>
          <w:rStyle w:val="44"/>
          <w:b/>
          <w:color w:val="000000" w:themeColor="text1"/>
          <w14:textFill>
            <w14:solidFill>
              <w14:schemeClr w14:val="tx1"/>
            </w14:solidFill>
          </w14:textFill>
        </w:rPr>
        <w:t>5.2.10</w:t>
      </w:r>
      <w:r>
        <w:rPr>
          <w:color w:val="000000" w:themeColor="text1"/>
          <w:szCs w:val="21"/>
          <w14:textFill>
            <w14:solidFill>
              <w14:schemeClr w14:val="tx1"/>
            </w14:solidFill>
          </w14:textFill>
        </w:rPr>
        <w:t>当楼板开洞时，洞内被截断的钢筋应按等强度设计原则增设附加绑扎短钢筋加强，其构造应符合普通绑扎钢筋相应的规定。</w:t>
      </w:r>
    </w:p>
    <w:p>
      <w:pPr>
        <w:widowControl/>
        <w:ind w:firstLineChars="0"/>
        <w:jc w:val="left"/>
        <w:rPr>
          <w:b/>
          <w:bCs/>
          <w:color w:val="000000" w:themeColor="text1"/>
          <w:szCs w:val="24"/>
          <w14:textFill>
            <w14:solidFill>
              <w14:schemeClr w14:val="tx1"/>
            </w14:solidFill>
          </w14:textFill>
        </w:rPr>
        <w:sectPr>
          <w:pgSz w:w="11906" w:h="16838"/>
          <w:pgMar w:top="1440" w:right="1800" w:bottom="1440" w:left="1800" w:header="851" w:footer="992" w:gutter="0"/>
          <w:cols w:space="425" w:num="1"/>
          <w:titlePg/>
          <w:docGrid w:type="lines" w:linePitch="312" w:charSpace="0"/>
        </w:sectPr>
      </w:pPr>
    </w:p>
    <w:bookmarkEnd w:id="68"/>
    <w:bookmarkEnd w:id="69"/>
    <w:bookmarkEnd w:id="70"/>
    <w:bookmarkEnd w:id="71"/>
    <w:bookmarkEnd w:id="72"/>
    <w:bookmarkEnd w:id="73"/>
    <w:bookmarkEnd w:id="74"/>
    <w:p>
      <w:pPr>
        <w:pStyle w:val="39"/>
        <w:spacing w:before="312" w:after="312"/>
        <w:rPr>
          <w:color w:val="000000" w:themeColor="text1"/>
          <w14:textFill>
            <w14:solidFill>
              <w14:schemeClr w14:val="tx1"/>
            </w14:solidFill>
          </w14:textFill>
        </w:rPr>
      </w:pPr>
      <w:bookmarkStart w:id="137" w:name="_Toc87629857"/>
      <w:bookmarkStart w:id="138" w:name="_Toc67387519"/>
      <w:bookmarkStart w:id="139" w:name="_Toc18286"/>
      <w:r>
        <w:rPr>
          <w:rFonts w:hint="eastAsia"/>
          <w:color w:val="000000" w:themeColor="text1"/>
          <w14:textFill>
            <w14:solidFill>
              <w14:schemeClr w14:val="tx1"/>
            </w14:solidFill>
          </w14:textFill>
        </w:rPr>
        <w:t>施工</w:t>
      </w:r>
      <w:bookmarkEnd w:id="137"/>
      <w:bookmarkEnd w:id="138"/>
    </w:p>
    <w:p>
      <w:pPr>
        <w:pStyle w:val="41"/>
        <w:spacing w:before="312" w:after="312"/>
        <w:ind w:left="0"/>
        <w:rPr>
          <w:color w:val="000000" w:themeColor="text1"/>
          <w14:textFill>
            <w14:solidFill>
              <w14:schemeClr w14:val="tx1"/>
            </w14:solidFill>
          </w14:textFill>
        </w:rPr>
      </w:pPr>
      <w:bookmarkStart w:id="140" w:name="_Toc87629858"/>
      <w:bookmarkStart w:id="141" w:name="_Toc87359630"/>
      <w:bookmarkStart w:id="142" w:name="_Toc40170780"/>
      <w:bookmarkStart w:id="143" w:name="_Toc67387520"/>
      <w:r>
        <w:rPr>
          <w:rFonts w:hint="eastAsia"/>
          <w:color w:val="000000" w:themeColor="text1"/>
          <w14:textFill>
            <w14:solidFill>
              <w14:schemeClr w14:val="tx1"/>
            </w14:solidFill>
          </w14:textFill>
        </w:rPr>
        <w:t>一般规定</w:t>
      </w:r>
      <w:bookmarkEnd w:id="140"/>
      <w:bookmarkEnd w:id="141"/>
      <w:bookmarkEnd w:id="142"/>
      <w:bookmarkEnd w:id="143"/>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平板-剪力墙结构施工，除满足本章规定外，尚应符合现行国家标准《混凝土结构工程施工规范》G</w:t>
      </w:r>
      <w:r>
        <w:rPr>
          <w:color w:val="000000" w:themeColor="text1"/>
          <w14:textFill>
            <w14:solidFill>
              <w14:schemeClr w14:val="tx1"/>
            </w14:solidFill>
          </w14:textFill>
        </w:rPr>
        <w:t>B50666</w:t>
      </w:r>
      <w:r>
        <w:rPr>
          <w:rFonts w:hint="eastAsia"/>
          <w:color w:val="000000" w:themeColor="text1"/>
          <w14:textFill>
            <w14:solidFill>
              <w14:schemeClr w14:val="tx1"/>
            </w14:solidFill>
          </w14:textFill>
        </w:rPr>
        <w:t>和《混凝土结构工程施工质量验收规范》GB 50204 的有关规定</w:t>
      </w:r>
      <w:r>
        <w:rPr>
          <w:color w:val="000000" w:themeColor="text1"/>
          <w14:textFill>
            <w14:solidFill>
              <w14:schemeClr w14:val="tx1"/>
            </w14:solidFill>
          </w14:textFill>
        </w:rPr>
        <w:t>。</w:t>
      </w:r>
    </w:p>
    <w:p>
      <w:pPr>
        <w:pStyle w:val="42"/>
        <w:rPr>
          <w:color w:val="000000" w:themeColor="text1"/>
          <w14:textFill>
            <w14:solidFill>
              <w14:schemeClr w14:val="tx1"/>
            </w14:solidFill>
          </w14:textFill>
        </w:rPr>
      </w:pPr>
      <w:r>
        <w:rPr>
          <w:rFonts w:hint="eastAsia"/>
          <w:color w:val="000000" w:themeColor="text1"/>
          <w:szCs w:val="22"/>
          <w14:textFill>
            <w14:solidFill>
              <w14:schemeClr w14:val="tx1"/>
            </w14:solidFill>
          </w14:textFill>
        </w:rPr>
        <w:t>平板-剪力墙结构施工前，施工单位应根据工程特点和施工条件，按</w:t>
      </w:r>
      <w:r>
        <w:rPr>
          <w:color w:val="000000" w:themeColor="text1"/>
          <w14:textFill>
            <w14:solidFill>
              <w14:schemeClr w14:val="tx1"/>
            </w14:solidFill>
          </w14:textFill>
        </w:rPr>
        <w:t>有关规定</w:t>
      </w:r>
      <w:r>
        <w:rPr>
          <w:rFonts w:hint="eastAsia"/>
          <w:color w:val="000000" w:themeColor="text1"/>
          <w14:textFill>
            <w14:solidFill>
              <w14:schemeClr w14:val="tx1"/>
            </w14:solidFill>
          </w14:textFill>
        </w:rPr>
        <w:t>组织深化设计和</w:t>
      </w:r>
      <w:r>
        <w:rPr>
          <w:color w:val="000000" w:themeColor="text1"/>
          <w14:textFill>
            <w14:solidFill>
              <w14:schemeClr w14:val="tx1"/>
            </w14:solidFill>
          </w14:textFill>
        </w:rPr>
        <w:t>编制</w:t>
      </w:r>
      <w:r>
        <w:rPr>
          <w:rFonts w:hint="eastAsia"/>
          <w:color w:val="000000" w:themeColor="text1"/>
          <w14:textFill>
            <w14:solidFill>
              <w14:schemeClr w14:val="tx1"/>
            </w14:solidFill>
          </w14:textFill>
        </w:rPr>
        <w:t>专项</w:t>
      </w:r>
      <w:r>
        <w:rPr>
          <w:color w:val="000000" w:themeColor="text1"/>
          <w14:textFill>
            <w14:solidFill>
              <w14:schemeClr w14:val="tx1"/>
            </w14:solidFill>
          </w14:textFill>
        </w:rPr>
        <w:t>施工方案，并进行</w:t>
      </w:r>
      <w:r>
        <w:rPr>
          <w:rFonts w:hint="eastAsia"/>
          <w:color w:val="000000" w:themeColor="text1"/>
          <w14:textFill>
            <w14:solidFill>
              <w14:schemeClr w14:val="tx1"/>
            </w14:solidFill>
          </w14:textFill>
        </w:rPr>
        <w:t>质量安全</w:t>
      </w:r>
      <w:r>
        <w:rPr>
          <w:color w:val="000000" w:themeColor="text1"/>
          <w14:textFill>
            <w14:solidFill>
              <w14:schemeClr w14:val="tx1"/>
            </w14:solidFill>
          </w14:textFill>
        </w:rPr>
        <w:t>技术交底。</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平板-剪力墙结构施工宜采用工具化、标准化的安装技术，应根据平板-剪力墙结构特点，选择合适的施工方法，制定合理的施工顺序，并应合理布置现场配套实施系统。</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宜采用建筑信息模型技术，对安全、质量、技术、施工进度等进行施工全过程的信息化协同管理。宜采用建筑信息模型技术对整个施工体</w:t>
      </w:r>
      <w:r>
        <w:rPr>
          <w:rFonts w:hint="eastAsia"/>
          <w:color w:val="000000" w:themeColor="text1"/>
          <w14:textFill>
            <w14:solidFill>
              <w14:schemeClr w14:val="tx1"/>
            </w14:solidFill>
          </w14:textFill>
        </w:rPr>
        <w:t>系进行虚拟建造，对关键工艺进行信息化模拟。</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 xml:space="preserve">施工前，宜选择有代表性的单元进行钢筋焊接网和免拆模板或高精度模板体系试安装，并应根据试安装结果及时调整施工工艺、完善施工方案。 </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免拆模板的</w:t>
      </w:r>
      <w:r>
        <w:rPr>
          <w:color w:val="000000" w:themeColor="text1"/>
          <w14:textFill>
            <w14:solidFill>
              <w14:schemeClr w14:val="tx1"/>
            </w14:solidFill>
          </w14:textFill>
        </w:rPr>
        <w:t>制作与运输应符合国家现行标准《装配式混凝土建筑技术标准》GB/T 51231和</w:t>
      </w:r>
      <w:r>
        <w:rPr>
          <w:rFonts w:hint="eastAsia"/>
          <w:color w:val="000000" w:themeColor="text1"/>
          <w14:textFill>
            <w14:solidFill>
              <w14:schemeClr w14:val="tx1"/>
            </w14:solidFill>
          </w14:textFill>
        </w:rPr>
        <w:t>建工行业建设标准</w:t>
      </w:r>
      <w:r>
        <w:rPr>
          <w:color w:val="000000" w:themeColor="text1"/>
          <w14:textFill>
            <w14:solidFill>
              <w14:schemeClr w14:val="tx1"/>
            </w14:solidFill>
          </w14:textFill>
        </w:rPr>
        <w:t>《装配式混凝土结构技术规程》JGJ 1的相关规定。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钢筋焊接网，高精度模板及免拆模板的产品质量均应满足现行国家及广东省的有关标准要求方可出厂，产品出厂需提供产品合格证书等质量证明文件。</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施工用的设备、机具、工具和计量器具，应满足施工要求，有检定要求的还应检定合格或在检定合格有效期内。</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施工过程中应采取安全措施，平板-剪力墙</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施工的安全技术要求应符合国家和广东省现行有关标准的规定。</w:t>
      </w:r>
    </w:p>
    <w:p>
      <w:pPr>
        <w:pStyle w:val="42"/>
        <w:numPr>
          <w:ilvl w:val="0"/>
          <w:numId w:val="0"/>
        </w:numPr>
        <w:rPr>
          <w:color w:val="000000" w:themeColor="text1"/>
          <w14:textFill>
            <w14:solidFill>
              <w14:schemeClr w14:val="tx1"/>
            </w14:solidFill>
          </w14:textFill>
        </w:rPr>
      </w:pPr>
    </w:p>
    <w:p>
      <w:pPr>
        <w:pStyle w:val="41"/>
        <w:spacing w:before="312" w:after="312"/>
        <w:ind w:left="0"/>
        <w:rPr>
          <w:color w:val="000000" w:themeColor="text1"/>
          <w14:textFill>
            <w14:solidFill>
              <w14:schemeClr w14:val="tx1"/>
            </w14:solidFill>
          </w14:textFill>
        </w:rPr>
      </w:pPr>
      <w:bookmarkStart w:id="144" w:name="_Toc87629859"/>
      <w:bookmarkStart w:id="145" w:name="_Toc67387521"/>
      <w:bookmarkStart w:id="146" w:name="_Toc87359631"/>
      <w:bookmarkStart w:id="147" w:name="_Toc40170781"/>
      <w:r>
        <w:rPr>
          <w:rFonts w:hint="eastAsia"/>
          <w:color w:val="000000" w:themeColor="text1"/>
          <w14:textFill>
            <w14:solidFill>
              <w14:schemeClr w14:val="tx1"/>
            </w14:solidFill>
          </w14:textFill>
        </w:rPr>
        <w:t>施工准备</w:t>
      </w:r>
      <w:bookmarkEnd w:id="144"/>
      <w:bookmarkEnd w:id="145"/>
      <w:bookmarkEnd w:id="146"/>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施工前应详细熟悉图纸等技术文件，对配套模板、钢筋网片等分部分项工程应针对施工体系和方式，进行二次深化设计，涉及原结构变动的，需经原设计审核批准。</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施工现场应根据施工平面规划设置运输通道和相应部件的存放场地。相应部件应按规格、品种、使用部位、吊装机械性能、吊装顺序分别设置存放场地，并做好材料标识，部件应在吊装设备的有效起重范围内，且在堆垛之间设置通道。</w:t>
      </w:r>
    </w:p>
    <w:p>
      <w:pPr>
        <w:pStyle w:val="41"/>
        <w:spacing w:before="312" w:after="312"/>
        <w:ind w:left="0"/>
        <w:rPr>
          <w:color w:val="000000" w:themeColor="text1"/>
          <w14:textFill>
            <w14:solidFill>
              <w14:schemeClr w14:val="tx1"/>
            </w14:solidFill>
          </w14:textFill>
        </w:rPr>
      </w:pPr>
      <w:bookmarkStart w:id="148" w:name="_Toc87629860"/>
      <w:bookmarkStart w:id="149" w:name="_Toc87359632"/>
      <w:bookmarkStart w:id="150" w:name="_Toc67387522"/>
      <w:r>
        <w:rPr>
          <w:rFonts w:hint="eastAsia"/>
          <w:color w:val="000000" w:themeColor="text1"/>
          <w14:textFill>
            <w14:solidFill>
              <w14:schemeClr w14:val="tx1"/>
            </w14:solidFill>
          </w14:textFill>
        </w:rPr>
        <w:t>钢筋工程</w:t>
      </w:r>
      <w:bookmarkEnd w:id="147"/>
      <w:bookmarkEnd w:id="148"/>
      <w:bookmarkEnd w:id="149"/>
      <w:bookmarkEnd w:id="150"/>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钢筋工程的原材料、加工、连接、安装和验收，应符合现行国家标准《混凝土结构工程施工规范》</w:t>
      </w:r>
      <w:r>
        <w:rPr>
          <w:color w:val="000000" w:themeColor="text1"/>
          <w14:textFill>
            <w14:solidFill>
              <w14:schemeClr w14:val="tx1"/>
            </w14:solidFill>
          </w14:textFill>
        </w:rPr>
        <w:t>GB50666</w:t>
      </w:r>
      <w:r>
        <w:rPr>
          <w:rFonts w:hint="eastAsia"/>
          <w:color w:val="000000" w:themeColor="text1"/>
          <w14:textFill>
            <w14:solidFill>
              <w14:schemeClr w14:val="tx1"/>
            </w14:solidFill>
          </w14:textFill>
        </w:rPr>
        <w:t>和《混凝土结构工程施工质量验收规范》</w:t>
      </w:r>
      <w:r>
        <w:rPr>
          <w:color w:val="000000" w:themeColor="text1"/>
          <w14:textFill>
            <w14:solidFill>
              <w14:schemeClr w14:val="tx1"/>
            </w14:solidFill>
          </w14:textFill>
        </w:rPr>
        <w:t xml:space="preserve">GB 50204 </w:t>
      </w:r>
      <w:r>
        <w:rPr>
          <w:rFonts w:hint="eastAsia"/>
          <w:color w:val="000000" w:themeColor="text1"/>
          <w14:textFill>
            <w14:solidFill>
              <w14:schemeClr w14:val="tx1"/>
            </w14:solidFill>
          </w14:textFill>
        </w:rPr>
        <w:t>的有关规定。</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平板-剪力墙结构宜采用钢筋焊接网，当采用钢筋焊接网时，应符合下列规定：</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钢筋</w:t>
      </w:r>
      <w:r>
        <w:rPr>
          <w:rFonts w:hint="eastAsia"/>
          <w:color w:val="000000" w:themeColor="text1"/>
          <w14:textFill>
            <w14:solidFill>
              <w14:schemeClr w14:val="tx1"/>
            </w14:solidFill>
          </w14:textFill>
        </w:rPr>
        <w:t>焊接网吊装和运输时应捆扎整齐、牢固，每捆重量不宜超过</w:t>
      </w:r>
      <w:r>
        <w:rPr>
          <w:color w:val="000000" w:themeColor="text1"/>
          <w14:textFill>
            <w14:solidFill>
              <w14:schemeClr w14:val="tx1"/>
            </w14:solidFill>
          </w14:textFill>
        </w:rPr>
        <w:t>2t</w:t>
      </w:r>
      <w:r>
        <w:rPr>
          <w:rFonts w:hint="eastAsia"/>
          <w:color w:val="000000" w:themeColor="text1"/>
          <w14:textFill>
            <w14:solidFill>
              <w14:schemeClr w14:val="tx1"/>
            </w14:solidFill>
          </w14:textFill>
        </w:rPr>
        <w:t>，现场施工吊装时，应对吊点、刚性支撑或支架（如采用）及焊接钢筋网片变形等进行验算，以确定单次吊装数量，防止钢筋焊接网产生过大变形，当采取露天堆放时，应有防锈蚀污染的措施；</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对按设置方向两次拆分设计的钢筋焊接网，应设置防止钢筋网片变形过大的构造钢筋，构造钢筋与主筋可采用焊接方式，构造钢筋宜按直径6</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间距为600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设置；</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对两端需插入梁内锚固的焊接网，当钢筋直径较细时，可先后将两端插入梁内锚固；当焊接网不能自然弯曲时，可将焊接网的一端少焊（</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）根横向钢筋，插入后可采用绑扎方法补足所减少的横向钢筋；</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钢筋焊接网的搭接、构造应符合现行行业标准《钢筋焊接网混凝土结构技术规程》</w:t>
      </w:r>
      <w:r>
        <w:rPr>
          <w:color w:val="000000" w:themeColor="text1"/>
          <w14:textFill>
            <w14:solidFill>
              <w14:schemeClr w14:val="tx1"/>
            </w14:solidFill>
          </w14:textFill>
        </w:rPr>
        <w:t xml:space="preserve">JGJ 114 </w:t>
      </w:r>
      <w:r>
        <w:rPr>
          <w:rFonts w:hint="eastAsia"/>
          <w:color w:val="000000" w:themeColor="text1"/>
          <w14:textFill>
            <w14:solidFill>
              <w14:schemeClr w14:val="tx1"/>
            </w14:solidFill>
          </w14:textFill>
        </w:rPr>
        <w:t>的规定，并应与设计单位配合，针对平板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剪力墙结构的特点，制定专项的施工技术方案并严格执行；</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两张焊接网搭接时，应绑扎固定，搭接位置应选择受力较小部位，且绑扎点的间距不应超过600mm。在梁顶搭接或锚固的面网钢筋宜绑扎于梁的纵向钢筋上。当双向板底网或面网采用双层配筋时，两层网间宜绑扎定位，每1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不宜少于一个绑扎点，钢筋焊接网安装时，下部焊接网应设置于保护层厚度相当的定位件。</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施工中宜优先采用智能化、机械化安装方式。</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当遇面筋或底筋需跨剪力墙同相邻大板钢筋拉通时，可采用以下施工方法。</w:t>
      </w:r>
    </w:p>
    <w:p>
      <w:pPr>
        <w:pStyle w:val="42"/>
        <w:numPr>
          <w:ilvl w:val="255"/>
          <w:numId w:val="0"/>
        </w:numPr>
        <w:rPr>
          <w:color w:val="000000" w:themeColor="text1"/>
          <w14:textFill>
            <w14:solidFill>
              <w14:schemeClr w14:val="tx1"/>
            </w14:solidFill>
          </w14:textFill>
        </w:rPr>
      </w:pPr>
    </w:p>
    <w:p>
      <w:pPr>
        <w:pStyle w:val="45"/>
        <w:ind w:left="1050" w:hanging="1050" w:hangingChars="500"/>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444490" cy="1881505"/>
            <wp:effectExtent l="0" t="0" r="3810" b="4445"/>
            <wp:docPr id="43" name="图片 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29"/>
                    <pic:cNvPicPr>
                      <a:picLocks noChangeAspect="true"/>
                    </pic:cNvPicPr>
                  </pic:nvPicPr>
                  <pic:blipFill>
                    <a:blip r:embed="rId39"/>
                    <a:stretch>
                      <a:fillRect/>
                    </a:stretch>
                  </pic:blipFill>
                  <pic:spPr>
                    <a:xfrm>
                      <a:off x="0" y="0"/>
                      <a:ext cx="5444490" cy="1881505"/>
                    </a:xfrm>
                    <a:prstGeom prst="rect">
                      <a:avLst/>
                    </a:prstGeom>
                    <a:noFill/>
                    <a:ln>
                      <a:noFill/>
                    </a:ln>
                  </pic:spPr>
                </pic:pic>
              </a:graphicData>
            </a:graphic>
          </wp:inline>
        </w:drawing>
      </w:r>
      <w:r>
        <w:rPr>
          <w:rStyle w:val="46"/>
          <w:rFonts w:hint="eastAsia"/>
          <w:color w:val="000000" w:themeColor="text1"/>
          <w14:textFill>
            <w14:solidFill>
              <w14:schemeClr w14:val="tx1"/>
            </w14:solidFill>
          </w14:textFill>
        </w:rPr>
        <w:t>（a）直接搭接法                         （b）附加钢筋搭接法</w:t>
      </w:r>
    </w:p>
    <w:p>
      <w:pPr>
        <w:pStyle w:val="42"/>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42"/>
        <w:numPr>
          <w:ilvl w:val="255"/>
          <w:numId w:val="0"/>
        </w:numPr>
        <w:rPr>
          <w:color w:val="000000" w:themeColor="text1"/>
          <w14:textFill>
            <w14:solidFill>
              <w14:schemeClr w14:val="tx1"/>
            </w14:solidFill>
          </w14:textFill>
        </w:rPr>
      </w:pPr>
    </w:p>
    <w:p>
      <w:pPr>
        <w:pStyle w:val="42"/>
        <w:numPr>
          <w:ilvl w:val="255"/>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660015" cy="1968500"/>
            <wp:effectExtent l="0" t="0" r="6985" b="12700"/>
            <wp:docPr id="44"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30"/>
                    <pic:cNvPicPr>
                      <a:picLocks noChangeAspect="true"/>
                    </pic:cNvPicPr>
                  </pic:nvPicPr>
                  <pic:blipFill>
                    <a:blip r:embed="rId40"/>
                    <a:stretch>
                      <a:fillRect/>
                    </a:stretch>
                  </pic:blipFill>
                  <pic:spPr>
                    <a:xfrm>
                      <a:off x="0" y="0"/>
                      <a:ext cx="2660015" cy="1968500"/>
                    </a:xfrm>
                    <a:prstGeom prst="rect">
                      <a:avLst/>
                    </a:prstGeom>
                    <a:noFill/>
                    <a:ln>
                      <a:noFill/>
                    </a:ln>
                  </pic:spPr>
                </pic:pic>
              </a:graphicData>
            </a:graphic>
          </wp:inline>
        </w:drawing>
      </w:r>
    </w:p>
    <w:p>
      <w:pPr>
        <w:pStyle w:val="42"/>
        <w:numPr>
          <w:ilvl w:val="255"/>
          <w:numId w:val="0"/>
        </w:numPr>
        <w:jc w:val="center"/>
        <w:rPr>
          <w:color w:val="000000" w:themeColor="text1"/>
          <w14:textFill>
            <w14:solidFill>
              <w14:schemeClr w14:val="tx1"/>
            </w14:solidFill>
          </w14:textFill>
        </w:rPr>
      </w:pPr>
      <w:r>
        <w:rPr>
          <w:rStyle w:val="46"/>
          <w:rFonts w:hint="eastAsia"/>
          <w:color w:val="000000" w:themeColor="text1"/>
          <w14:textFill>
            <w14:solidFill>
              <w14:schemeClr w14:val="tx1"/>
            </w14:solidFill>
          </w14:textFill>
        </w:rPr>
        <w:t>（c）整体吊装法</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图6.3.4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相邻大板钢筋跨剪力墙拉通施工方法</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1—钢筋网片一；2—钢筋网片二；3—剪力墙；4—附加钢筋；5—补充绑扎钢筋；</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当网片钢筋主节点遇洞口或者线盒等部件需要断开时，宜按图集要求洞口加强做法进行加强。</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当板钢筋（双层双向）采用单向钢筋网片（纵横向主筋分别与构造钢筋组合成单向钢筋网片）进行组合时，底筋单向钢筋网片绑扎节点应采用梅花式绑扎，且绑扎节点间隔不大于1000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×1000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；面筋绑扎节点间隔不宜大于600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×600</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。楼板采用双层双向配筋时，应设置钢筋支架，支架间距结合钢筋直径进行设计，沿长向钢筋方向，支架间距宜为600</w:t>
      </w:r>
      <w:r>
        <w:rPr>
          <w:color w:val="000000" w:themeColor="text1"/>
          <w14:textFill>
            <w14:solidFill>
              <w14:schemeClr w14:val="tx1"/>
            </w14:solidFill>
          </w14:textFill>
        </w:rPr>
        <w:t>mm-900mm。</w:t>
      </w:r>
    </w:p>
    <w:p>
      <w:pPr>
        <w:pStyle w:val="42"/>
        <w:numPr>
          <w:ilvl w:val="255"/>
          <w:numId w:val="0"/>
        </w:num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322195" cy="2028825"/>
            <wp:effectExtent l="0" t="0" r="1905" b="9525"/>
            <wp:docPr id="45"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图片 31"/>
                    <pic:cNvPicPr>
                      <a:picLocks noChangeAspect="true"/>
                    </pic:cNvPicPr>
                  </pic:nvPicPr>
                  <pic:blipFill>
                    <a:blip r:embed="rId41"/>
                    <a:stretch>
                      <a:fillRect/>
                    </a:stretch>
                  </pic:blipFill>
                  <pic:spPr>
                    <a:xfrm>
                      <a:off x="0" y="0"/>
                      <a:ext cx="2322195" cy="2028825"/>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2668905" cy="2317115"/>
            <wp:effectExtent l="0" t="0" r="17145" b="6985"/>
            <wp:docPr id="23" name="图片 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32"/>
                    <pic:cNvPicPr>
                      <a:picLocks noChangeAspect="true"/>
                    </pic:cNvPicPr>
                  </pic:nvPicPr>
                  <pic:blipFill>
                    <a:blip r:embed="rId42"/>
                    <a:stretch>
                      <a:fillRect/>
                    </a:stretch>
                  </pic:blipFill>
                  <pic:spPr>
                    <a:xfrm>
                      <a:off x="0" y="0"/>
                      <a:ext cx="2668905" cy="2317115"/>
                    </a:xfrm>
                    <a:prstGeom prst="rect">
                      <a:avLst/>
                    </a:prstGeom>
                    <a:noFill/>
                    <a:ln>
                      <a:noFill/>
                    </a:ln>
                  </pic:spPr>
                </pic:pic>
              </a:graphicData>
            </a:graphic>
          </wp:inline>
        </w:drawing>
      </w:r>
    </w:p>
    <w:p>
      <w:pPr>
        <w:pStyle w:val="45"/>
        <w:ind w:firstLine="840" w:firstLineChars="400"/>
        <w:jc w:val="both"/>
        <w:rPr>
          <w:rStyle w:val="46"/>
          <w:color w:val="000000" w:themeColor="text1"/>
          <w14:textFill>
            <w14:solidFill>
              <w14:schemeClr w14:val="tx1"/>
            </w14:solidFill>
          </w14:textFill>
        </w:rPr>
      </w:pPr>
      <w:r>
        <w:rPr>
          <w:rStyle w:val="46"/>
          <w:rFonts w:hint="eastAsia"/>
          <w:color w:val="000000" w:themeColor="text1"/>
          <w14:textFill>
            <w14:solidFill>
              <w14:schemeClr w14:val="tx1"/>
            </w14:solidFill>
          </w14:textFill>
        </w:rPr>
        <w:t>（a）</w:t>
      </w:r>
      <w:r>
        <w:rPr>
          <w:rStyle w:val="46"/>
          <w:color w:val="000000" w:themeColor="text1"/>
          <w14:textFill>
            <w14:solidFill>
              <w14:schemeClr w14:val="tx1"/>
            </w14:solidFill>
          </w14:textFill>
        </w:rPr>
        <w:t>面筋</w:t>
      </w:r>
      <w:r>
        <w:rPr>
          <w:rStyle w:val="46"/>
          <w:rFonts w:hint="eastAsia"/>
          <w:color w:val="000000" w:themeColor="text1"/>
          <w14:textFill>
            <w14:solidFill>
              <w14:schemeClr w14:val="tx1"/>
            </w14:solidFill>
          </w14:textFill>
        </w:rPr>
        <w:t>间隔≤</w:t>
      </w:r>
      <w:r>
        <w:rPr>
          <w:rStyle w:val="46"/>
          <w:color w:val="000000" w:themeColor="text1"/>
          <w14:textFill>
            <w14:solidFill>
              <w14:schemeClr w14:val="tx1"/>
            </w14:solidFill>
          </w14:textFill>
        </w:rPr>
        <w:t xml:space="preserve">600×600   </w:t>
      </w:r>
      <w:r>
        <w:rPr>
          <w:rStyle w:val="46"/>
          <w:rFonts w:hint="eastAsia"/>
          <w:color w:val="000000" w:themeColor="text1"/>
          <w14:textFill>
            <w14:solidFill>
              <w14:schemeClr w14:val="tx1"/>
            </w14:solidFill>
          </w14:textFill>
        </w:rPr>
        <w:t xml:space="preserve">            （b）底筋间隔≤10</w:t>
      </w:r>
      <w:r>
        <w:rPr>
          <w:rStyle w:val="46"/>
          <w:color w:val="000000" w:themeColor="text1"/>
          <w14:textFill>
            <w14:solidFill>
              <w14:schemeClr w14:val="tx1"/>
            </w14:solidFill>
          </w14:textFill>
        </w:rPr>
        <w:t>00×</w:t>
      </w:r>
      <w:r>
        <w:rPr>
          <w:rStyle w:val="46"/>
          <w:rFonts w:hint="eastAsia"/>
          <w:color w:val="000000" w:themeColor="text1"/>
          <w14:textFill>
            <w14:solidFill>
              <w14:schemeClr w14:val="tx1"/>
            </w14:solidFill>
          </w14:textFill>
        </w:rPr>
        <w:t>10</w:t>
      </w:r>
      <w:r>
        <w:rPr>
          <w:rStyle w:val="46"/>
          <w:color w:val="000000" w:themeColor="text1"/>
          <w14:textFill>
            <w14:solidFill>
              <w14:schemeClr w14:val="tx1"/>
            </w14:solidFill>
          </w14:textFill>
        </w:rPr>
        <w:t>00</w:t>
      </w:r>
    </w:p>
    <w:p>
      <w:pPr>
        <w:pStyle w:val="45"/>
        <w:rPr>
          <w:color w:val="000000" w:themeColor="text1"/>
          <w14:textFill>
            <w14:solidFill>
              <w14:schemeClr w14:val="tx1"/>
            </w14:solidFill>
          </w14:textFill>
        </w:rPr>
      </w:pPr>
      <w:r>
        <w:rPr>
          <w:rFonts w:hint="eastAsia"/>
          <w:color w:val="000000" w:themeColor="text1"/>
          <w14:textFill>
            <w14:solidFill>
              <w14:schemeClr w14:val="tx1"/>
            </w14:solidFill>
          </w14:textFill>
        </w:rPr>
        <w:t>图6.3.6</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钢筋网片绑扎节点</w:t>
      </w:r>
    </w:p>
    <w:p>
      <w:pPr>
        <w:pStyle w:val="41"/>
        <w:spacing w:before="312" w:after="312"/>
        <w:ind w:left="0"/>
        <w:rPr>
          <w:color w:val="000000" w:themeColor="text1"/>
          <w14:textFill>
            <w14:solidFill>
              <w14:schemeClr w14:val="tx1"/>
            </w14:solidFill>
          </w14:textFill>
        </w:rPr>
      </w:pPr>
      <w:bookmarkStart w:id="151" w:name="_Toc67387523"/>
      <w:bookmarkStart w:id="152" w:name="_Toc87359633"/>
      <w:bookmarkStart w:id="153" w:name="_Toc87629861"/>
      <w:bookmarkStart w:id="154" w:name="_Toc40170782"/>
      <w:r>
        <w:rPr>
          <w:rFonts w:hint="eastAsia"/>
          <w:color w:val="000000" w:themeColor="text1"/>
          <w14:textFill>
            <w14:solidFill>
              <w14:schemeClr w14:val="tx1"/>
            </w14:solidFill>
          </w14:textFill>
        </w:rPr>
        <w:t>模板</w:t>
      </w:r>
      <w:bookmarkEnd w:id="151"/>
      <w:bookmarkEnd w:id="152"/>
      <w:bookmarkEnd w:id="153"/>
      <w:bookmarkEnd w:id="154"/>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平板-剪力墙结构宜采用高精度模板体系或免拆模板，采用铝合金模板时，模板工程的</w:t>
      </w:r>
      <w:r>
        <w:rPr>
          <w:rFonts w:hint="eastAsia"/>
          <w:color w:val="000000" w:themeColor="text1"/>
          <w14:textFill>
            <w14:solidFill>
              <w14:schemeClr w14:val="tx1"/>
            </w14:solidFill>
          </w14:textFill>
        </w:rPr>
        <w:t>安装、质量要求及检验方法应按《组合铝合金模板工程技术规程》JGJ 386的有关规定执行。</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模板工程应编制专项施工方案，施工方案严格包括模板部品的管理、安装、拆除、安全措施、检查验收、监测监控等各项内容。</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模板及支架应具有足够的承载力、刚度和稳定性；早拆体系设计时，保留的支撑杆间距应确保混凝土结构的安全及自身和上部施工的承载力和稳定性要求。</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模板及支架应按现行国家标准进行计算，并按相关构造要求进行设计。</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模板及支架设计应包括下列内容：</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模板及支架的选型及构造设计；</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模板及支架上的荷载及其效应计算；</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模板及支架的承载力、刚度和稳定性验算；</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模板优化结构图纸；</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绘制模板及支架施工图，加工制作图；</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物料清单。</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模板及支架的变形限值应符合下列规定：</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大跨度平板剪力墙要求结构表面实现免抹灰，模板挠度不得大于模板构件计算跨度的</w:t>
      </w:r>
      <w:r>
        <w:rPr>
          <w:color w:val="000000" w:themeColor="text1"/>
          <w14:textFill>
            <w14:solidFill>
              <w14:schemeClr w14:val="tx1"/>
            </w14:solidFill>
          </w14:textFill>
        </w:rPr>
        <w:t>1/400</w:t>
      </w:r>
      <w:r>
        <w:rPr>
          <w:rFonts w:hint="eastAsia"/>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对结构表面隐蔽的模板，其挠度限值宜取为模板构件计算跨度的 1/250；</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支架的轴向压缩变形值或侧向弹性挠度值不得大于计算高度或计算跨度的</w:t>
      </w:r>
      <w:r>
        <w:rPr>
          <w:color w:val="000000" w:themeColor="text1"/>
          <w14:textFill>
            <w14:solidFill>
              <w14:schemeClr w14:val="tx1"/>
            </w14:solidFill>
          </w14:textFill>
        </w:rPr>
        <w:t>1/1000</w:t>
      </w:r>
      <w:r>
        <w:rPr>
          <w:rFonts w:hint="eastAsia"/>
          <w:color w:val="000000" w:themeColor="text1"/>
          <w14:textFill>
            <w14:solidFill>
              <w14:schemeClr w14:val="tx1"/>
            </w14:solidFill>
          </w14:textFill>
        </w:rPr>
        <w:t>。</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模板支架的高宽比不宜大于3.0；当高宽比大于3.0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时，应增设稳定性措施，并应进行支架的抗倾覆验算。</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模板构件应按设计加工图纸及工艺要求进行加工。</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模板成品运输前须经检验合格且按要求打包。</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模板安装前应进行施工技术交底及安全技术交底，有关施工及操作人员应熟悉模板施工图及模板工程的施工设计。</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模板在安装前，应测量放线并采取预起拱等措施保证浇筑后混凝土结构位置准确。并根据混凝土浇筑顺序、一次浇筑高度和浇筑速度，采取可靠的抗侧移、抗倾覆措施。</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模板拆除时，应按施工技术及安全交底拆模，可采取先支的后拆、后支的先拆，先拆非承重模板、后拆承重模板的顺序，并应从上而下进行拆除。</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当混凝土强度达到设计要求时，方可拆除底模及支架，当设计无具体要求时，同条件养护试件的混凝土抗压强度应符合表 6.3.13 的规定。多个楼层间连续支模的底层支架拆除时间，应根据连续支模的楼层间荷载分配和混凝土强度的增长情况确定。</w:t>
      </w:r>
    </w:p>
    <w:p>
      <w:pPr>
        <w:ind w:firstLine="0" w:firstLineChars="0"/>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表6.3.13底模拆除时的混凝土强度要求</w:t>
      </w:r>
    </w:p>
    <w:tbl>
      <w:tblPr>
        <w:tblStyle w:val="31"/>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01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ind w:firstLine="0" w:firstLineChars="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构件类型</w:t>
            </w:r>
          </w:p>
        </w:tc>
        <w:tc>
          <w:tcPr>
            <w:tcW w:w="2018" w:type="dxa"/>
            <w:vAlign w:val="center"/>
          </w:tcPr>
          <w:p>
            <w:pPr>
              <w:ind w:firstLine="42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构件跨度（m）</w:t>
            </w:r>
          </w:p>
        </w:tc>
        <w:tc>
          <w:tcPr>
            <w:tcW w:w="4678" w:type="dxa"/>
            <w:vAlign w:val="center"/>
          </w:tcPr>
          <w:p>
            <w:pPr>
              <w:ind w:firstLine="0" w:firstLineChars="0"/>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按达到设计混凝土强度等级值的百分率计（%）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板</w:t>
            </w:r>
          </w:p>
        </w:tc>
        <w:tc>
          <w:tcPr>
            <w:tcW w:w="201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ind w:firstLine="420"/>
              <w:jc w:val="center"/>
              <w:rPr>
                <w:color w:val="000000" w:themeColor="text1"/>
                <w:sz w:val="21"/>
                <w:szCs w:val="21"/>
                <w14:textFill>
                  <w14:solidFill>
                    <w14:schemeClr w14:val="tx1"/>
                  </w14:solidFill>
                </w14:textFill>
              </w:rPr>
            </w:pPr>
          </w:p>
        </w:tc>
        <w:tc>
          <w:tcPr>
            <w:tcW w:w="2018" w:type="dxa"/>
            <w:vAlign w:val="center"/>
          </w:tcPr>
          <w:p>
            <w:pPr>
              <w:ind w:firstLine="42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&gt;2，</w:t>
            </w: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ind w:firstLine="420"/>
              <w:jc w:val="center"/>
              <w:rPr>
                <w:color w:val="000000" w:themeColor="text1"/>
                <w:sz w:val="21"/>
                <w:szCs w:val="21"/>
                <w14:textFill>
                  <w14:solidFill>
                    <w14:schemeClr w14:val="tx1"/>
                  </w14:solidFill>
                </w14:textFill>
              </w:rPr>
            </w:pPr>
          </w:p>
        </w:tc>
        <w:tc>
          <w:tcPr>
            <w:tcW w:w="2018" w:type="dxa"/>
            <w:vAlign w:val="center"/>
          </w:tcPr>
          <w:p>
            <w:pPr>
              <w:ind w:firstLine="42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&gt;8</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ind w:firstLine="0" w:firstLineChars="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梁、拱、壳</w:t>
            </w:r>
          </w:p>
        </w:tc>
        <w:tc>
          <w:tcPr>
            <w:tcW w:w="201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vAlign w:val="center"/>
          </w:tcPr>
          <w:p>
            <w:pPr>
              <w:ind w:firstLine="420"/>
              <w:jc w:val="center"/>
              <w:rPr>
                <w:color w:val="000000" w:themeColor="text1"/>
                <w:sz w:val="21"/>
                <w:szCs w:val="21"/>
                <w14:textFill>
                  <w14:solidFill>
                    <w14:schemeClr w14:val="tx1"/>
                  </w14:solidFill>
                </w14:textFill>
              </w:rPr>
            </w:pPr>
          </w:p>
        </w:tc>
        <w:tc>
          <w:tcPr>
            <w:tcW w:w="2018" w:type="dxa"/>
            <w:vAlign w:val="center"/>
          </w:tcPr>
          <w:p>
            <w:pPr>
              <w:ind w:firstLine="42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&gt;8</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2" w:type="dxa"/>
            <w:gridSpan w:val="2"/>
            <w:vAlign w:val="center"/>
          </w:tcPr>
          <w:p>
            <w:pPr>
              <w:ind w:firstLine="42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悬臂结构</w:t>
            </w:r>
          </w:p>
        </w:tc>
        <w:tc>
          <w:tcPr>
            <w:tcW w:w="4678" w:type="dxa"/>
            <w:vAlign w:val="center"/>
          </w:tcPr>
          <w:p>
            <w:pPr>
              <w:ind w:firstLine="420"/>
              <w:jc w:val="center"/>
              <w:rPr>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100</w:t>
            </w:r>
          </w:p>
        </w:tc>
      </w:tr>
    </w:tbl>
    <w:p>
      <w:pPr>
        <w:pStyle w:val="65"/>
        <w:rPr>
          <w:color w:val="000000" w:themeColor="text1"/>
          <w14:textFill>
            <w14:solidFill>
              <w14:schemeClr w14:val="tx1"/>
            </w14:solidFill>
          </w14:textFill>
        </w:rPr>
      </w:pP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大模板施工前均应使用不影响后期装修质量的脱模剂进行涂刷，施工过程中遇降水应重新刷涂，并做好大模板质量维护。</w:t>
      </w:r>
    </w:p>
    <w:p>
      <w:pPr>
        <w:ind w:firstLine="480"/>
        <w:rPr>
          <w:color w:val="000000" w:themeColor="text1"/>
          <w:szCs w:val="24"/>
          <w14:textFill>
            <w14:solidFill>
              <w14:schemeClr w14:val="tx1"/>
            </w14:solidFill>
          </w14:textFill>
        </w:rPr>
        <w:sectPr>
          <w:footerReference r:id="rId19" w:type="default"/>
          <w:pgSz w:w="11906" w:h="16838"/>
          <w:pgMar w:top="1440" w:right="1800" w:bottom="1440" w:left="1800" w:header="851" w:footer="992" w:gutter="0"/>
          <w:cols w:space="425" w:num="1"/>
          <w:docGrid w:type="lines" w:linePitch="312" w:charSpace="0"/>
        </w:sectPr>
      </w:pPr>
    </w:p>
    <w:p>
      <w:pPr>
        <w:pStyle w:val="39"/>
        <w:spacing w:before="326" w:after="326"/>
        <w:rPr>
          <w:color w:val="000000" w:themeColor="text1"/>
          <w14:textFill>
            <w14:solidFill>
              <w14:schemeClr w14:val="tx1"/>
            </w14:solidFill>
          </w14:textFill>
        </w:rPr>
      </w:pPr>
      <w:bookmarkStart w:id="155" w:name="_Toc67387524"/>
      <w:bookmarkStart w:id="156" w:name="_Toc87629862"/>
      <w:r>
        <w:rPr>
          <w:rFonts w:hint="eastAsia"/>
          <w:color w:val="000000" w:themeColor="text1"/>
          <w14:textFill>
            <w14:solidFill>
              <w14:schemeClr w14:val="tx1"/>
            </w14:solidFill>
          </w14:textFill>
        </w:rPr>
        <w:t>检查与</w:t>
      </w:r>
      <w:r>
        <w:rPr>
          <w:color w:val="000000" w:themeColor="text1"/>
          <w14:textFill>
            <w14:solidFill>
              <w14:schemeClr w14:val="tx1"/>
            </w14:solidFill>
          </w14:textFill>
        </w:rPr>
        <w:t>验收</w:t>
      </w:r>
      <w:bookmarkEnd w:id="155"/>
      <w:bookmarkEnd w:id="156"/>
    </w:p>
    <w:p>
      <w:pPr>
        <w:pStyle w:val="41"/>
        <w:spacing w:before="326" w:after="326"/>
        <w:ind w:left="0"/>
        <w:rPr>
          <w:color w:val="000000" w:themeColor="text1"/>
          <w14:textFill>
            <w14:solidFill>
              <w14:schemeClr w14:val="tx1"/>
            </w14:solidFill>
          </w14:textFill>
        </w:rPr>
      </w:pPr>
      <w:bookmarkStart w:id="157" w:name="_Toc87359635"/>
      <w:bookmarkStart w:id="158" w:name="_Toc87629863"/>
      <w:bookmarkStart w:id="159" w:name="_Toc67387526"/>
      <w:r>
        <w:rPr>
          <w:color w:val="000000" w:themeColor="text1"/>
          <w14:textFill>
            <w14:solidFill>
              <w14:schemeClr w14:val="tx1"/>
            </w14:solidFill>
          </w14:textFill>
        </w:rPr>
        <w:t>一般规定</w:t>
      </w:r>
      <w:bookmarkEnd w:id="157"/>
      <w:bookmarkEnd w:id="158"/>
      <w:bookmarkEnd w:id="159"/>
    </w:p>
    <w:p>
      <w:pPr>
        <w:pStyle w:val="42"/>
        <w:rPr>
          <w:b/>
          <w:color w:val="000000" w:themeColor="text1"/>
          <w14:textFill>
            <w14:solidFill>
              <w14:schemeClr w14:val="tx1"/>
            </w14:solidFill>
          </w14:textFill>
        </w:rPr>
      </w:pPr>
      <w:bookmarkStart w:id="160" w:name="_Toc67387527"/>
      <w:r>
        <w:rPr>
          <w:color w:val="000000" w:themeColor="text1"/>
          <w14:textFill>
            <w14:solidFill>
              <w14:schemeClr w14:val="tx1"/>
            </w14:solidFill>
          </w14:textFill>
        </w:rPr>
        <w:t>大跨度平板-剪力墙结构其</w:t>
      </w:r>
      <w:r>
        <w:rPr>
          <w:rFonts w:hint="eastAsia"/>
          <w:color w:val="000000" w:themeColor="text1"/>
          <w14:textFill>
            <w14:solidFill>
              <w14:schemeClr w14:val="tx1"/>
            </w14:solidFill>
          </w14:textFill>
        </w:rPr>
        <w:t>检查和</w:t>
      </w:r>
      <w:r>
        <w:rPr>
          <w:color w:val="000000" w:themeColor="text1"/>
          <w14:textFill>
            <w14:solidFill>
              <w14:schemeClr w14:val="tx1"/>
            </w14:solidFill>
          </w14:textFill>
        </w:rPr>
        <w:t>验收应按照</w:t>
      </w:r>
      <w:r>
        <w:rPr>
          <w:rFonts w:hint="eastAsia"/>
          <w:color w:val="000000" w:themeColor="text1"/>
          <w14:textFill>
            <w14:solidFill>
              <w14:schemeClr w14:val="tx1"/>
            </w14:solidFill>
          </w14:textFill>
        </w:rPr>
        <w:t>现行</w:t>
      </w:r>
      <w:r>
        <w:rPr>
          <w:color w:val="000000" w:themeColor="text1"/>
          <w14:textFill>
            <w14:solidFill>
              <w14:schemeClr w14:val="tx1"/>
            </w14:solidFill>
          </w14:textFill>
        </w:rPr>
        <w:t>国家标准《建筑工程施工质量验收统一标准》GB50300、《混凝土结构工程施工质量验收规范》GB50204的</w:t>
      </w:r>
      <w:r>
        <w:rPr>
          <w:rFonts w:hint="eastAsia"/>
          <w:color w:val="000000" w:themeColor="text1"/>
          <w14:textFill>
            <w14:solidFill>
              <w14:schemeClr w14:val="tx1"/>
            </w14:solidFill>
          </w14:textFill>
        </w:rPr>
        <w:t>有关</w:t>
      </w:r>
      <w:r>
        <w:rPr>
          <w:color w:val="000000" w:themeColor="text1"/>
          <w14:textFill>
            <w14:solidFill>
              <w14:schemeClr w14:val="tx1"/>
            </w14:solidFill>
          </w14:textFill>
        </w:rPr>
        <w:t>规定进行。</w:t>
      </w:r>
      <w:bookmarkEnd w:id="160"/>
      <w:bookmarkStart w:id="161" w:name="_Toc67387528"/>
    </w:p>
    <w:p>
      <w:pPr>
        <w:pStyle w:val="42"/>
        <w:rPr>
          <w:b/>
          <w:color w:val="000000" w:themeColor="text1"/>
          <w14:textFill>
            <w14:solidFill>
              <w14:schemeClr w14:val="tx1"/>
            </w14:solidFill>
          </w14:textFill>
        </w:rPr>
      </w:pPr>
      <w:r>
        <w:rPr>
          <w:rFonts w:hint="eastAsia"/>
          <w:bCs/>
          <w:color w:val="000000" w:themeColor="text1"/>
          <w:kern w:val="0"/>
          <w14:textFill>
            <w14:solidFill>
              <w14:schemeClr w14:val="tx1"/>
            </w14:solidFill>
          </w14:textFill>
        </w:rPr>
        <w:t>质量验收的划分应符合《建筑工程施工质量验收统一标准》GB 50300中相关规定</w:t>
      </w:r>
      <w:r>
        <w:rPr>
          <w:bCs/>
          <w:color w:val="000000" w:themeColor="text1"/>
          <w:kern w:val="0"/>
          <w14:textFill>
            <w14:solidFill>
              <w14:schemeClr w14:val="tx1"/>
            </w14:solidFill>
          </w14:textFill>
        </w:rPr>
        <w:t>。</w:t>
      </w:r>
      <w:bookmarkEnd w:id="161"/>
    </w:p>
    <w:p>
      <w:pPr>
        <w:pStyle w:val="42"/>
        <w:rPr>
          <w:b/>
          <w:color w:val="000000" w:themeColor="text1"/>
          <w14:textFill>
            <w14:solidFill>
              <w14:schemeClr w14:val="tx1"/>
            </w14:solidFill>
          </w14:textFill>
        </w:rPr>
      </w:pPr>
      <w:r>
        <w:rPr>
          <w:color w:val="000000" w:themeColor="text1"/>
          <w14:textFill>
            <w14:solidFill>
              <w14:schemeClr w14:val="tx1"/>
            </w14:solidFill>
          </w14:textFill>
        </w:rPr>
        <w:t>检验批的质量验收应包括实物检查及资料检查。</w:t>
      </w:r>
      <w:bookmarkStart w:id="162" w:name="_Toc67387529"/>
    </w:p>
    <w:p>
      <w:pPr>
        <w:pStyle w:val="42"/>
        <w:rPr>
          <w:b/>
          <w:color w:val="000000" w:themeColor="text1"/>
          <w:highlight w:val="none"/>
          <w14:textFill>
            <w14:solidFill>
              <w14:schemeClr w14:val="tx1"/>
            </w14:solidFill>
          </w14:textFill>
        </w:rPr>
      </w:pPr>
      <w:r>
        <w:rPr>
          <w:rFonts w:hint="eastAsia"/>
          <w:bCs/>
          <w:color w:val="000000" w:themeColor="text1"/>
          <w:kern w:val="0"/>
          <w:highlight w:val="none"/>
          <w14:textFill>
            <w14:solidFill>
              <w14:schemeClr w14:val="tx1"/>
            </w14:solidFill>
          </w14:textFill>
        </w:rPr>
        <w:t>严重缺陷为超出合格要求的</w:t>
      </w:r>
      <w:r>
        <w:rPr>
          <w:bCs/>
          <w:color w:val="000000" w:themeColor="text1"/>
          <w:kern w:val="0"/>
          <w:highlight w:val="none"/>
          <w14:textFill>
            <w14:solidFill>
              <w14:schemeClr w14:val="tx1"/>
            </w14:solidFill>
          </w14:textFill>
        </w:rPr>
        <w:t>50%</w:t>
      </w:r>
      <w:r>
        <w:rPr>
          <w:rFonts w:hint="eastAsia"/>
          <w:bCs/>
          <w:color w:val="000000" w:themeColor="text1"/>
          <w:kern w:val="0"/>
          <w:highlight w:val="none"/>
          <w14:textFill>
            <w14:solidFill>
              <w14:schemeClr w14:val="tx1"/>
            </w14:solidFill>
          </w14:textFill>
        </w:rPr>
        <w:t>以上或明显影响使用功能的缺陷。</w:t>
      </w:r>
      <w:bookmarkEnd w:id="162"/>
      <w:bookmarkStart w:id="163" w:name="_Toc67387530"/>
    </w:p>
    <w:p>
      <w:pPr>
        <w:pStyle w:val="41"/>
        <w:spacing w:before="326" w:after="326"/>
        <w:ind w:left="0"/>
        <w:rPr>
          <w:color w:val="000000" w:themeColor="text1"/>
          <w14:textFill>
            <w14:solidFill>
              <w14:schemeClr w14:val="tx1"/>
            </w14:solidFill>
          </w14:textFill>
        </w:rPr>
      </w:pPr>
      <w:bookmarkStart w:id="164" w:name="_Toc87359636"/>
      <w:bookmarkStart w:id="165" w:name="_Toc87629864"/>
      <w:r>
        <w:rPr>
          <w:rFonts w:hint="eastAsia"/>
          <w:color w:val="000000" w:themeColor="text1"/>
          <w14:textFill>
            <w14:solidFill>
              <w14:schemeClr w14:val="tx1"/>
            </w14:solidFill>
          </w14:textFill>
        </w:rPr>
        <w:t>检查</w:t>
      </w:r>
      <w:bookmarkEnd w:id="163"/>
      <w:bookmarkEnd w:id="164"/>
      <w:bookmarkEnd w:id="165"/>
    </w:p>
    <w:p>
      <w:pPr>
        <w:ind w:firstLine="0" w:firstLineChars="0"/>
        <w:jc w:val="center"/>
        <w:rPr>
          <w:b/>
          <w:color w:val="000000" w:themeColor="text1"/>
          <w:kern w:val="0"/>
          <w14:textFill>
            <w14:solidFill>
              <w14:schemeClr w14:val="tx1"/>
            </w14:solidFill>
          </w14:textFill>
        </w:rPr>
      </w:pPr>
      <w:r>
        <w:rPr>
          <w:rFonts w:hint="eastAsia" w:ascii="Times New Roman" w:hAnsi="Times New Roman" w:eastAsia="宋体"/>
          <w:b/>
          <w:color w:val="000000" w:themeColor="text1"/>
          <w:kern w:val="0"/>
          <w:shd w:val="clear" w:color="auto" w:fill="auto"/>
          <w14:textFill>
            <w14:solidFill>
              <w14:schemeClr w14:val="tx1"/>
            </w14:solidFill>
          </w14:textFill>
        </w:rPr>
        <w:t>Ⅰ</w:t>
      </w:r>
      <w:r>
        <w:rPr>
          <w:b/>
          <w:color w:val="000000" w:themeColor="text1"/>
          <w:kern w:val="0"/>
          <w14:textFill>
            <w14:solidFill>
              <w14:schemeClr w14:val="tx1"/>
            </w14:solidFill>
          </w14:textFill>
        </w:rPr>
        <w:t>主控项目</w:t>
      </w:r>
    </w:p>
    <w:p>
      <w:pPr>
        <w:pStyle w:val="42"/>
        <w:rPr>
          <w:color w:val="000000" w:themeColor="text1"/>
          <w14:textFill>
            <w14:solidFill>
              <w14:schemeClr w14:val="tx1"/>
            </w14:solidFill>
          </w14:textFill>
        </w:rPr>
      </w:pPr>
      <w:bookmarkStart w:id="166" w:name="_Toc67387531"/>
      <w:r>
        <w:rPr>
          <w:color w:val="000000" w:themeColor="text1"/>
          <w14:textFill>
            <w14:solidFill>
              <w14:schemeClr w14:val="tx1"/>
            </w14:solidFill>
          </w14:textFill>
        </w:rPr>
        <w:t>平板-剪力墙</w:t>
      </w:r>
      <w:r>
        <w:rPr>
          <w:rFonts w:hint="eastAsia"/>
          <w:color w:val="000000" w:themeColor="text1"/>
          <w14:textFill>
            <w14:solidFill>
              <w14:schemeClr w14:val="tx1"/>
            </w14:solidFill>
          </w14:textFill>
        </w:rPr>
        <w:t>结构所采用混凝土和钢筋原材料及物理力学性质、模板和支架材料及安装质量应符合本规程第7.1.1条规定，且应符合设计要求</w:t>
      </w:r>
      <w:r>
        <w:rPr>
          <w:color w:val="000000" w:themeColor="text1"/>
          <w14:textFill>
            <w14:solidFill>
              <w14:schemeClr w14:val="tx1"/>
            </w14:solidFill>
          </w14:textFill>
        </w:rPr>
        <w:t>。</w:t>
      </w:r>
      <w:bookmarkEnd w:id="166"/>
    </w:p>
    <w:p>
      <w:pPr>
        <w:pStyle w:val="65"/>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大跨度平板-剪力墙结构所采用混凝土主控项目包括混凝土原材料、强度、安定性、凝结时间、外加剂的相关性能、氯离子和碱总含量；钢筋主控项目包括主要检查钢筋牌号、规格、数量、连接、性能、安装位置、锚固、搭接；模板和支架主控项目包括材料及安装质量；以上均应符合《混凝土结构工程施工质量验收规范》GB50204规定，且符合设计要求。</w:t>
      </w:r>
    </w:p>
    <w:p>
      <w:pPr>
        <w:pStyle w:val="65"/>
        <w:rPr>
          <w:color w:val="000000" w:themeColor="text1"/>
          <w14:textFill>
            <w14:solidFill>
              <w14:schemeClr w14:val="tx1"/>
            </w14:solidFill>
          </w14:textFill>
        </w:rPr>
      </w:pPr>
      <w:r>
        <w:rPr>
          <w:rFonts w:hint="eastAsia"/>
          <w:color w:val="000000" w:themeColor="text1"/>
          <w14:textFill>
            <w14:solidFill>
              <w14:schemeClr w14:val="tx1"/>
            </w14:solidFill>
          </w14:textFill>
        </w:rPr>
        <w:t>大跨度平板-剪力墙结构宜采用预拌混凝土，其所采用混凝土原材料、强度、安定性、凝结时间、外加剂的相关性能、氯离子和碱总含量应符合《混凝土结构工程施工质量验收规范》GB50204规定，且应符合设计要求。</w:t>
      </w:r>
    </w:p>
    <w:p>
      <w:pPr>
        <w:pStyle w:val="42"/>
        <w:rPr>
          <w:color w:val="000000" w:themeColor="text1"/>
          <w14:textFill>
            <w14:solidFill>
              <w14:schemeClr w14:val="tx1"/>
            </w14:solidFill>
          </w14:textFill>
        </w:rPr>
      </w:pPr>
      <w:bookmarkStart w:id="167" w:name="_Toc67387534"/>
      <w:r>
        <w:rPr>
          <w:rFonts w:hint="eastAsia"/>
          <w:color w:val="000000" w:themeColor="text1"/>
          <w14:textFill>
            <w14:solidFill>
              <w14:schemeClr w14:val="tx1"/>
            </w14:solidFill>
          </w14:textFill>
        </w:rPr>
        <w:t>平板-剪力墙施工后，其外观质量不应有严重缺陷，且不应有影响结构性能和安装、使用功能的尺寸偏差。</w:t>
      </w:r>
      <w:bookmarkEnd w:id="167"/>
    </w:p>
    <w:p>
      <w:pPr>
        <w:ind w:firstLine="482"/>
        <w:jc w:val="center"/>
        <w:rPr>
          <w:b/>
          <w:color w:val="000000" w:themeColor="text1"/>
          <w:kern w:val="0"/>
          <w14:textFill>
            <w14:solidFill>
              <w14:schemeClr w14:val="tx1"/>
            </w14:solidFill>
          </w14:textFill>
        </w:rPr>
      </w:pPr>
      <w:r>
        <w:rPr>
          <w:rFonts w:hint="eastAsia"/>
          <w:b/>
          <w:color w:val="000000" w:themeColor="text1"/>
          <w:kern w:val="0"/>
          <w14:textFill>
            <w14:solidFill>
              <w14:schemeClr w14:val="tx1"/>
            </w14:solidFill>
          </w14:textFill>
        </w:rPr>
        <w:t>Ⅱ一般</w:t>
      </w:r>
      <w:r>
        <w:rPr>
          <w:b/>
          <w:color w:val="000000" w:themeColor="text1"/>
          <w:kern w:val="0"/>
          <w14:textFill>
            <w14:solidFill>
              <w14:schemeClr w14:val="tx1"/>
            </w14:solidFill>
          </w14:textFill>
        </w:rPr>
        <w:t>项目</w:t>
      </w:r>
    </w:p>
    <w:p>
      <w:pPr>
        <w:pStyle w:val="42"/>
        <w:rPr>
          <w:b/>
          <w:color w:val="000000" w:themeColor="text1"/>
          <w14:textFill>
            <w14:solidFill>
              <w14:schemeClr w14:val="tx1"/>
            </w14:solidFill>
          </w14:textFill>
        </w:rPr>
      </w:pPr>
      <w:bookmarkStart w:id="168" w:name="_Toc67387535"/>
      <w:r>
        <w:rPr>
          <w:color w:val="000000" w:themeColor="text1"/>
          <w14:textFill>
            <w14:solidFill>
              <w14:schemeClr w14:val="tx1"/>
            </w14:solidFill>
          </w14:textFill>
        </w:rPr>
        <w:t>平板-剪力墙</w:t>
      </w:r>
      <w:r>
        <w:rPr>
          <w:rFonts w:hint="eastAsia"/>
          <w:color w:val="000000" w:themeColor="text1"/>
          <w14:textFill>
            <w14:solidFill>
              <w14:schemeClr w14:val="tx1"/>
            </w14:solidFill>
          </w14:textFill>
        </w:rPr>
        <w:t>结构一般项目的检查应按本规程第</w:t>
      </w:r>
      <w:r>
        <w:rPr>
          <w:color w:val="000000" w:themeColor="text1"/>
          <w14:textFill>
            <w14:solidFill>
              <w14:schemeClr w14:val="tx1"/>
            </w14:solidFill>
          </w14:textFill>
        </w:rPr>
        <w:t>7.1.1</w:t>
      </w:r>
      <w:r>
        <w:rPr>
          <w:rFonts w:hint="eastAsia"/>
          <w:color w:val="000000" w:themeColor="text1"/>
          <w14:textFill>
            <w14:solidFill>
              <w14:schemeClr w14:val="tx1"/>
            </w14:solidFill>
          </w14:textFill>
        </w:rPr>
        <w:t>条有关规定执行。</w:t>
      </w:r>
      <w:bookmarkEnd w:id="168"/>
    </w:p>
    <w:p>
      <w:pPr>
        <w:pStyle w:val="41"/>
        <w:spacing w:before="326" w:after="326"/>
        <w:ind w:left="0"/>
        <w:rPr>
          <w:color w:val="000000" w:themeColor="text1"/>
          <w14:textFill>
            <w14:solidFill>
              <w14:schemeClr w14:val="tx1"/>
            </w14:solidFill>
          </w14:textFill>
        </w:rPr>
      </w:pPr>
      <w:bookmarkStart w:id="169" w:name="_Toc87359637"/>
      <w:bookmarkStart w:id="170" w:name="_Toc87629865"/>
      <w:bookmarkStart w:id="171" w:name="_Toc67387536"/>
      <w:r>
        <w:rPr>
          <w:rFonts w:hint="eastAsia"/>
          <w:color w:val="000000" w:themeColor="text1"/>
          <w14:textFill>
            <w14:solidFill>
              <w14:schemeClr w14:val="tx1"/>
            </w14:solidFill>
          </w14:textFill>
        </w:rPr>
        <w:t>验收</w:t>
      </w:r>
      <w:bookmarkEnd w:id="169"/>
      <w:bookmarkEnd w:id="170"/>
      <w:bookmarkEnd w:id="171"/>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进场时，应检查钢筋焊接网的质量证明书及钢筋焊接网所用材料的检验合格报告，并应抽样检验钢筋焊接网的屈服强度、抗拉强度、伸长率。检验批量可由合同约定，且同一工程、同一原材料来源、同一组生产设备生产的成型钢筋， 检验批量不应大于 100t。钢筋焊接网的验收应符合《钢筋焊接网混凝土结构技术规程》JGJ114的有关规定。</w:t>
      </w:r>
    </w:p>
    <w:p>
      <w:pPr>
        <w:pStyle w:val="42"/>
        <w:rPr>
          <w:b/>
          <w:color w:val="000000" w:themeColor="text1"/>
          <w14:textFill>
            <w14:solidFill>
              <w14:schemeClr w14:val="tx1"/>
            </w14:solidFill>
          </w14:textFill>
        </w:rPr>
      </w:pPr>
      <w:r>
        <w:rPr>
          <w:rFonts w:hint="eastAsia"/>
          <w:color w:val="000000" w:themeColor="text1"/>
          <w14:textFill>
            <w14:solidFill>
              <w14:schemeClr w14:val="tx1"/>
            </w14:solidFill>
          </w14:textFill>
        </w:rPr>
        <w:t>当使用钢筋焊接网时，检查验收应符合下列规定：</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w:t>
      </w:r>
      <w:r>
        <w:rPr>
          <w:color w:val="000000" w:themeColor="text1"/>
          <w14:textFill>
            <w14:solidFill>
              <w14:schemeClr w14:val="tx1"/>
            </w14:solidFill>
          </w14:textFill>
        </w:rPr>
        <w:t>应按批验收，每批应由同厂家、同一原材料来源、同一生产设备并在同一连续时段内生产的、受力主筋为同一直径的焊接网组成，重量不应大于30t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同时应检査焊接网所用材料的产品合格证及检验报告</w:t>
      </w:r>
      <w:r>
        <w:rPr>
          <w:rFonts w:hint="eastAsia"/>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color w:val="000000" w:themeColor="text1"/>
          <w14:textFill>
            <w14:solidFill>
              <w14:schemeClr w14:val="tx1"/>
            </w14:solidFill>
          </w14:textFill>
        </w:rPr>
        <w:t>每批焊接网应抽取5％，且不应少于3张，进行外观质量和几何尺寸的检验</w:t>
      </w:r>
      <w:r>
        <w:rPr>
          <w:rFonts w:hint="eastAsia"/>
          <w:color w:val="000000" w:themeColor="text1"/>
          <w14:textFill>
            <w14:solidFill>
              <w14:schemeClr w14:val="tx1"/>
            </w14:solidFill>
          </w14:textFill>
        </w:rPr>
        <w:t>。焊接网外观质量和几何尺寸的检查应符合下列规定：</w:t>
      </w:r>
    </w:p>
    <w:p>
      <w:pPr>
        <w:numPr>
          <w:ilvl w:val="0"/>
          <w:numId w:val="9"/>
        </w:numPr>
        <w:adjustRightInd/>
        <w:snapToGrid/>
        <w:ind w:firstLine="48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焊接网交叉点开焊数量不应超过整张网交叉点总数的1%，且任一根钢筋上开焊点数不得超过该根钢筋上交叉点总数的50%。焊接网最外边钢筋上的交叉点不应开焊</w:t>
      </w:r>
      <w:r>
        <w:rPr>
          <w:color w:val="000000" w:themeColor="text1"/>
          <w14:textFill>
            <w14:solidFill>
              <w14:schemeClr w14:val="tx1"/>
            </w14:solidFill>
          </w14:textFill>
        </w:rPr>
        <w:t>。焊接网表面不得有影响使用的缺陷，可允许有毛刺、表面浮锈和因调直造成的钢筋表面轻微损伤，对因取样产生的钢筋局部空缺必须采用相应的钢筋补上</w:t>
      </w:r>
      <w:r>
        <w:rPr>
          <w:rFonts w:hint="eastAsia"/>
          <w:color w:val="000000" w:themeColor="text1"/>
          <w14:textFill>
            <w14:solidFill>
              <w14:schemeClr w14:val="tx1"/>
            </w14:solidFill>
          </w14:textFill>
        </w:rPr>
        <w:t>；</w:t>
      </w:r>
    </w:p>
    <w:p>
      <w:pPr>
        <w:numPr>
          <w:ilvl w:val="0"/>
          <w:numId w:val="9"/>
        </w:numPr>
        <w:adjustRightInd/>
        <w:snapToGrid/>
        <w:ind w:firstLine="480" w:firstLineChars="0"/>
        <w:jc w:val="left"/>
        <w:rPr>
          <w:color w:val="000000" w:themeColor="text1"/>
          <w14:textFill>
            <w14:solidFill>
              <w14:schemeClr w14:val="tx1"/>
            </w14:solidFill>
          </w14:textFill>
        </w:rPr>
      </w:pPr>
      <w:r>
        <w:rPr>
          <w:color w:val="000000" w:themeColor="text1"/>
          <w14:textFill>
            <w14:solidFill>
              <w14:schemeClr w14:val="tx1"/>
            </w14:solidFill>
          </w14:textFill>
        </w:rPr>
        <w:t>焊接网几何尺寸的允许偏差应符合表7.3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的规定，且在一张焊接网中纵横向钢筋的根数应符合设计要求</w:t>
      </w:r>
      <w:r>
        <w:rPr>
          <w:rFonts w:hint="eastAsia"/>
          <w:color w:val="000000" w:themeColor="text1"/>
          <w14:textFill>
            <w14:solidFill>
              <w14:schemeClr w14:val="tx1"/>
            </w14:solidFill>
          </w14:textFill>
        </w:rPr>
        <w:t>。</w:t>
      </w:r>
    </w:p>
    <w:p>
      <w:pPr>
        <w:ind w:firstLine="0" w:firstLineChars="0"/>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color w:val="000000" w:themeColor="text1"/>
          <w14:textFill>
            <w14:solidFill>
              <w14:schemeClr w14:val="tx1"/>
            </w14:solidFill>
          </w14:textFill>
        </w:rPr>
        <w:t>7.3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-1   焊接网几何尺寸允许偏差</w:t>
      </w:r>
    </w:p>
    <w:tbl>
      <w:tblPr>
        <w:tblStyle w:val="31"/>
        <w:tblW w:w="68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4"/>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2893"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焊接网的长度、宽度（</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w:t>
            </w:r>
          </w:p>
        </w:tc>
        <w:tc>
          <w:tcPr>
            <w:tcW w:w="2893"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color w:val="000000" w:themeColor="text1"/>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网格的长度、宽度（</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w:t>
            </w:r>
          </w:p>
        </w:tc>
        <w:tc>
          <w:tcPr>
            <w:tcW w:w="2893"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对角线</w:t>
            </w:r>
            <w:r>
              <w:rPr>
                <w:color w:val="000000" w:themeColor="text1"/>
                <w14:textFill>
                  <w14:solidFill>
                    <w14:schemeClr w14:val="tx1"/>
                  </w14:solidFill>
                </w14:textFill>
              </w:rPr>
              <w:t>（%）</w:t>
            </w:r>
          </w:p>
        </w:tc>
        <w:tc>
          <w:tcPr>
            <w:tcW w:w="2893" w:type="dxa"/>
            <w:tcBorders>
              <w:top w:val="single" w:color="auto" w:sz="4" w:space="0"/>
              <w:left w:val="single" w:color="auto" w:sz="4" w:space="0"/>
              <w:bottom w:val="single" w:color="auto" w:sz="4" w:space="0"/>
              <w:right w:val="single" w:color="auto" w:sz="4" w:space="0"/>
            </w:tcBorders>
          </w:tcPr>
          <w:p>
            <w:pPr>
              <w:ind w:firstLine="480"/>
              <w:jc w:val="left"/>
              <w:rPr>
                <w:color w:val="000000" w:themeColor="text1"/>
                <w14:textFill>
                  <w14:solidFill>
                    <w14:schemeClr w14:val="tx1"/>
                  </w14:solidFill>
                </w14:textFill>
              </w:rPr>
            </w:pPr>
            <w:r>
              <w:rPr>
                <w:color w:val="000000" w:themeColor="text1"/>
                <w14:textFill>
                  <w14:solidFill>
                    <w14:schemeClr w14:val="tx1"/>
                  </w14:solidFill>
                </w14:textFill>
              </w:rPr>
              <w:t>0.5</w:t>
            </w:r>
          </w:p>
        </w:tc>
      </w:tr>
    </w:tbl>
    <w:p>
      <w:pPr>
        <w:ind w:firstLine="960" w:firstLineChars="4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注:对角线差系指焊接网最外边两个对角焊点连线之差。</w:t>
      </w:r>
    </w:p>
    <w:p>
      <w:pPr>
        <w:ind w:firstLine="480"/>
        <w:jc w:val="left"/>
        <w:rPr>
          <w:color w:val="000000" w:themeColor="text1"/>
          <w14:textFill>
            <w14:solidFill>
              <w14:schemeClr w14:val="tx1"/>
            </w14:solidFill>
          </w14:textFill>
        </w:rPr>
      </w:pP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每批焊接网中每种钢筋牌号、规格均应至少抽取1个钢筋试件，总数不应少于3个，进行屈服强度、抗拉强度、伸长率和重量偏差检验，检验结果应符合国家现行有关标准的规定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冷拔光面钢筋焊接网尚应进行钢筋直径偏差检验，允许偏差应符合表7.3.24-2的规定；</w:t>
      </w:r>
    </w:p>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color w:val="000000" w:themeColor="text1"/>
          <w14:textFill>
            <w14:solidFill>
              <w14:schemeClr w14:val="tx1"/>
            </w14:solidFill>
          </w14:textFill>
        </w:rPr>
        <w:t>7.3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-2   冷拔光面钢筋焊接网的钢筋直径允许偏差（</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w:t>
      </w:r>
    </w:p>
    <w:tbl>
      <w:tblPr>
        <w:tblStyle w:val="31"/>
        <w:tblW w:w="77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7"/>
        <w:gridCol w:w="1800"/>
        <w:gridCol w:w="1717"/>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357"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钢筋公称直径（d）</w:t>
            </w:r>
          </w:p>
        </w:tc>
        <w:tc>
          <w:tcPr>
            <w:tcW w:w="1800"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717"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5＜d＜10</w:t>
            </w:r>
          </w:p>
        </w:tc>
        <w:tc>
          <w:tcPr>
            <w:tcW w:w="1850"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357"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允许偏差</w:t>
            </w:r>
          </w:p>
        </w:tc>
        <w:tc>
          <w:tcPr>
            <w:tcW w:w="1800"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0.10</w:t>
            </w:r>
          </w:p>
        </w:tc>
        <w:tc>
          <w:tcPr>
            <w:tcW w:w="1717"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0.15</w:t>
            </w:r>
          </w:p>
        </w:tc>
        <w:tc>
          <w:tcPr>
            <w:tcW w:w="1850" w:type="dxa"/>
            <w:tcBorders>
              <w:top w:val="single" w:color="auto" w:sz="4" w:space="0"/>
              <w:left w:val="single" w:color="auto" w:sz="4" w:space="0"/>
              <w:bottom w:val="single" w:color="auto" w:sz="4" w:space="0"/>
              <w:right w:val="single" w:color="auto" w:sz="4" w:space="0"/>
            </w:tcBorders>
          </w:tcPr>
          <w:p>
            <w:pPr>
              <w:ind w:firstLine="480"/>
              <w:jc w:val="cente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0.20</w:t>
            </w:r>
          </w:p>
        </w:tc>
      </w:tr>
    </w:tbl>
    <w:p>
      <w:pPr>
        <w:ind w:firstLine="480"/>
        <w:jc w:val="left"/>
        <w:rPr>
          <w:color w:val="000000" w:themeColor="text1"/>
          <w14:textFill>
            <w14:solidFill>
              <w14:schemeClr w14:val="tx1"/>
            </w14:solidFill>
          </w14:textFill>
        </w:rPr>
      </w:pP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钢筋焊接网搭接长度的允许偏差为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30mm。对墙和板应按有代表性的自然间抽查10%，且不应少于3间。</w:t>
      </w:r>
    </w:p>
    <w:p>
      <w:pPr>
        <w:pStyle w:val="42"/>
        <w:rPr>
          <w:color w:val="000000" w:themeColor="text1"/>
          <w14:textFill>
            <w14:solidFill>
              <w14:schemeClr w14:val="tx1"/>
            </w14:solidFill>
          </w14:textFill>
        </w:rPr>
      </w:pPr>
      <w:r>
        <w:rPr>
          <w:rFonts w:hint="eastAsia"/>
          <w:color w:val="000000" w:themeColor="text1"/>
          <w:szCs w:val="24"/>
          <w14:textFill>
            <w14:solidFill>
              <w14:schemeClr w14:val="tx1"/>
            </w14:solidFill>
          </w14:textFill>
        </w:rPr>
        <w:t>铝合金模板、支架杆件和连接件的进场检查应符合《组合铝合金模板工程技术规程》J</w:t>
      </w:r>
      <w:r>
        <w:rPr>
          <w:color w:val="000000" w:themeColor="text1"/>
          <w:szCs w:val="24"/>
          <w14:textFill>
            <w14:solidFill>
              <w14:schemeClr w14:val="tx1"/>
            </w14:solidFill>
          </w14:textFill>
        </w:rPr>
        <w:t>GJ386</w:t>
      </w:r>
      <w:r>
        <w:rPr>
          <w:rFonts w:hint="eastAsia"/>
          <w:color w:val="000000" w:themeColor="text1"/>
          <w:szCs w:val="24"/>
          <w14:textFill>
            <w14:solidFill>
              <w14:schemeClr w14:val="tx1"/>
            </w14:solidFill>
          </w14:textFill>
        </w:rPr>
        <w:t>的相关规定。</w:t>
      </w:r>
    </w:p>
    <w:p>
      <w:pPr>
        <w:pStyle w:val="42"/>
        <w:rPr>
          <w:color w:val="000000" w:themeColor="text1"/>
          <w14:textFill>
            <w14:solidFill>
              <w14:schemeClr w14:val="tx1"/>
            </w14:solidFill>
          </w14:textFill>
        </w:rPr>
      </w:pPr>
      <w:r>
        <w:rPr>
          <w:rFonts w:hint="eastAsia"/>
          <w:color w:val="000000" w:themeColor="text1"/>
          <w:szCs w:val="24"/>
          <w14:textFill>
            <w14:solidFill>
              <w14:schemeClr w14:val="tx1"/>
            </w14:solidFill>
          </w14:textFill>
        </w:rPr>
        <w:t>模板安装和浇筑混凝土时，应对模板工程进行检查；发生异常时，应按施工技术方案及时进行处理。模板工程施工完毕后必须经过验收。模板的起拱等模板工程的验收按现行国家标准《混凝土结构工程施工质量验收规范》GB 50204的有关规定执行。</w:t>
      </w:r>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模板工程安装过程中，应检查下列内容：</w:t>
      </w:r>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模板的布置和施工顺序；</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连接件及支承件的规格、质量和紧固情况；</w:t>
      </w:r>
    </w:p>
    <w:p>
      <w:pPr>
        <w:pStyle w:val="43"/>
        <w:rPr>
          <w:color w:val="000000" w:themeColor="text1"/>
          <w14:textFill>
            <w14:solidFill>
              <w14:schemeClr w14:val="tx1"/>
            </w14:solidFill>
          </w14:textFill>
        </w:rPr>
      </w:pPr>
      <w:r>
        <w:rPr>
          <w:bCs/>
          <w:color w:val="000000" w:themeColor="text1"/>
          <w14:textFill>
            <w14:solidFill>
              <w14:schemeClr w14:val="tx1"/>
            </w14:solidFill>
          </w14:textFill>
        </w:rPr>
        <w:t>支承着力点和模板结构整体稳定性</w:t>
      </w:r>
      <w:r>
        <w:rPr>
          <w:rFonts w:hint="eastAsia"/>
          <w:bCs/>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模板轴线位置和标志；</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竖向模板的垂直度和横向模板的侧向平整度；</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模板的拼缝宽度和高低差；</w:t>
      </w:r>
    </w:p>
    <w:p>
      <w:pPr>
        <w:pStyle w:val="43"/>
        <w:rPr>
          <w:color w:val="000000" w:themeColor="text1"/>
          <w14:textFill>
            <w14:solidFill>
              <w14:schemeClr w14:val="tx1"/>
            </w14:solidFill>
          </w14:textFill>
        </w:rPr>
      </w:pPr>
      <w:r>
        <w:rPr>
          <w:bCs/>
          <w:color w:val="000000" w:themeColor="text1"/>
          <w14:textFill>
            <w14:solidFill>
              <w14:schemeClr w14:val="tx1"/>
            </w14:solidFill>
          </w14:textFill>
        </w:rPr>
        <w:t>预埋件和预留孔洞的规格数量及固定情况</w:t>
      </w:r>
      <w:r>
        <w:rPr>
          <w:rFonts w:hint="eastAsia"/>
          <w:bCs/>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bCs/>
          <w:color w:val="000000" w:themeColor="text1"/>
          <w14:textFill>
            <w14:solidFill>
              <w14:schemeClr w14:val="tx1"/>
            </w14:solidFill>
          </w14:textFill>
        </w:rPr>
        <w:t>对拉螺栓、背楞与钢支顶的间距</w:t>
      </w:r>
      <w:r>
        <w:rPr>
          <w:rFonts w:hint="eastAsia"/>
          <w:bCs/>
          <w:color w:val="000000" w:themeColor="text1"/>
          <w14:textFill>
            <w14:solidFill>
              <w14:schemeClr w14:val="tx1"/>
            </w14:solidFill>
          </w14:textFill>
        </w:rPr>
        <w:t>；</w:t>
      </w:r>
    </w:p>
    <w:p>
      <w:pPr>
        <w:pStyle w:val="43"/>
        <w:rPr>
          <w:color w:val="000000" w:themeColor="text1"/>
          <w14:textFill>
            <w14:solidFill>
              <w14:schemeClr w14:val="tx1"/>
            </w14:solidFill>
          </w14:textFill>
        </w:rPr>
      </w:pPr>
      <w:r>
        <w:rPr>
          <w:bCs/>
          <w:color w:val="000000" w:themeColor="text1"/>
          <w14:textFill>
            <w14:solidFill>
              <w14:schemeClr w14:val="tx1"/>
            </w14:solidFill>
          </w14:textFill>
        </w:rPr>
        <w:t>有关安全措施</w:t>
      </w:r>
      <w:r>
        <w:rPr>
          <w:rFonts w:hint="eastAsia"/>
          <w:bCs/>
          <w:color w:val="000000" w:themeColor="text1"/>
          <w14:textFill>
            <w14:solidFill>
              <w14:schemeClr w14:val="tx1"/>
            </w14:solidFill>
          </w14:textFill>
        </w:rPr>
        <w:t>。</w:t>
      </w:r>
      <w:bookmarkStart w:id="172" w:name="_Toc67387538"/>
    </w:p>
    <w:p>
      <w:pPr>
        <w:pStyle w:val="42"/>
        <w:rPr>
          <w:color w:val="000000" w:themeColor="text1"/>
          <w14:textFill>
            <w14:solidFill>
              <w14:schemeClr w14:val="tx1"/>
            </w14:solidFill>
          </w14:textFill>
        </w:rPr>
      </w:pPr>
      <w:r>
        <w:rPr>
          <w:rFonts w:hint="eastAsia"/>
          <w:color w:val="000000" w:themeColor="text1"/>
          <w14:textFill>
            <w14:solidFill>
              <w14:schemeClr w14:val="tx1"/>
            </w14:solidFill>
          </w14:textFill>
        </w:rPr>
        <w:t>模板工程验收时，应提供下列文件</w:t>
      </w:r>
      <w:r>
        <w:rPr>
          <w:rFonts w:hint="eastAsia"/>
          <w:color w:val="000000" w:themeColor="text1"/>
          <w:szCs w:val="24"/>
          <w14:textFill>
            <w14:solidFill>
              <w14:schemeClr w14:val="tx1"/>
            </w14:solidFill>
          </w14:textFill>
        </w:rPr>
        <w:t>：</w:t>
      </w:r>
      <w:bookmarkEnd w:id="172"/>
    </w:p>
    <w:p>
      <w:pPr>
        <w:pStyle w:val="43"/>
        <w:rPr>
          <w:color w:val="000000" w:themeColor="text1"/>
          <w14:textFill>
            <w14:solidFill>
              <w14:schemeClr w14:val="tx1"/>
            </w14:solidFill>
          </w14:textFill>
        </w:rPr>
      </w:pPr>
      <w:r>
        <w:rPr>
          <w:rFonts w:hint="eastAsia"/>
          <w:color w:val="000000" w:themeColor="text1"/>
          <w14:textFill>
            <w14:solidFill>
              <w14:schemeClr w14:val="tx1"/>
            </w14:solidFill>
          </w14:textFill>
        </w:rPr>
        <w:t>模板工程的施工设计或有关模板排列图和支撑系统布置图；</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模板工程质量检查记录及验收记录；</w:t>
      </w:r>
    </w:p>
    <w:p>
      <w:pPr>
        <w:pStyle w:val="43"/>
        <w:rPr>
          <w:color w:val="000000" w:themeColor="text1"/>
          <w14:textFill>
            <w14:solidFill>
              <w14:schemeClr w14:val="tx1"/>
            </w14:solidFill>
          </w14:textFill>
        </w:rPr>
      </w:pPr>
      <w:r>
        <w:rPr>
          <w:rFonts w:hint="eastAsia"/>
          <w:bCs/>
          <w:color w:val="000000" w:themeColor="text1"/>
          <w14:textFill>
            <w14:solidFill>
              <w14:schemeClr w14:val="tx1"/>
            </w14:solidFill>
          </w14:textFill>
        </w:rPr>
        <w:t>模板工程支模的重大问题及处理记录；</w:t>
      </w:r>
    </w:p>
    <w:p>
      <w:pPr>
        <w:pStyle w:val="54"/>
        <w:numPr>
          <w:ilvl w:val="0"/>
          <w:numId w:val="0"/>
        </w:numPr>
        <w:outlineLvl w:val="2"/>
        <w:rPr>
          <w:bCs/>
          <w:color w:val="000000" w:themeColor="text1"/>
          <w14:textFill>
            <w14:solidFill>
              <w14:schemeClr w14:val="tx1"/>
            </w14:solidFill>
          </w14:textFill>
        </w:rPr>
      </w:pPr>
    </w:p>
    <w:p>
      <w:pPr>
        <w:pStyle w:val="42"/>
        <w:rPr>
          <w:b/>
          <w:color w:val="000000" w:themeColor="text1"/>
          <w:szCs w:val="24"/>
          <w14:textFill>
            <w14:solidFill>
              <w14:schemeClr w14:val="tx1"/>
            </w14:solidFill>
          </w14:textFill>
        </w:rPr>
      </w:pPr>
      <w:r>
        <w:rPr>
          <w:rFonts w:hint="eastAsia"/>
          <w:color w:val="000000" w:themeColor="text1"/>
          <w14:textFill>
            <w14:solidFill>
              <w14:schemeClr w14:val="tx1"/>
            </w14:solidFill>
          </w14:textFill>
        </w:rPr>
        <w:t>对固定在模板上的预埋件、预留孔和预留洞，应检查其数量和尺寸，允许偏差应符合表 7.3.7 的规定</w:t>
      </w:r>
      <w:r>
        <w:rPr>
          <w:rFonts w:hint="eastAsia"/>
          <w:b/>
          <w:color w:val="000000" w:themeColor="text1"/>
          <w:szCs w:val="24"/>
          <w14:textFill>
            <w14:solidFill>
              <w14:schemeClr w14:val="tx1"/>
            </w14:solidFill>
          </w14:textFill>
        </w:rPr>
        <w:t>。</w:t>
      </w:r>
    </w:p>
    <w:p>
      <w:pPr>
        <w:ind w:firstLine="480"/>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表7.3.7预埋件、预留孔和预留洞的允许偏差</w:t>
      </w:r>
    </w:p>
    <w:tbl>
      <w:tblPr>
        <w:tblStyle w:val="3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957"/>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0" w:type="dxa"/>
            <w:gridSpan w:val="2"/>
            <w:vAlign w:val="center"/>
          </w:tcPr>
          <w:p>
            <w:pPr>
              <w:ind w:firstLine="482"/>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                 目</w:t>
            </w:r>
          </w:p>
        </w:tc>
        <w:tc>
          <w:tcPr>
            <w:tcW w:w="4136" w:type="dxa"/>
            <w:vAlign w:val="center"/>
          </w:tcPr>
          <w:p>
            <w:pPr>
              <w:ind w:firstLine="482"/>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预埋钢板中心线位置</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6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预埋管、预留孔中心线位置</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插筋</w:t>
            </w: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中心线位置</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continue"/>
            <w:vAlign w:val="center"/>
          </w:tcPr>
          <w:p>
            <w:pPr>
              <w:ind w:firstLine="480"/>
              <w:jc w:val="center"/>
              <w:rPr>
                <w:color w:val="000000" w:themeColor="text1"/>
                <w14:textFill>
                  <w14:solidFill>
                    <w14:schemeClr w14:val="tx1"/>
                  </w14:solidFill>
                </w14:textFill>
              </w:rPr>
            </w:pP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外露长度</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预埋螺栓</w:t>
            </w: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中心线位置</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continue"/>
            <w:vAlign w:val="center"/>
          </w:tcPr>
          <w:p>
            <w:pPr>
              <w:ind w:firstLine="480"/>
              <w:jc w:val="center"/>
              <w:rPr>
                <w:color w:val="000000" w:themeColor="text1"/>
                <w14:textFill>
                  <w14:solidFill>
                    <w14:schemeClr w14:val="tx1"/>
                  </w14:solidFill>
                </w14:textFill>
              </w:rPr>
            </w:pP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外露长度</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预留洞</w:t>
            </w: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中心线位置</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Merge w:val="continue"/>
            <w:vAlign w:val="center"/>
          </w:tcPr>
          <w:p>
            <w:pPr>
              <w:ind w:firstLine="480"/>
              <w:jc w:val="center"/>
              <w:rPr>
                <w:color w:val="000000" w:themeColor="text1"/>
                <w14:textFill>
                  <w14:solidFill>
                    <w14:schemeClr w14:val="tx1"/>
                  </w14:solidFill>
                </w14:textFill>
              </w:rPr>
            </w:pPr>
          </w:p>
        </w:tc>
        <w:tc>
          <w:tcPr>
            <w:tcW w:w="2957"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截面内部尺寸</w:t>
            </w:r>
          </w:p>
        </w:tc>
        <w:tc>
          <w:tcPr>
            <w:tcW w:w="413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r>
    </w:tbl>
    <w:p>
      <w:pPr>
        <w:ind w:left="420" w:firstLine="480"/>
        <w:outlineLvl w:val="2"/>
        <w:rPr>
          <w:color w:val="000000" w:themeColor="text1"/>
          <w:szCs w:val="24"/>
          <w14:textFill>
            <w14:solidFill>
              <w14:schemeClr w14:val="tx1"/>
            </w14:solidFill>
          </w14:textFill>
        </w:rPr>
      </w:pPr>
    </w:p>
    <w:p>
      <w:pPr>
        <w:pStyle w:val="42"/>
        <w:rPr>
          <w:color w:val="000000" w:themeColor="text1"/>
          <w14:textFill>
            <w14:solidFill>
              <w14:schemeClr w14:val="tx1"/>
            </w14:solidFill>
          </w14:textFill>
        </w:rPr>
      </w:pPr>
      <w:bookmarkStart w:id="173" w:name="_Toc67387539"/>
      <w:r>
        <w:rPr>
          <w:rFonts w:hint="eastAsia"/>
          <w:color w:val="000000" w:themeColor="text1"/>
          <w14:textFill>
            <w14:solidFill>
              <w14:schemeClr w14:val="tx1"/>
            </w14:solidFill>
          </w14:textFill>
        </w:rPr>
        <w:t>对现浇结构高精度模板，应检查尺寸，允许偏差和检查方法应符合表 7.3.8 的规定。</w:t>
      </w:r>
    </w:p>
    <w:bookmarkEnd w:id="173"/>
    <w:p>
      <w:pPr>
        <w:ind w:firstLine="0" w:firstLineChars="0"/>
        <w:jc w:val="center"/>
        <w:outlineLvl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表7.3.8 高精度模板允许偏差和检查方法</w:t>
      </w:r>
    </w:p>
    <w:tbl>
      <w:tblPr>
        <w:tblStyle w:val="31"/>
        <w:tblpPr w:leftFromText="180" w:rightFromText="180" w:vertAnchor="text" w:horzAnchor="page" w:tblpX="1788" w:tblpY="200"/>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844"/>
        <w:gridCol w:w="1815"/>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项          目</w:t>
            </w:r>
          </w:p>
        </w:tc>
        <w:tc>
          <w:tcPr>
            <w:tcW w:w="1815" w:type="dxa"/>
            <w:vAlign w:val="center"/>
          </w:tcPr>
          <w:p>
            <w:pPr>
              <w:ind w:firstLine="480"/>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允许偏差（mm）</w:t>
            </w:r>
          </w:p>
        </w:tc>
        <w:tc>
          <w:tcPr>
            <w:tcW w:w="3051" w:type="dxa"/>
            <w:vAlign w:val="center"/>
          </w:tcPr>
          <w:p>
            <w:pPr>
              <w:ind w:firstLine="480"/>
              <w:jc w:val="cente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模板垂直度</w:t>
            </w:r>
          </w:p>
        </w:tc>
        <w:tc>
          <w:tcPr>
            <w:tcW w:w="1815"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3051" w:type="dxa"/>
            <w:vAlign w:val="center"/>
          </w:tcPr>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水准仪或吊线、钢尺检查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梁侧、墙、柱模板平整度</w:t>
            </w:r>
          </w:p>
        </w:tc>
        <w:tc>
          <w:tcPr>
            <w:tcW w:w="1815"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水准仪或吊线、钢尺检查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墙、柱、梁模板轴线位置</w:t>
            </w:r>
          </w:p>
        </w:tc>
        <w:tc>
          <w:tcPr>
            <w:tcW w:w="1815" w:type="dxa"/>
            <w:vAlign w:val="center"/>
          </w:tcPr>
          <w:p>
            <w:pPr>
              <w:ind w:firstLine="480"/>
              <w:jc w:val="center"/>
              <w:rPr>
                <w:rFonts w:ascii="Calibri" w:hAnsi="Calibri" w:cs="Calibri"/>
                <w:color w:val="000000" w:themeColor="text1"/>
                <w14:textFill>
                  <w14:solidFill>
                    <w14:schemeClr w14:val="tx1"/>
                  </w14:solidFill>
                </w14:textFill>
              </w:rPr>
            </w:pPr>
            <w:r>
              <w:rPr>
                <w:rFonts w:hint="eastAsia" w:cs="Calibri"/>
                <w:color w:val="000000" w:themeColor="text1"/>
                <w14:textFill>
                  <w14:solidFill>
                    <w14:schemeClr w14:val="tx1"/>
                  </w14:solidFill>
                </w14:textFill>
              </w:rPr>
              <w:t>3</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水准仪或钢尺检查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底模上表面标高</w:t>
            </w:r>
          </w:p>
        </w:tc>
        <w:tc>
          <w:tcPr>
            <w:tcW w:w="1815" w:type="dxa"/>
            <w:vAlign w:val="center"/>
          </w:tcPr>
          <w:p>
            <w:pPr>
              <w:ind w:firstLine="480"/>
              <w:jc w:val="center"/>
              <w:rPr>
                <w:rFonts w:ascii="Calibri" w:hAnsi="Calibri" w:cs="Calibri"/>
                <w:color w:val="000000" w:themeColor="text1"/>
                <w14:textFill>
                  <w14:solidFill>
                    <w14:schemeClr w14:val="tx1"/>
                  </w14:solidFill>
                </w14:textFill>
              </w:rPr>
            </w:pPr>
            <w:r>
              <w:rPr>
                <w:rFonts w:ascii="Calibri" w:hAnsi="Calibri" w:cs="Calibri"/>
                <w:color w:val="000000" w:themeColor="text1"/>
                <w14:textFill>
                  <w14:solidFill>
                    <w14:schemeClr w14:val="tx1"/>
                  </w14:solidFill>
                </w14:textFill>
              </w:rPr>
              <w:t>±</w:t>
            </w:r>
            <w:r>
              <w:rPr>
                <w:rFonts w:hint="eastAsia"/>
                <w:color w:val="000000" w:themeColor="text1"/>
                <w14:textFill>
                  <w14:solidFill>
                    <w14:schemeClr w14:val="tx1"/>
                  </w14:solidFill>
                </w14:textFill>
              </w:rPr>
              <w:t>5</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水准仪或拉线、钢尺检查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截面内部尺寸</w:t>
            </w:r>
          </w:p>
        </w:tc>
        <w:tc>
          <w:tcPr>
            <w:tcW w:w="1844"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柱、墙、梁</w:t>
            </w:r>
          </w:p>
        </w:tc>
        <w:tc>
          <w:tcPr>
            <w:tcW w:w="1815"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单跨楼板模板的长宽尺寸累计误差</w:t>
            </w:r>
          </w:p>
        </w:tc>
        <w:tc>
          <w:tcPr>
            <w:tcW w:w="1815" w:type="dxa"/>
            <w:vAlign w:val="center"/>
          </w:tcPr>
          <w:p>
            <w:pPr>
              <w:ind w:firstLine="480"/>
              <w:jc w:val="center"/>
              <w:rPr>
                <w:color w:val="000000" w:themeColor="text1"/>
                <w14:textFill>
                  <w14:solidFill>
                    <w14:schemeClr w14:val="tx1"/>
                  </w14:solidFill>
                </w14:textFill>
              </w:rPr>
            </w:pPr>
            <w:r>
              <w:rPr>
                <w:rFonts w:ascii="Calibri" w:hAnsi="Calibri" w:cs="Calibri"/>
                <w:color w:val="000000" w:themeColor="text1"/>
                <w14:textFill>
                  <w14:solidFill>
                    <w14:schemeClr w14:val="tx1"/>
                  </w14:solidFill>
                </w14:textFill>
              </w:rPr>
              <w:t>±</w:t>
            </w:r>
            <w:r>
              <w:rPr>
                <w:rFonts w:hint="eastAsia"/>
                <w:color w:val="000000" w:themeColor="text1"/>
                <w14:textFill>
                  <w14:solidFill>
                    <w14:schemeClr w14:val="tx1"/>
                  </w14:solidFill>
                </w14:textFill>
              </w:rPr>
              <w:t>5</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水准仪或钢尺检查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相邻模板表面高低差</w:t>
            </w:r>
          </w:p>
        </w:tc>
        <w:tc>
          <w:tcPr>
            <w:tcW w:w="1815"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梁底模板、楼板模板表面平整度</w:t>
            </w:r>
          </w:p>
        </w:tc>
        <w:tc>
          <w:tcPr>
            <w:tcW w:w="1815"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水准仪可2m靠尺、塞尺检查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0" w:type="dxa"/>
            <w:gridSpan w:val="2"/>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相邻模板拼接缝隙宽度</w:t>
            </w:r>
          </w:p>
        </w:tc>
        <w:tc>
          <w:tcPr>
            <w:tcW w:w="1815" w:type="dxa"/>
            <w:vAlign w:val="center"/>
          </w:tcPr>
          <w:p>
            <w:pPr>
              <w:ind w:firstLine="480"/>
              <w:jc w:val="center"/>
              <w:rPr>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hint="eastAsia"/>
                <w:color w:val="000000" w:themeColor="text1"/>
                <w14:textFill>
                  <w14:solidFill>
                    <w14:schemeClr w14:val="tx1"/>
                  </w14:solidFill>
                </w14:textFill>
              </w:rPr>
              <w:t>1.5</w:t>
            </w:r>
          </w:p>
        </w:tc>
        <w:tc>
          <w:tcPr>
            <w:tcW w:w="3051" w:type="dxa"/>
            <w:vAlign w:val="center"/>
          </w:tcPr>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塞尺检查</w:t>
            </w:r>
          </w:p>
        </w:tc>
      </w:tr>
    </w:tbl>
    <w:p>
      <w:pPr>
        <w:ind w:firstLine="480"/>
        <w:rPr>
          <w:color w:val="000000" w:themeColor="text1"/>
          <w:szCs w:val="24"/>
          <w14:textFill>
            <w14:solidFill>
              <w14:schemeClr w14:val="tx1"/>
            </w14:solidFill>
          </w14:textFill>
        </w:rPr>
      </w:pPr>
    </w:p>
    <w:p>
      <w:pPr>
        <w:ind w:firstLine="480"/>
        <w:rPr>
          <w:color w:val="000000" w:themeColor="text1"/>
          <w14:textFill>
            <w14:solidFill>
              <w14:schemeClr w14:val="tx1"/>
            </w14:solidFill>
          </w14:textFill>
        </w:rPr>
        <w:sectPr>
          <w:footerReference r:id="rId20" w:type="default"/>
          <w:pgSz w:w="11906" w:h="16838"/>
          <w:pgMar w:top="1440" w:right="1800" w:bottom="1440" w:left="1800" w:header="851" w:footer="850" w:gutter="0"/>
          <w:cols w:space="425" w:num="1"/>
          <w:titlePg/>
          <w:docGrid w:type="lines" w:linePitch="326" w:charSpace="0"/>
        </w:sectPr>
      </w:pPr>
    </w:p>
    <w:p>
      <w:pPr>
        <w:pStyle w:val="39"/>
        <w:numPr>
          <w:ilvl w:val="0"/>
          <w:numId w:val="0"/>
        </w:numPr>
        <w:spacing w:before="312" w:after="312"/>
        <w:rPr>
          <w:color w:val="000000" w:themeColor="text1"/>
          <w14:textFill>
            <w14:solidFill>
              <w14:schemeClr w14:val="tx1"/>
            </w14:solidFill>
          </w14:textFill>
        </w:rPr>
      </w:pPr>
      <w:bookmarkStart w:id="174" w:name="_Toc67387540"/>
      <w:bookmarkStart w:id="175" w:name="_Toc87629866"/>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用词说明</w:t>
      </w:r>
      <w:bookmarkEnd w:id="174"/>
      <w:bookmarkEnd w:id="175"/>
    </w:p>
    <w:p>
      <w:pPr>
        <w:pStyle w:val="43"/>
        <w:numPr>
          <w:ilvl w:val="3"/>
          <w:numId w:val="10"/>
        </w:numPr>
        <w:rPr>
          <w:color w:val="000000" w:themeColor="text1"/>
          <w14:textFill>
            <w14:solidFill>
              <w14:schemeClr w14:val="tx1"/>
            </w14:solidFill>
          </w14:textFill>
        </w:rPr>
      </w:pPr>
      <w:r>
        <w:rPr>
          <w:rFonts w:hint="eastAsia"/>
          <w:color w:val="000000" w:themeColor="text1"/>
          <w14:textFill>
            <w14:solidFill>
              <w14:schemeClr w14:val="tx1"/>
            </w14:solidFill>
          </w14:textFill>
        </w:rPr>
        <w:t>为便于在执行本规程条文时区别对待，对要求严格程度不同的用词说明如下：</w:t>
      </w:r>
    </w:p>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表示很严格，非这样做不可的：</w:t>
      </w:r>
    </w:p>
    <w:p>
      <w:pPr>
        <w:pStyle w:val="54"/>
        <w:numPr>
          <w:ilvl w:val="0"/>
          <w:numId w:val="0"/>
        </w:numPr>
        <w:ind w:left="1339" w:firstLine="36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正面词采用“必须”；反面词采用“严禁”；</w:t>
      </w:r>
    </w:p>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表示严格，在正常情况下均应这样做的：</w:t>
      </w:r>
    </w:p>
    <w:p>
      <w:pPr>
        <w:pStyle w:val="54"/>
        <w:numPr>
          <w:ilvl w:val="0"/>
          <w:numId w:val="0"/>
        </w:numPr>
        <w:ind w:left="1339" w:firstLine="36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正面词采用“应”；反面词采用“不应”或“不得”；</w:t>
      </w:r>
    </w:p>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表示允许稍有选择，在条件允许时首先这样做的：</w:t>
      </w:r>
    </w:p>
    <w:p>
      <w:pPr>
        <w:pStyle w:val="54"/>
        <w:numPr>
          <w:ilvl w:val="0"/>
          <w:numId w:val="0"/>
        </w:numPr>
        <w:ind w:left="1339" w:firstLine="36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正面词采用“宜”；反面词采用“不宜”；</w:t>
      </w:r>
    </w:p>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表示有选择，在一定条件下可以这样做的，采用“可”。</w:t>
      </w:r>
    </w:p>
    <w:p>
      <w:pPr>
        <w:pStyle w:val="43"/>
        <w:numPr>
          <w:ilvl w:val="3"/>
          <w:numId w:val="10"/>
        </w:numPr>
        <w:rPr>
          <w:color w:val="000000" w:themeColor="text1"/>
          <w14:textFill>
            <w14:solidFill>
              <w14:schemeClr w14:val="tx1"/>
            </w14:solidFill>
          </w14:textFill>
        </w:rPr>
        <w:sectPr>
          <w:footerReference r:id="rId21" w:type="default"/>
          <w:pgSz w:w="11906" w:h="16838"/>
          <w:pgMar w:top="1440" w:right="1800" w:bottom="1440" w:left="1800" w:header="851" w:footer="992" w:gutter="0"/>
          <w:cols w:space="425" w:num="1"/>
          <w:titlePg/>
          <w:docGrid w:type="lines" w:linePitch="312" w:charSpace="0"/>
        </w:sectPr>
      </w:pPr>
      <w:r>
        <w:rPr>
          <w:rFonts w:hint="eastAsia"/>
          <w:color w:val="000000" w:themeColor="text1"/>
          <w14:textFill>
            <w14:solidFill>
              <w14:schemeClr w14:val="tx1"/>
            </w14:solidFill>
          </w14:textFill>
        </w:rPr>
        <w:t>条文中指明应按其他有关标准执行的写法为：“应符合……的规定”或“应按……执行”。</w:t>
      </w:r>
      <w:bookmarkEnd w:id="139"/>
      <w:bookmarkStart w:id="176" w:name="_Toc67387525"/>
      <w:bookmarkEnd w:id="176"/>
    </w:p>
    <w:p>
      <w:pPr>
        <w:pStyle w:val="39"/>
        <w:numPr>
          <w:ilvl w:val="0"/>
          <w:numId w:val="0"/>
        </w:numPr>
        <w:spacing w:before="312" w:after="312"/>
        <w:rPr>
          <w:color w:val="000000" w:themeColor="text1"/>
          <w14:textFill>
            <w14:solidFill>
              <w14:schemeClr w14:val="tx1"/>
            </w14:solidFill>
          </w14:textFill>
        </w:rPr>
      </w:pPr>
      <w:bookmarkStart w:id="177" w:name="_Toc15061"/>
      <w:bookmarkStart w:id="178" w:name="_Toc28114"/>
      <w:bookmarkStart w:id="179" w:name="_Toc30845"/>
      <w:bookmarkStart w:id="180" w:name="_Toc2058"/>
      <w:bookmarkStart w:id="181" w:name="_Toc22931"/>
      <w:bookmarkStart w:id="182" w:name="_Toc87629867"/>
      <w:bookmarkStart w:id="183" w:name="_Toc11644"/>
      <w:bookmarkStart w:id="184" w:name="_Toc27433"/>
      <w:bookmarkStart w:id="185" w:name="_Toc30446"/>
      <w:bookmarkStart w:id="186" w:name="_Toc2533"/>
      <w:bookmarkStart w:id="187" w:name="_Toc1600"/>
      <w:r>
        <w:rPr>
          <w:rFonts w:hint="eastAsia"/>
          <w:color w:val="000000" w:themeColor="text1"/>
          <w14:textFill>
            <w14:solidFill>
              <w14:schemeClr w14:val="tx1"/>
            </w14:solidFill>
          </w14:textFill>
        </w:rPr>
        <w:t>引用</w:t>
      </w:r>
      <w:r>
        <w:rPr>
          <w:color w:val="000000" w:themeColor="text1"/>
          <w14:textFill>
            <w14:solidFill>
              <w14:schemeClr w14:val="tx1"/>
            </w14:solidFill>
          </w14:textFill>
        </w:rPr>
        <w:t>标准名录</w:t>
      </w:r>
      <w:bookmarkEnd w:id="177"/>
      <w:bookmarkEnd w:id="178"/>
      <w:bookmarkEnd w:id="179"/>
      <w:bookmarkEnd w:id="180"/>
      <w:bookmarkEnd w:id="181"/>
      <w:bookmarkEnd w:id="182"/>
      <w:bookmarkEnd w:id="183"/>
      <w:bookmarkEnd w:id="184"/>
      <w:bookmarkEnd w:id="185"/>
      <w:bookmarkEnd w:id="186"/>
      <w:bookmarkEnd w:id="187"/>
      <w:bookmarkStart w:id="188" w:name="_Toc25521"/>
      <w:bookmarkStart w:id="189" w:name="_Toc3283"/>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TC  "List of Quoted Standards" \l 1 </w:instrText>
      </w:r>
      <w:r>
        <w:rPr>
          <w:color w:val="000000" w:themeColor="text1"/>
          <w14:textFill>
            <w14:solidFill>
              <w14:schemeClr w14:val="tx1"/>
            </w14:solidFill>
          </w14:textFill>
        </w:rPr>
        <w:fldChar w:fldCharType="end"/>
      </w:r>
      <w:bookmarkEnd w:id="188"/>
      <w:bookmarkEnd w:id="189"/>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《建筑结构荷载规范》GB 50009</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《建筑工程抗震设防分类标准》GB 50223</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《建筑抗震设计规范》GB 50011</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《混凝土结构设计规范》GB 50010</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《混凝土结构耐久性设计规范》GB/T 50476</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《混凝土结构工程施工规范》GB 50666</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《混凝土结构工程施工质量验收规范》GB 50204</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《高层建筑混凝土结构技术规程》JGJ 3</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hint="eastAsia" w:eastAsiaTheme="minorEastAsia"/>
          <w:color w:val="000000" w:themeColor="text1"/>
          <w:szCs w:val="24"/>
          <w14:textFill>
            <w14:solidFill>
              <w14:schemeClr w14:val="tx1"/>
            </w14:solidFill>
          </w14:textFill>
        </w:rPr>
        <w:t>《钢筋焊接网混凝土结构技术规程》JGJ 114</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w:t>
      </w:r>
      <w:r>
        <w:rPr>
          <w:rFonts w:hint="eastAsia" w:eastAsiaTheme="minorEastAsia"/>
          <w:color w:val="000000" w:themeColor="text1"/>
          <w14:textFill>
            <w14:solidFill>
              <w14:schemeClr w14:val="tx1"/>
            </w14:solidFill>
          </w14:textFill>
        </w:rPr>
        <w:t>混凝土结构成型钢筋应用技术规程</w:t>
      </w:r>
      <w:r>
        <w:rPr>
          <w:rFonts w:eastAsiaTheme="minorEastAsia"/>
          <w:color w:val="000000" w:themeColor="text1"/>
          <w14:textFill>
            <w14:solidFill>
              <w14:schemeClr w14:val="tx1"/>
            </w14:solidFill>
          </w14:textFill>
        </w:rPr>
        <w:t>》</w:t>
      </w:r>
      <w:r>
        <w:rPr>
          <w:rFonts w:hint="eastAsia" w:eastAsiaTheme="minorEastAsia"/>
          <w:color w:val="000000" w:themeColor="text1"/>
          <w14:textFill>
            <w14:solidFill>
              <w14:schemeClr w14:val="tx1"/>
            </w14:solidFill>
          </w14:textFill>
        </w:rPr>
        <w:t>J</w:t>
      </w:r>
      <w:r>
        <w:rPr>
          <w:rFonts w:eastAsiaTheme="minorEastAsia"/>
          <w:color w:val="000000" w:themeColor="text1"/>
          <w14:textFill>
            <w14:solidFill>
              <w14:schemeClr w14:val="tx1"/>
            </w14:solidFill>
          </w14:textFill>
        </w:rPr>
        <w:t>GJ366</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《组合铝合金模板工程技术规程》J</w:t>
      </w:r>
      <w:r>
        <w:rPr>
          <w:rFonts w:eastAsiaTheme="minorEastAsia"/>
          <w:color w:val="000000" w:themeColor="text1"/>
          <w14:textFill>
            <w14:solidFill>
              <w14:schemeClr w14:val="tx1"/>
            </w14:solidFill>
          </w14:textFill>
        </w:rPr>
        <w:t>GJ386</w:t>
      </w:r>
    </w:p>
    <w:p>
      <w:pPr>
        <w:pStyle w:val="54"/>
        <w:numPr>
          <w:ilvl w:val="0"/>
          <w:numId w:val="11"/>
        </w:numPr>
        <w:spacing w:line="360" w:lineRule="auto"/>
        <w:rPr>
          <w:rFonts w:eastAsiaTheme="minorEastAsia"/>
          <w:color w:val="000000" w:themeColor="text1"/>
          <w14:textFill>
            <w14:solidFill>
              <w14:schemeClr w14:val="tx1"/>
            </w14:solidFill>
          </w14:textFill>
        </w:rPr>
      </w:pPr>
      <w:r>
        <w:rPr>
          <w:rFonts w:eastAsiaTheme="minorEastAsia"/>
          <w:color w:val="000000" w:themeColor="text1"/>
          <w:szCs w:val="24"/>
          <w14:textFill>
            <w14:solidFill>
              <w14:schemeClr w14:val="tx1"/>
            </w14:solidFill>
          </w14:textFill>
        </w:rPr>
        <w:t>《装配式混凝土建筑技术标准》GB/T 51231</w:t>
      </w:r>
    </w:p>
    <w:p>
      <w:pPr>
        <w:pStyle w:val="54"/>
        <w:numPr>
          <w:ilvl w:val="0"/>
          <w:numId w:val="11"/>
        </w:numPr>
        <w:spacing w:line="360" w:lineRule="auto"/>
        <w:rPr>
          <w:color w:val="000000" w:themeColor="text1"/>
          <w14:textFill>
            <w14:solidFill>
              <w14:schemeClr w14:val="tx1"/>
            </w14:solidFill>
          </w14:textFill>
        </w:rPr>
      </w:pPr>
      <w:r>
        <w:rPr>
          <w:rFonts w:eastAsiaTheme="minorEastAsia"/>
          <w:color w:val="000000" w:themeColor="text1"/>
          <w:szCs w:val="24"/>
          <w14:textFill>
            <w14:solidFill>
              <w14:schemeClr w14:val="tx1"/>
            </w14:solidFill>
          </w14:textFill>
        </w:rPr>
        <w:t>《装配式混凝土结构技术规程》JGJ 1</w:t>
      </w:r>
    </w:p>
    <w:sectPr>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0000019F" w:csb1="00000000"/>
  </w:font>
  <w:font w:name="楷体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Lucida Console">
    <w:altName w:val="Noto Sans Mono"/>
    <w:panose1 w:val="020B0609040504020204"/>
    <w:charset w:val="00"/>
    <w:family w:val="modern"/>
    <w:pitch w:val="default"/>
    <w:sig w:usb0="00000000" w:usb1="00000000" w:usb2="00000000" w:usb3="00000000" w:csb0="0000001F" w:csb1="00000000"/>
  </w:font>
  <w:font w:name="Verdana">
    <w:altName w:val="DejaVu Sans"/>
    <w:panose1 w:val="020B0604030504040204"/>
    <w:charset w:val="00"/>
    <w:family w:val="swiss"/>
    <w:pitch w:val="default"/>
    <w:sig w:usb0="00000000" w:usb1="00000000" w:usb2="00000010" w:usb3="00000000" w:csb0="0000019F" w:csb1="00000000"/>
  </w:font>
  <w:font w:name="楷体">
    <w:panose1 w:val="02010609060101010101"/>
    <w:charset w:val="86"/>
    <w:family w:val="modern"/>
    <w:pitch w:val="default"/>
    <w:sig w:usb0="800002BF" w:usb1="38CF7CFA" w:usb2="00000016" w:usb3="00000000" w:csb0="00040001" w:csb1="00000000"/>
  </w:font>
  <w:font w:name="HiddenHorzOCR-Identity-H">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imes-Italic">
    <w:altName w:val="Times New Roman"/>
    <w:panose1 w:val="00000000000000000000"/>
    <w:charset w:val="00"/>
    <w:family w:val="roman"/>
    <w:pitch w:val="default"/>
    <w:sig w:usb0="00000000" w:usb1="00000000" w:usb2="00000000" w:usb3="00000000" w:csb0="00000000" w:csb1="00000000"/>
  </w:font>
  <w:font w:name="ArialMT">
    <w:altName w:val="Times New Roman"/>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宋体"/>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86"/>
    <w:family w:val="swiss"/>
    <w:pitch w:val="default"/>
    <w:sig w:usb0="00000000" w:usb1="00000000" w:usb2="0000003F" w:usb3="00000000" w:csb0="003F01F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9735" cy="459740"/>
              <wp:effectExtent l="0" t="0" r="0" b="0"/>
              <wp:wrapNone/>
              <wp:docPr id="2"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462163854"/>
                          </w:sdtPr>
                          <w:sdtContent>
                            <w:p>
                              <w:pPr>
                                <w:pStyle w:val="18"/>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36.2pt;width:33.05pt;mso-position-horizontal:center;mso-position-horizontal-relative:margin;mso-wrap-style:none;z-index:251659264;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F/z79nnAQAAwAMAAA4AAAAAAAAAAQAgAAAANQEAAGRycy9lMm9Eb2MueG1s&#10;UEsFBgAAAAAGAAYAWQEAAI4FAAAAAA==&#10;">
              <v:fill on="f" focussize="0,0"/>
              <v:stroke on="f"/>
              <v:imagedata o:title=""/>
              <o:lock v:ext="edit" aspectratio="f"/>
              <v:textbox inset="0mm,0mm,0mm,0mm" style="mso-fit-shape-to-text:t;">
                <w:txbxContent>
                  <w:sdt>
                    <w:sdtPr>
                      <w:id w:val="462163854"/>
                    </w:sdtPr>
                    <w:sdtContent>
                      <w:p>
                        <w:pPr>
                          <w:pStyle w:val="18"/>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p>
                    <w:pPr>
                      <w:ind w:firstLine="480"/>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419735" cy="459740"/>
              <wp:effectExtent l="0" t="0" r="0" b="0"/>
              <wp:wrapNone/>
              <wp:docPr id="17"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676766118"/>
                          </w:sdtPr>
                          <w:sdtContent>
                            <w:p>
                              <w:pPr>
                                <w:pStyle w:val="18"/>
                                <w:ind w:firstLine="360"/>
                                <w:jc w:val="center"/>
                              </w:pPr>
                              <w:r>
                                <w:fldChar w:fldCharType="begin"/>
                              </w:r>
                              <w:r>
                                <w:instrText xml:space="preserve">PAGE   \* MERGEFORMAT</w:instrText>
                              </w:r>
                              <w:r>
                                <w:fldChar w:fldCharType="separate"/>
                              </w:r>
                              <w:r>
                                <w:rPr>
                                  <w:lang w:val="zh-CN"/>
                                </w:rPr>
                                <w:t>17</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36.2pt;width:33.05pt;mso-position-horizontal:center;mso-position-horizontal-relative:margin;mso-wrap-style:none;z-index:251667456;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ALdLALnAQAAwQMAAA4AAAAAAAAAAQAgAAAANQEAAGRycy9lMm9Eb2MueG1s&#10;UEsFBgAAAAAGAAYAWQEAAI4FAAAAAA==&#10;">
              <v:fill on="f" focussize="0,0"/>
              <v:stroke on="f"/>
              <v:imagedata o:title=""/>
              <o:lock v:ext="edit" aspectratio="f"/>
              <v:textbox inset="0mm,0mm,0mm,0mm" style="mso-fit-shape-to-text:t;">
                <w:txbxContent>
                  <w:sdt>
                    <w:sdtPr>
                      <w:id w:val="1676766118"/>
                    </w:sdtPr>
                    <w:sdtContent>
                      <w:p>
                        <w:pPr>
                          <w:pStyle w:val="18"/>
                          <w:ind w:firstLine="360"/>
                          <w:jc w:val="center"/>
                        </w:pPr>
                        <w:r>
                          <w:fldChar w:fldCharType="begin"/>
                        </w:r>
                        <w:r>
                          <w:instrText xml:space="preserve">PAGE   \* MERGEFORMAT</w:instrText>
                        </w:r>
                        <w:r>
                          <w:fldChar w:fldCharType="separate"/>
                        </w:r>
                        <w:r>
                          <w:rPr>
                            <w:lang w:val="zh-CN"/>
                          </w:rPr>
                          <w:t>17</w:t>
                        </w:r>
                        <w:r>
                          <w:rPr>
                            <w:lang w:val="zh-CN"/>
                          </w:rPr>
                          <w:fldChar w:fldCharType="end"/>
                        </w:r>
                      </w:p>
                    </w:sdtContent>
                  </w:sdt>
                  <w:p>
                    <w:pPr>
                      <w:ind w:firstLine="480"/>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both"/>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419735" cy="459740"/>
              <wp:effectExtent l="0" t="0" r="0" b="0"/>
              <wp:wrapNone/>
              <wp:docPr id="18"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335066914"/>
                          </w:sdtPr>
                          <w:sdtContent>
                            <w:p>
                              <w:pPr>
                                <w:pStyle w:val="18"/>
                                <w:ind w:firstLine="0" w:firstLineChars="0"/>
                                <w:jc w:val="center"/>
                              </w:pPr>
                              <w:r>
                                <w:fldChar w:fldCharType="begin"/>
                              </w:r>
                              <w:r>
                                <w:instrText xml:space="preserve">PAGE   \* MERGEFORMAT</w:instrText>
                              </w:r>
                              <w:r>
                                <w:fldChar w:fldCharType="separate"/>
                              </w:r>
                              <w:r>
                                <w:rPr>
                                  <w:lang w:val="zh-CN"/>
                                </w:rPr>
                                <w:t>29</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36.2pt;width:33.05pt;mso-position-horizontal:center;mso-position-horizontal-relative:margin;mso-wrap-style:none;z-index:251668480;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CYGBtznAQAAwQMAAA4AAAAAAAAAAQAgAAAANQEAAGRycy9lMm9Eb2MueG1s&#10;UEsFBgAAAAAGAAYAWQEAAI4FAAAAAA==&#10;">
              <v:fill on="f" focussize="0,0"/>
              <v:stroke on="f"/>
              <v:imagedata o:title=""/>
              <o:lock v:ext="edit" aspectratio="f"/>
              <v:textbox inset="0mm,0mm,0mm,0mm" style="mso-fit-shape-to-text:t;">
                <w:txbxContent>
                  <w:sdt>
                    <w:sdtPr>
                      <w:id w:val="-1335066914"/>
                    </w:sdtPr>
                    <w:sdtContent>
                      <w:p>
                        <w:pPr>
                          <w:pStyle w:val="18"/>
                          <w:ind w:firstLine="0" w:firstLineChars="0"/>
                          <w:jc w:val="center"/>
                        </w:pPr>
                        <w:r>
                          <w:fldChar w:fldCharType="begin"/>
                        </w:r>
                        <w:r>
                          <w:instrText xml:space="preserve">PAGE   \* MERGEFORMAT</w:instrText>
                        </w:r>
                        <w:r>
                          <w:fldChar w:fldCharType="separate"/>
                        </w:r>
                        <w:r>
                          <w:rPr>
                            <w:lang w:val="zh-CN"/>
                          </w:rPr>
                          <w:t>29</w:t>
                        </w:r>
                        <w:r>
                          <w:rPr>
                            <w:lang w:val="zh-CN"/>
                          </w:rPr>
                          <w:fldChar w:fldCharType="end"/>
                        </w:r>
                      </w:p>
                    </w:sdtContent>
                  </w:sdt>
                  <w:p>
                    <w:pPr>
                      <w:ind w:firstLine="480"/>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356" w:y="313"/>
      <w:ind w:firstLine="360"/>
      <w:jc w:val="center"/>
      <w:rPr>
        <w:rStyle w:val="34"/>
      </w:rPr>
    </w:pPr>
    <w:r>
      <w:rPr>
        <w:rStyle w:val="34"/>
      </w:rPr>
      <w:fldChar w:fldCharType="begin"/>
    </w:r>
    <w:r>
      <w:rPr>
        <w:rStyle w:val="34"/>
      </w:rPr>
      <w:instrText xml:space="preserve">PAGE  </w:instrText>
    </w:r>
    <w:r>
      <w:rPr>
        <w:rStyle w:val="34"/>
      </w:rPr>
      <w:fldChar w:fldCharType="separate"/>
    </w:r>
    <w:r>
      <w:rPr>
        <w:rStyle w:val="34"/>
      </w:rPr>
      <w:t>22</w:t>
    </w:r>
    <w:r>
      <w:rPr>
        <w:rStyle w:val="34"/>
      </w:rPr>
      <w:fldChar w:fldCharType="end"/>
    </w:r>
  </w:p>
  <w:p>
    <w:pPr>
      <w:ind w:firstLine="0" w:firstLineChars="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1156" w:h="481" w:hRule="exact" w:wrap="around" w:vAnchor="text" w:hAnchor="page" w:x="5221" w:y="-93"/>
      <w:ind w:firstLine="360"/>
      <w:jc w:val="center"/>
      <w:rPr>
        <w:rStyle w:val="34"/>
      </w:rPr>
    </w:pPr>
    <w:r>
      <w:rPr>
        <w:rStyle w:val="34"/>
      </w:rPr>
      <w:fldChar w:fldCharType="begin"/>
    </w:r>
    <w:r>
      <w:rPr>
        <w:rStyle w:val="34"/>
      </w:rPr>
      <w:instrText xml:space="preserve">PAGE  </w:instrText>
    </w:r>
    <w:r>
      <w:rPr>
        <w:rStyle w:val="34"/>
      </w:rPr>
      <w:fldChar w:fldCharType="separate"/>
    </w:r>
    <w:r>
      <w:rPr>
        <w:rStyle w:val="34"/>
      </w:rPr>
      <w:t>27</w:t>
    </w:r>
    <w:r>
      <w:rPr>
        <w:rStyle w:val="34"/>
      </w:rPr>
      <w:fldChar w:fldCharType="end"/>
    </w:r>
  </w:p>
  <w:p>
    <w:pPr>
      <w:ind w:firstLine="0" w:firstLineChars="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1156" w:h="481" w:hRule="exact" w:wrap="around" w:vAnchor="text" w:hAnchor="page" w:x="5221" w:y="-93"/>
      <w:ind w:firstLine="360"/>
      <w:jc w:val="center"/>
      <w:rPr>
        <w:rStyle w:val="34"/>
      </w:rPr>
    </w:pPr>
    <w:r>
      <w:rPr>
        <w:rStyle w:val="34"/>
      </w:rPr>
      <w:fldChar w:fldCharType="begin"/>
    </w:r>
    <w:r>
      <w:rPr>
        <w:rStyle w:val="34"/>
      </w:rPr>
      <w:instrText xml:space="preserve">PAGE  </w:instrText>
    </w:r>
    <w:r>
      <w:rPr>
        <w:rStyle w:val="34"/>
      </w:rPr>
      <w:fldChar w:fldCharType="separate"/>
    </w:r>
    <w:r>
      <w:rPr>
        <w:rStyle w:val="34"/>
      </w:rPr>
      <w:t>14</w:t>
    </w:r>
    <w:r>
      <w:rPr>
        <w:rStyle w:val="34"/>
      </w:rPr>
      <w:fldChar w:fldCharType="end"/>
    </w:r>
  </w:p>
  <w:p>
    <w:pPr>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19735" cy="459740"/>
              <wp:effectExtent l="0" t="0" r="0" b="0"/>
              <wp:wrapNone/>
              <wp:docPr id="1"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044919"/>
                          </w:sdtPr>
                          <w:sdtContent>
                            <w:p>
                              <w:pPr>
                                <w:pStyle w:val="18"/>
                                <w:ind w:firstLine="0" w:firstLineChars="0"/>
                                <w:jc w:val="center"/>
                              </w:pPr>
                              <w:r>
                                <w:fldChar w:fldCharType="begin"/>
                              </w:r>
                              <w:r>
                                <w:instrText xml:space="preserve">PAGE   \* MERGEFORMAT</w:instrText>
                              </w:r>
                              <w:r>
                                <w:fldChar w:fldCharType="separate"/>
                              </w:r>
                              <w:r>
                                <w:rPr>
                                  <w:lang w:val="zh-CN"/>
                                </w:rPr>
                                <w:t>I</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36.2pt;width:33.05pt;mso-position-horizontal:center;mso-position-horizontal-relative:margin;mso-wrap-style:none;z-index:251660288;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YfbBX0AAAAAMBAAAPAAAAAAAAAAEAIAAAADgAAABkcnMvZG93bnJldi54bWxQSwEC&#10;FAAUAAAACACHTuJAhgjMHuYBAADAAwAADgAAAAAAAAABACAAAAA1AQAAZHJzL2Uyb0RvYy54bWxQ&#10;SwUGAAAAAAYABgBZAQAAjQUAAAAA&#10;">
              <v:fill on="f" focussize="0,0"/>
              <v:stroke on="f"/>
              <v:imagedata o:title=""/>
              <o:lock v:ext="edit" aspectratio="f"/>
              <v:textbox inset="0mm,0mm,0mm,0mm" style="mso-fit-shape-to-text:t;">
                <w:txbxContent>
                  <w:sdt>
                    <w:sdtPr>
                      <w:id w:val="-1044919"/>
                    </w:sdtPr>
                    <w:sdtContent>
                      <w:p>
                        <w:pPr>
                          <w:pStyle w:val="18"/>
                          <w:ind w:firstLine="0" w:firstLineChars="0"/>
                          <w:jc w:val="center"/>
                        </w:pPr>
                        <w:r>
                          <w:fldChar w:fldCharType="begin"/>
                        </w:r>
                        <w:r>
                          <w:instrText xml:space="preserve">PAGE   \* MERGEFORMAT</w:instrText>
                        </w:r>
                        <w:r>
                          <w:fldChar w:fldCharType="separate"/>
                        </w:r>
                        <w:r>
                          <w:rPr>
                            <w:lang w:val="zh-CN"/>
                          </w:rPr>
                          <w:t>I</w:t>
                        </w:r>
                        <w:r>
                          <w:rPr>
                            <w:lang w:val="zh-CN"/>
                          </w:rPr>
                          <w:fldChar w:fldCharType="end"/>
                        </w:r>
                      </w:p>
                    </w:sdtContent>
                  </w:sdt>
                  <w:p>
                    <w:pPr>
                      <w:ind w:firstLine="48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19735" cy="459740"/>
              <wp:effectExtent l="0" t="0" r="0" b="0"/>
              <wp:wrapNone/>
              <wp:docPr id="15"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594009378"/>
                          </w:sdtPr>
                          <w:sdtContent>
                            <w:p>
                              <w:pPr>
                                <w:pStyle w:val="18"/>
                                <w:ind w:firstLine="360"/>
                                <w:jc w:val="center"/>
                              </w:pPr>
                              <w:r>
                                <w:fldChar w:fldCharType="begin"/>
                              </w:r>
                              <w:r>
                                <w:instrText xml:space="preserve">PAGE   \* MERGEFORMAT</w:instrText>
                              </w:r>
                              <w:r>
                                <w:fldChar w:fldCharType="separate"/>
                              </w:r>
                              <w:r>
                                <w:rPr>
                                  <w:lang w:val="zh-CN"/>
                                </w:rPr>
                                <w:t>IV</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36.2pt;width:33.05pt;mso-position-horizontal:center;mso-position-horizontal-relative:margin;mso-wrap-style:none;z-index:251665408;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MjTOF3nAQAAwQMAAA4AAAAAAAAAAQAgAAAANQEAAGRycy9lMm9Eb2MueG1s&#10;UEsFBgAAAAAGAAYAWQEAAI4FAAAAAA==&#10;">
              <v:fill on="f" focussize="0,0"/>
              <v:stroke on="f"/>
              <v:imagedata o:title=""/>
              <o:lock v:ext="edit" aspectratio="f"/>
              <v:textbox inset="0mm,0mm,0mm,0mm" style="mso-fit-shape-to-text:t;">
                <w:txbxContent>
                  <w:sdt>
                    <w:sdtPr>
                      <w:id w:val="-1594009378"/>
                    </w:sdtPr>
                    <w:sdtContent>
                      <w:p>
                        <w:pPr>
                          <w:pStyle w:val="18"/>
                          <w:ind w:firstLine="360"/>
                          <w:jc w:val="center"/>
                        </w:pPr>
                        <w:r>
                          <w:fldChar w:fldCharType="begin"/>
                        </w:r>
                        <w:r>
                          <w:instrText xml:space="preserve">PAGE   \* MERGEFORMAT</w:instrText>
                        </w:r>
                        <w:r>
                          <w:fldChar w:fldCharType="separate"/>
                        </w:r>
                        <w:r>
                          <w:rPr>
                            <w:lang w:val="zh-CN"/>
                          </w:rPr>
                          <w:t>IV</w:t>
                        </w:r>
                        <w:r>
                          <w:rPr>
                            <w:lang w:val="zh-CN"/>
                          </w:rPr>
                          <w:fldChar w:fldCharType="end"/>
                        </w:r>
                      </w:p>
                    </w:sdtContent>
                  </w:sdt>
                  <w:p>
                    <w:pPr>
                      <w:ind w:firstLine="48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both"/>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19735" cy="459740"/>
              <wp:effectExtent l="0" t="0" r="0" b="0"/>
              <wp:wrapNone/>
              <wp:docPr id="16"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372901878"/>
                          </w:sdtPr>
                          <w:sdtContent>
                            <w:p>
                              <w:pPr>
                                <w:pStyle w:val="18"/>
                                <w:ind w:firstLine="0" w:firstLineChars="0"/>
                                <w:jc w:val="center"/>
                              </w:pPr>
                              <w:r>
                                <w:fldChar w:fldCharType="begin"/>
                              </w:r>
                              <w:r>
                                <w:instrText xml:space="preserve">PAGE   \* MERGEFORMAT</w:instrText>
                              </w:r>
                              <w:r>
                                <w:fldChar w:fldCharType="separate"/>
                              </w:r>
                              <w:r>
                                <w:rPr>
                                  <w:lang w:val="zh-CN"/>
                                </w:rPr>
                                <w:t>V</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36.2pt;width:33.05pt;mso-position-horizontal:center;mso-position-horizontal-relative:margin;mso-wrap-style:none;z-index:251666432;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h9sFfQAAAAAwEAAA8AAAAAAAAAAQAgAAAAOAAAAGRycy9kb3ducmV2LnhtbFBL&#10;AQIUABQAAAAIAIdO4kARKBua6AEAAMEDAAAOAAAAAAAAAAEAIAAAADUBAABkcnMvZTJvRG9jLnht&#10;bFBLBQYAAAAABgAGAFkBAACPBQAAAAA=&#10;">
              <v:fill on="f" focussize="0,0"/>
              <v:stroke on="f"/>
              <v:imagedata o:title=""/>
              <o:lock v:ext="edit" aspectratio="f"/>
              <v:textbox inset="0mm,0mm,0mm,0mm" style="mso-fit-shape-to-text:t;">
                <w:txbxContent>
                  <w:sdt>
                    <w:sdtPr>
                      <w:id w:val="372901878"/>
                    </w:sdtPr>
                    <w:sdtContent>
                      <w:p>
                        <w:pPr>
                          <w:pStyle w:val="18"/>
                          <w:ind w:firstLine="0" w:firstLineChars="0"/>
                          <w:jc w:val="center"/>
                        </w:pPr>
                        <w:r>
                          <w:fldChar w:fldCharType="begin"/>
                        </w:r>
                        <w:r>
                          <w:instrText xml:space="preserve">PAGE   \* MERGEFORMAT</w:instrText>
                        </w:r>
                        <w:r>
                          <w:fldChar w:fldCharType="separate"/>
                        </w:r>
                        <w:r>
                          <w:rPr>
                            <w:lang w:val="zh-CN"/>
                          </w:rPr>
                          <w:t>V</w:t>
                        </w:r>
                        <w:r>
                          <w:rPr>
                            <w:lang w:val="zh-CN"/>
                          </w:rPr>
                          <w:fldChar w:fldCharType="end"/>
                        </w:r>
                      </w:p>
                    </w:sdtContent>
                  </w:sdt>
                  <w:p>
                    <w:pPr>
                      <w:ind w:firstLine="48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19735" cy="459740"/>
              <wp:effectExtent l="0" t="0" r="0" b="0"/>
              <wp:wrapNone/>
              <wp:docPr id="13"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326749569"/>
                          </w:sdtPr>
                          <w:sdtContent>
                            <w:p>
                              <w:pPr>
                                <w:pStyle w:val="18"/>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36.2pt;width:33.05pt;mso-position-horizontal:center;mso-position-horizontal-relative:margin;mso-wrap-style:none;z-index:251663360;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h9sFfQAAAAAwEAAA8AAAAAAAAAAQAgAAAAOAAAAGRycy9kb3ducmV2LnhtbFBL&#10;AQIUABQAAAAIAIdO4kCWwAS86AEAAMEDAAAOAAAAAAAAAAEAIAAAADUBAABkcnMvZTJvRG9jLnht&#10;bFBLBQYAAAAABgAGAFkBAACPBQAAAAA=&#10;">
              <v:fill on="f" focussize="0,0"/>
              <v:stroke on="f"/>
              <v:imagedata o:title=""/>
              <o:lock v:ext="edit" aspectratio="f"/>
              <v:textbox inset="0mm,0mm,0mm,0mm" style="mso-fit-shape-to-text:t;">
                <w:txbxContent>
                  <w:sdt>
                    <w:sdtPr>
                      <w:id w:val="-326749569"/>
                    </w:sdtPr>
                    <w:sdtContent>
                      <w:p>
                        <w:pPr>
                          <w:pStyle w:val="18"/>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ind w:firstLine="48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19735" cy="459740"/>
              <wp:effectExtent l="0" t="0" r="0" b="0"/>
              <wp:wrapNone/>
              <wp:docPr id="14"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507132510"/>
                          </w:sdtPr>
                          <w:sdtContent>
                            <w:p>
                              <w:pPr>
                                <w:pStyle w:val="18"/>
                                <w:ind w:firstLine="0" w:firstLineChars="0"/>
                                <w:jc w:val="center"/>
                              </w:pPr>
                              <w:r>
                                <w:fldChar w:fldCharType="begin"/>
                              </w:r>
                              <w:r>
                                <w:instrText xml:space="preserve">PAGE   \* MERGEFORMAT</w:instrText>
                              </w:r>
                              <w:r>
                                <w:fldChar w:fldCharType="separate"/>
                              </w:r>
                              <w:r>
                                <w:rPr>
                                  <w:lang w:val="zh-CN"/>
                                </w:rPr>
                                <w:t>VI</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36.2pt;width:33.05pt;mso-position-horizontal:center;mso-position-horizontal-relative:margin;mso-wrap-style:none;z-index:251664384;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NsmD8XnAQAAwQMAAA4AAAAAAAAAAQAgAAAANQEAAGRycy9lMm9Eb2MueG1s&#10;UEsFBgAAAAAGAAYAWQEAAI4FAAAAAA==&#10;">
              <v:fill on="f" focussize="0,0"/>
              <v:stroke on="f"/>
              <v:imagedata o:title=""/>
              <o:lock v:ext="edit" aspectratio="f"/>
              <v:textbox inset="0mm,0mm,0mm,0mm" style="mso-fit-shape-to-text:t;">
                <w:txbxContent>
                  <w:sdt>
                    <w:sdtPr>
                      <w:id w:val="-1507132510"/>
                    </w:sdtPr>
                    <w:sdtContent>
                      <w:p>
                        <w:pPr>
                          <w:pStyle w:val="18"/>
                          <w:ind w:firstLine="0" w:firstLineChars="0"/>
                          <w:jc w:val="center"/>
                        </w:pPr>
                        <w:r>
                          <w:fldChar w:fldCharType="begin"/>
                        </w:r>
                        <w:r>
                          <w:instrText xml:space="preserve">PAGE   \* MERGEFORMAT</w:instrText>
                        </w:r>
                        <w:r>
                          <w:fldChar w:fldCharType="separate"/>
                        </w:r>
                        <w:r>
                          <w:rPr>
                            <w:lang w:val="zh-CN"/>
                          </w:rPr>
                          <w:t>VI</w:t>
                        </w:r>
                        <w:r>
                          <w:rPr>
                            <w:lang w:val="zh-CN"/>
                          </w:rPr>
                          <w:fldChar w:fldCharType="end"/>
                        </w:r>
                      </w:p>
                    </w:sdtContent>
                  </w:sdt>
                  <w:p>
                    <w:pPr>
                      <w:ind w:firstLine="480"/>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19735" cy="459740"/>
              <wp:effectExtent l="0" t="0" r="0" b="0"/>
              <wp:wrapNone/>
              <wp:docPr id="6"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349571545"/>
                          </w:sdtPr>
                          <w:sdtContent>
                            <w:p>
                              <w:pPr>
                                <w:pStyle w:val="18"/>
                                <w:ind w:firstLine="360"/>
                                <w:jc w:val="center"/>
                              </w:pPr>
                              <w:r>
                                <w:fldChar w:fldCharType="begin"/>
                              </w:r>
                              <w:r>
                                <w:instrText xml:space="preserve">PAGE   \* MERGEFORMAT</w:instrText>
                              </w:r>
                              <w:r>
                                <w:fldChar w:fldCharType="separate"/>
                              </w:r>
                              <w:r>
                                <w:rPr>
                                  <w:lang w:val="zh-CN"/>
                                </w:rPr>
                                <w:t>2</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36.2pt;width:33.05pt;mso-position-horizontal:center;mso-position-horizontal-relative:margin;mso-wrap-style:none;z-index:251661312;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Mvux2fnAQAAwAMAAA4AAAAAAAAAAQAgAAAANQEAAGRycy9lMm9Eb2MueG1s&#10;UEsFBgAAAAAGAAYAWQEAAI4FAAAAAA==&#10;">
              <v:fill on="f" focussize="0,0"/>
              <v:stroke on="f"/>
              <v:imagedata o:title=""/>
              <o:lock v:ext="edit" aspectratio="f"/>
              <v:textbox inset="0mm,0mm,0mm,0mm" style="mso-fit-shape-to-text:t;">
                <w:txbxContent>
                  <w:sdt>
                    <w:sdtPr>
                      <w:id w:val="-349571545"/>
                    </w:sdtPr>
                    <w:sdtContent>
                      <w:p>
                        <w:pPr>
                          <w:pStyle w:val="18"/>
                          <w:ind w:firstLine="360"/>
                          <w:jc w:val="center"/>
                        </w:pPr>
                        <w:r>
                          <w:fldChar w:fldCharType="begin"/>
                        </w:r>
                        <w:r>
                          <w:instrText xml:space="preserve">PAGE   \* MERGEFORMAT</w:instrText>
                        </w:r>
                        <w:r>
                          <w:fldChar w:fldCharType="separate"/>
                        </w:r>
                        <w:r>
                          <w:rPr>
                            <w:lang w:val="zh-CN"/>
                          </w:rPr>
                          <w:t>2</w:t>
                        </w:r>
                        <w:r>
                          <w:rPr>
                            <w:lang w:val="zh-CN"/>
                          </w:rPr>
                          <w:fldChar w:fldCharType="end"/>
                        </w:r>
                      </w:p>
                    </w:sdtContent>
                  </w:sdt>
                  <w:p>
                    <w:pPr>
                      <w:ind w:firstLine="480"/>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19735" cy="459740"/>
              <wp:effectExtent l="0" t="0" r="0" b="0"/>
              <wp:wrapNone/>
              <wp:docPr id="7"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419735" cy="459740"/>
                      </a:xfrm>
                      <a:prstGeom prst="rect">
                        <a:avLst/>
                      </a:prstGeom>
                      <a:noFill/>
                      <a:ln>
                        <a:noFill/>
                      </a:ln>
                    </wps:spPr>
                    <wps:txbx>
                      <w:txbxContent>
                        <w:sdt>
                          <w:sdtPr>
                            <w:id w:val="-1865971244"/>
                          </w:sdtPr>
                          <w:sdtContent>
                            <w:p>
                              <w:pPr>
                                <w:pStyle w:val="18"/>
                                <w:ind w:firstLine="0" w:firstLineChars="0"/>
                                <w:jc w:val="center"/>
                              </w:pPr>
                              <w:r>
                                <w:fldChar w:fldCharType="begin"/>
                              </w:r>
                              <w:r>
                                <w:instrText xml:space="preserve">PAGE   \* MERGEFORMAT</w:instrText>
                              </w:r>
                              <w:r>
                                <w:fldChar w:fldCharType="separate"/>
                              </w:r>
                              <w:r>
                                <w:rPr>
                                  <w:lang w:val="zh-CN"/>
                                </w:rPr>
                                <w:t>1</w:t>
                              </w:r>
                              <w:r>
                                <w:rPr>
                                  <w:lang w:val="zh-CN"/>
                                </w:rPr>
                                <w:fldChar w:fldCharType="end"/>
                              </w:r>
                            </w:p>
                          </w:sdtContent>
                        </w:sdt>
                        <w:p>
                          <w:pPr>
                            <w:ind w:firstLine="480"/>
                          </w:pPr>
                        </w:p>
                      </w:txbxContent>
                    </wps:txbx>
                    <wps:bodyPr rot="0" vert="horz" wrap="none" lIns="0" tIns="0" rIns="0" bIns="0" anchor="t" anchorCtr="false" upright="true">
                      <a:spAutoFit/>
                    </wps:bodyPr>
                  </wps:wsp>
                </a:graphicData>
              </a:graphic>
            </wp:anchor>
          </w:drawing>
        </mc:Choice>
        <mc:Fallback>
          <w:pict>
            <v:shape id="Text Box 2" o:spid="_x0000_s1026" o:spt="202" type="#_x0000_t202" style="position:absolute;left:0pt;margin-top:0pt;height:36.2pt;width:33.05pt;mso-position-horizontal:center;mso-position-horizontal-relative:margin;mso-wrap-style:none;z-index:251662336;mso-width-relative:page;mso-height-relative:page;" filled="f" stroked="f" coordsize="21600,21600" o:gfxdata="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H2wV9AAAAADAQAADwAAAAAAAAABACAAAAA4AAAAZHJzL2Rvd25yZXYueG1sUEsB&#10;AhQAFAAAAAgAh07iQNgb8P/nAQAAwAMAAA4AAAAAAAAAAQAgAAAANQEAAGRycy9lMm9Eb2MueG1s&#10;UEsFBgAAAAAGAAYAWQEAAI4FAAAAAA==&#10;">
              <v:fill on="f" focussize="0,0"/>
              <v:stroke on="f"/>
              <v:imagedata o:title=""/>
              <o:lock v:ext="edit" aspectratio="f"/>
              <v:textbox inset="0mm,0mm,0mm,0mm" style="mso-fit-shape-to-text:t;">
                <w:txbxContent>
                  <w:sdt>
                    <w:sdtPr>
                      <w:id w:val="-1865971244"/>
                    </w:sdtPr>
                    <w:sdtContent>
                      <w:p>
                        <w:pPr>
                          <w:pStyle w:val="18"/>
                          <w:ind w:firstLine="0" w:firstLineChars="0"/>
                          <w:jc w:val="center"/>
                        </w:pPr>
                        <w:r>
                          <w:fldChar w:fldCharType="begin"/>
                        </w:r>
                        <w:r>
                          <w:instrText xml:space="preserve">PAGE   \* MERGEFORMAT</w:instrText>
                        </w:r>
                        <w:r>
                          <w:fldChar w:fldCharType="separate"/>
                        </w:r>
                        <w:r>
                          <w:rPr>
                            <w:lang w:val="zh-CN"/>
                          </w:rPr>
                          <w:t>1</w:t>
                        </w:r>
                        <w:r>
                          <w:rPr>
                            <w:lang w:val="zh-CN"/>
                          </w:rPr>
                          <w:fldChar w:fldCharType="end"/>
                        </w:r>
                      </w:p>
                    </w:sdtContent>
                  </w:sdt>
                  <w:p>
                    <w:pPr>
                      <w:ind w:firstLine="48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BBFA"/>
    <w:multiLevelType w:val="multilevel"/>
    <w:tmpl w:val="8223BBFA"/>
    <w:lvl w:ilvl="0" w:tentative="0">
      <w:start w:val="1"/>
      <w:numFmt w:val="decimal"/>
      <w:suff w:val="space"/>
      <w:lvlText w:val="3.0.%1"/>
      <w:lvlJc w:val="left"/>
      <w:pPr>
        <w:tabs>
          <w:tab w:val="left" w:pos="0"/>
        </w:tabs>
        <w:ind w:left="0" w:firstLine="0"/>
      </w:pPr>
      <w:rPr>
        <w:rFonts w:hint="default" w:ascii="Times New Roman" w:hAnsi="Times New Roman" w:eastAsia="宋体" w:cs="宋体"/>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912B7A20"/>
    <w:multiLevelType w:val="singleLevel"/>
    <w:tmpl w:val="912B7A20"/>
    <w:lvl w:ilvl="0" w:tentative="0">
      <w:start w:val="1"/>
      <w:numFmt w:val="decimal"/>
      <w:suff w:val="nothing"/>
      <w:lvlText w:val="%1）"/>
      <w:lvlJc w:val="left"/>
    </w:lvl>
  </w:abstractNum>
  <w:abstractNum w:abstractNumId="2">
    <w:nsid w:val="BD49713C"/>
    <w:multiLevelType w:val="multilevel"/>
    <w:tmpl w:val="BD49713C"/>
    <w:lvl w:ilvl="0" w:tentative="0">
      <w:start w:val="1"/>
      <w:numFmt w:val="decimal"/>
      <w:suff w:val="space"/>
      <w:lvlText w:val="%1"/>
      <w:lvlJc w:val="left"/>
      <w:pPr>
        <w:tabs>
          <w:tab w:val="left" w:pos="0"/>
        </w:tabs>
        <w:ind w:left="0" w:firstLine="0"/>
      </w:pPr>
      <w:rPr>
        <w:rFonts w:hint="default"/>
      </w:rPr>
    </w:lvl>
    <w:lvl w:ilvl="1" w:tentative="0">
      <w:start w:val="1"/>
      <w:numFmt w:val="decimal"/>
      <w:suff w:val="space"/>
      <w:lvlText w:val="%1.%2"/>
      <w:lvlJc w:val="left"/>
      <w:pPr>
        <w:ind w:left="0" w:firstLine="0"/>
      </w:pPr>
      <w:rPr>
        <w:rFonts w:hint="default"/>
        <w:sz w:val="24"/>
        <w:szCs w:val="24"/>
      </w:rPr>
    </w:lvl>
    <w:lvl w:ilvl="2" w:tentative="0">
      <w:start w:val="1"/>
      <w:numFmt w:val="decimal"/>
      <w:suff w:val="space"/>
      <w:lvlText w:val="%1.%2.%3"/>
      <w:lvlJc w:val="left"/>
      <w:pPr>
        <w:ind w:left="0" w:firstLine="0"/>
      </w:pPr>
      <w:rPr>
        <w:rFonts w:hint="default" w:ascii="Times New Roman" w:hAnsi="Times New Roman" w:cs="Times New Roman"/>
        <w:b/>
        <w:bCs w:val="0"/>
        <w:i w:val="0"/>
        <w:iCs w:val="0"/>
        <w:caps w:val="0"/>
        <w:smallCaps w:val="0"/>
        <w:strike w:val="0"/>
        <w:dstrike w:val="0"/>
        <w:outline w:val="0"/>
        <w:shadow w:val="0"/>
        <w:emboss w:val="0"/>
        <w:imprint w:val="0"/>
        <w:vanish w:val="0"/>
        <w:color w:val="auto"/>
        <w:spacing w:val="0"/>
        <w:position w:val="0"/>
        <w:sz w:val="24"/>
        <w:szCs w:val="24"/>
        <w:u w:val="none"/>
        <w:vertAlign w:val="baseline"/>
        <w14:ligatures w14:val="none"/>
        <w14:numForm w14:val="default"/>
        <w14:numSpacing w14:val="default"/>
      </w:rPr>
    </w:lvl>
    <w:lvl w:ilvl="3" w:tentative="0">
      <w:start w:val="1"/>
      <w:numFmt w:val="decimal"/>
      <w:suff w:val="space"/>
      <w:lvlText w:val="%4"/>
      <w:lvlJc w:val="left"/>
      <w:pPr>
        <w:ind w:left="0" w:firstLine="482"/>
      </w:pPr>
      <w:rPr>
        <w:rFonts w:hint="eastAsia"/>
        <w:b/>
        <w:sz w:val="24"/>
        <w:szCs w:val="24"/>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CFC0A042"/>
    <w:multiLevelType w:val="multilevel"/>
    <w:tmpl w:val="CFC0A042"/>
    <w:lvl w:ilvl="0" w:tentative="0">
      <w:start w:val="1"/>
      <w:numFmt w:val="decimal"/>
      <w:pStyle w:val="39"/>
      <w:suff w:val="space"/>
      <w:lvlText w:val="%1"/>
      <w:lvlJc w:val="left"/>
      <w:pPr>
        <w:ind w:left="0" w:firstLine="0"/>
      </w:pPr>
      <w:rPr>
        <w:rFonts w:hint="eastAsia"/>
      </w:rPr>
    </w:lvl>
    <w:lvl w:ilvl="1" w:tentative="0">
      <w:start w:val="1"/>
      <w:numFmt w:val="decimal"/>
      <w:pStyle w:val="41"/>
      <w:suff w:val="space"/>
      <w:lvlText w:val="%1.%2"/>
      <w:lvlJc w:val="left"/>
      <w:pPr>
        <w:ind w:left="3969" w:firstLine="0"/>
      </w:pPr>
      <w:rPr>
        <w:rFonts w:hint="default"/>
        <w:sz w:val="24"/>
        <w:szCs w:val="24"/>
      </w:rPr>
    </w:lvl>
    <w:lvl w:ilvl="2" w:tentative="0">
      <w:start w:val="1"/>
      <w:numFmt w:val="decimal"/>
      <w:pStyle w:val="42"/>
      <w:suff w:val="space"/>
      <w:lvlText w:val="%1.%2.%3"/>
      <w:lvlJc w:val="left"/>
      <w:pPr>
        <w:tabs>
          <w:tab w:val="left" w:pos="0"/>
        </w:tabs>
        <w:ind w:left="0" w:firstLine="0"/>
      </w:pPr>
      <w:rPr>
        <w:rFonts w:hint="default" w:ascii="Times New Roman" w:hAnsi="Times New Roman" w:cs="Times New Roman"/>
        <w:b/>
        <w:bCs w:val="0"/>
        <w:i w:val="0"/>
        <w:iCs w:val="0"/>
        <w:caps w:val="0"/>
        <w:smallCaps w:val="0"/>
        <w:strike w:val="0"/>
        <w:dstrike w:val="0"/>
        <w:outline w:val="0"/>
        <w:shadow w:val="0"/>
        <w:emboss w:val="0"/>
        <w:imprint w:val="0"/>
        <w:vanish w:val="0"/>
        <w:color w:val="auto"/>
        <w:spacing w:val="0"/>
        <w:position w:val="0"/>
        <w:sz w:val="24"/>
        <w:szCs w:val="24"/>
        <w:u w:val="none"/>
        <w:vertAlign w:val="baseline"/>
        <w14:ligatures w14:val="none"/>
        <w14:numForm w14:val="default"/>
        <w14:numSpacing w14:val="default"/>
      </w:rPr>
    </w:lvl>
    <w:lvl w:ilvl="3" w:tentative="0">
      <w:start w:val="1"/>
      <w:numFmt w:val="decimal"/>
      <w:pStyle w:val="43"/>
      <w:suff w:val="space"/>
      <w:lvlText w:val="%4"/>
      <w:lvlJc w:val="left"/>
      <w:pPr>
        <w:ind w:left="0" w:firstLine="482"/>
      </w:p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D2AA488D"/>
    <w:multiLevelType w:val="multilevel"/>
    <w:tmpl w:val="D2AA488D"/>
    <w:lvl w:ilvl="0" w:tentative="0">
      <w:start w:val="1"/>
      <w:numFmt w:val="decimal"/>
      <w:suff w:val="space"/>
      <w:lvlText w:val="1.0.%1"/>
      <w:lvlJc w:val="left"/>
      <w:pPr>
        <w:tabs>
          <w:tab w:val="left" w:pos="0"/>
        </w:tabs>
        <w:ind w:left="0" w:firstLine="0"/>
      </w:pPr>
      <w:rPr>
        <w:rFonts w:hint="default"/>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DCCBEB93"/>
    <w:multiLevelType w:val="multilevel"/>
    <w:tmpl w:val="DCCBEB93"/>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rPr>
        <w:rFonts w:hint="default"/>
        <w:sz w:val="24"/>
        <w:szCs w:val="24"/>
      </w:rPr>
    </w:lvl>
    <w:lvl w:ilvl="2" w:tentative="0">
      <w:start w:val="1"/>
      <w:numFmt w:val="decimal"/>
      <w:suff w:val="space"/>
      <w:lvlText w:val="%1.%2.%3"/>
      <w:lvlJc w:val="left"/>
      <w:pPr>
        <w:ind w:left="0" w:firstLine="0"/>
      </w:pPr>
      <w:rPr>
        <w:rFonts w:hint="default" w:ascii="Times New Roman" w:hAnsi="Times New Roman" w:cs="Times New Roman"/>
        <w:b/>
        <w:bCs w:val="0"/>
        <w:i w:val="0"/>
        <w:iCs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suff w:val="space"/>
      <w:lvlText w:val="%4"/>
      <w:lvlJc w:val="left"/>
      <w:pPr>
        <w:tabs>
          <w:tab w:val="left" w:pos="0"/>
        </w:tabs>
        <w:ind w:left="0" w:firstLine="482"/>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DE071499"/>
    <w:multiLevelType w:val="multilevel"/>
    <w:tmpl w:val="DE071499"/>
    <w:lvl w:ilvl="0" w:tentative="0">
      <w:start w:val="1"/>
      <w:numFmt w:val="decimal"/>
      <w:suff w:val="space"/>
      <w:lvlText w:val="2.0.%1"/>
      <w:lvlJc w:val="left"/>
      <w:pPr>
        <w:tabs>
          <w:tab w:val="left" w:pos="0"/>
        </w:tabs>
        <w:ind w:left="0" w:firstLine="0"/>
      </w:pPr>
      <w:rPr>
        <w:rFonts w:hint="default" w:ascii="宋体" w:hAnsi="宋体" w:eastAsia="宋体" w:cs="宋体"/>
        <w:b/>
        <w:sz w:val="24"/>
        <w:szCs w:val="24"/>
      </w:rPr>
    </w:lvl>
    <w:lvl w:ilvl="1" w:tentative="0">
      <w:start w:val="1"/>
      <w:numFmt w:val="lowerLetter"/>
      <w:lvlText w:val="%2)"/>
      <w:lvlJc w:val="left"/>
      <w:pPr>
        <w:tabs>
          <w:tab w:val="left" w:pos="420"/>
        </w:tabs>
        <w:ind w:left="840" w:hanging="420"/>
      </w:pPr>
      <w:rPr>
        <w:rFonts w:hint="default" w:ascii="宋体" w:hAnsi="宋体" w:eastAsia="宋体" w:cs="宋体"/>
      </w:rPr>
    </w:lvl>
    <w:lvl w:ilvl="2" w:tentative="0">
      <w:start w:val="1"/>
      <w:numFmt w:val="lowerRoman"/>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27FD4829"/>
    <w:multiLevelType w:val="multilevel"/>
    <w:tmpl w:val="27FD48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D2D207C"/>
    <w:multiLevelType w:val="multilevel"/>
    <w:tmpl w:val="3D2D207C"/>
    <w:lvl w:ilvl="0" w:tentative="0">
      <w:start w:val="5"/>
      <w:numFmt w:val="decimal"/>
      <w:pStyle w:val="155"/>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pStyle w:val="4"/>
      <w:suff w:val="space"/>
      <w:lvlText w:val="5.2.%3"/>
      <w:lvlJc w:val="left"/>
      <w:pPr>
        <w:ind w:left="142" w:hanging="142"/>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421B43FD"/>
    <w:multiLevelType w:val="multilevel"/>
    <w:tmpl w:val="421B43FD"/>
    <w:lvl w:ilvl="0" w:tentative="0">
      <w:start w:val="1"/>
      <w:numFmt w:val="decimal"/>
      <w:lvlText w:val="%1 "/>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9895064"/>
    <w:multiLevelType w:val="multilevel"/>
    <w:tmpl w:val="49895064"/>
    <w:lvl w:ilvl="0" w:tentative="0">
      <w:start w:val="1"/>
      <w:numFmt w:val="decimal"/>
      <w:pStyle w:val="54"/>
      <w:suff w:val="nothing"/>
      <w:lvlText w:val="%1）"/>
      <w:lvlJc w:val="left"/>
      <w:pPr>
        <w:ind w:left="1339" w:hanging="375"/>
      </w:pPr>
      <w:rPr>
        <w:b/>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8"/>
  </w:num>
  <w:num w:numId="2">
    <w:abstractNumId w:val="3"/>
  </w:num>
  <w:num w:numId="3">
    <w:abstractNumId w:val="10"/>
  </w:num>
  <w:num w:numId="4">
    <w:abstractNumId w:val="4"/>
  </w:num>
  <w:num w:numId="5">
    <w:abstractNumId w:val="2"/>
  </w:num>
  <w:num w:numId="6">
    <w:abstractNumId w:val="6"/>
  </w:num>
  <w:num w:numId="7">
    <w:abstractNumId w:val="0"/>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3E"/>
    <w:rsid w:val="000006C2"/>
    <w:rsid w:val="00000CF1"/>
    <w:rsid w:val="00001DEE"/>
    <w:rsid w:val="00001F18"/>
    <w:rsid w:val="00003626"/>
    <w:rsid w:val="00003AB6"/>
    <w:rsid w:val="00003D1C"/>
    <w:rsid w:val="0000407B"/>
    <w:rsid w:val="000041E2"/>
    <w:rsid w:val="000049C4"/>
    <w:rsid w:val="000049FF"/>
    <w:rsid w:val="000050CD"/>
    <w:rsid w:val="00005172"/>
    <w:rsid w:val="000053D7"/>
    <w:rsid w:val="0000541F"/>
    <w:rsid w:val="000054BD"/>
    <w:rsid w:val="000056C4"/>
    <w:rsid w:val="00007173"/>
    <w:rsid w:val="000077BA"/>
    <w:rsid w:val="00007DF9"/>
    <w:rsid w:val="00010808"/>
    <w:rsid w:val="0001203B"/>
    <w:rsid w:val="00012196"/>
    <w:rsid w:val="0001225C"/>
    <w:rsid w:val="000128FA"/>
    <w:rsid w:val="00012AFA"/>
    <w:rsid w:val="00012B64"/>
    <w:rsid w:val="00012C14"/>
    <w:rsid w:val="00012D66"/>
    <w:rsid w:val="000134F4"/>
    <w:rsid w:val="00013A90"/>
    <w:rsid w:val="00014161"/>
    <w:rsid w:val="00014286"/>
    <w:rsid w:val="00014399"/>
    <w:rsid w:val="00014814"/>
    <w:rsid w:val="00014834"/>
    <w:rsid w:val="00015032"/>
    <w:rsid w:val="000153E3"/>
    <w:rsid w:val="000154AB"/>
    <w:rsid w:val="0001589D"/>
    <w:rsid w:val="00015CF6"/>
    <w:rsid w:val="00015E4F"/>
    <w:rsid w:val="000164B6"/>
    <w:rsid w:val="00016966"/>
    <w:rsid w:val="0001696B"/>
    <w:rsid w:val="00016BFE"/>
    <w:rsid w:val="00016C7E"/>
    <w:rsid w:val="00016DDB"/>
    <w:rsid w:val="00017246"/>
    <w:rsid w:val="00017A52"/>
    <w:rsid w:val="00020145"/>
    <w:rsid w:val="0002019D"/>
    <w:rsid w:val="00021058"/>
    <w:rsid w:val="00021809"/>
    <w:rsid w:val="00021D8A"/>
    <w:rsid w:val="000221CF"/>
    <w:rsid w:val="00022339"/>
    <w:rsid w:val="000225F9"/>
    <w:rsid w:val="00022E5D"/>
    <w:rsid w:val="00022FE2"/>
    <w:rsid w:val="00024436"/>
    <w:rsid w:val="0002446E"/>
    <w:rsid w:val="000246BF"/>
    <w:rsid w:val="000248B7"/>
    <w:rsid w:val="00024DF1"/>
    <w:rsid w:val="00024FEE"/>
    <w:rsid w:val="00025197"/>
    <w:rsid w:val="00025281"/>
    <w:rsid w:val="00025970"/>
    <w:rsid w:val="00025A8D"/>
    <w:rsid w:val="000261C2"/>
    <w:rsid w:val="0002699B"/>
    <w:rsid w:val="00027121"/>
    <w:rsid w:val="00027213"/>
    <w:rsid w:val="000276E7"/>
    <w:rsid w:val="00030697"/>
    <w:rsid w:val="00030898"/>
    <w:rsid w:val="00030A79"/>
    <w:rsid w:val="0003222A"/>
    <w:rsid w:val="00032291"/>
    <w:rsid w:val="0003255D"/>
    <w:rsid w:val="0003300F"/>
    <w:rsid w:val="000343AC"/>
    <w:rsid w:val="00034C85"/>
    <w:rsid w:val="00035124"/>
    <w:rsid w:val="000352EA"/>
    <w:rsid w:val="0003583E"/>
    <w:rsid w:val="0003584A"/>
    <w:rsid w:val="00035E93"/>
    <w:rsid w:val="00036382"/>
    <w:rsid w:val="00036C4D"/>
    <w:rsid w:val="0003743A"/>
    <w:rsid w:val="0003747D"/>
    <w:rsid w:val="000377D5"/>
    <w:rsid w:val="000377F1"/>
    <w:rsid w:val="00037991"/>
    <w:rsid w:val="0004015D"/>
    <w:rsid w:val="00040B33"/>
    <w:rsid w:val="00041567"/>
    <w:rsid w:val="00041776"/>
    <w:rsid w:val="00042023"/>
    <w:rsid w:val="0004226C"/>
    <w:rsid w:val="00043045"/>
    <w:rsid w:val="00043AAC"/>
    <w:rsid w:val="00043B13"/>
    <w:rsid w:val="00043E03"/>
    <w:rsid w:val="00044122"/>
    <w:rsid w:val="0004460F"/>
    <w:rsid w:val="000449C2"/>
    <w:rsid w:val="00044A25"/>
    <w:rsid w:val="00045D3F"/>
    <w:rsid w:val="000462A9"/>
    <w:rsid w:val="00046333"/>
    <w:rsid w:val="000465B0"/>
    <w:rsid w:val="00046734"/>
    <w:rsid w:val="00046D9A"/>
    <w:rsid w:val="00047879"/>
    <w:rsid w:val="00047B74"/>
    <w:rsid w:val="00047CE8"/>
    <w:rsid w:val="000512C9"/>
    <w:rsid w:val="0005191E"/>
    <w:rsid w:val="00051A50"/>
    <w:rsid w:val="00052074"/>
    <w:rsid w:val="000521EA"/>
    <w:rsid w:val="0005225E"/>
    <w:rsid w:val="0005270C"/>
    <w:rsid w:val="00052BD3"/>
    <w:rsid w:val="00052F27"/>
    <w:rsid w:val="000533AB"/>
    <w:rsid w:val="00053503"/>
    <w:rsid w:val="00053690"/>
    <w:rsid w:val="00053ABD"/>
    <w:rsid w:val="00053DA1"/>
    <w:rsid w:val="00053DDD"/>
    <w:rsid w:val="00053FF9"/>
    <w:rsid w:val="000571E6"/>
    <w:rsid w:val="00057C0D"/>
    <w:rsid w:val="0006039D"/>
    <w:rsid w:val="00060419"/>
    <w:rsid w:val="000608FE"/>
    <w:rsid w:val="00060BC4"/>
    <w:rsid w:val="0006108D"/>
    <w:rsid w:val="000619E1"/>
    <w:rsid w:val="00062010"/>
    <w:rsid w:val="000621B6"/>
    <w:rsid w:val="00062BBC"/>
    <w:rsid w:val="000635A9"/>
    <w:rsid w:val="000638CC"/>
    <w:rsid w:val="0006454D"/>
    <w:rsid w:val="00064D19"/>
    <w:rsid w:val="00064DAE"/>
    <w:rsid w:val="00064F8D"/>
    <w:rsid w:val="00065807"/>
    <w:rsid w:val="000659A6"/>
    <w:rsid w:val="00065F4D"/>
    <w:rsid w:val="00067743"/>
    <w:rsid w:val="0006794A"/>
    <w:rsid w:val="00070EED"/>
    <w:rsid w:val="000718B5"/>
    <w:rsid w:val="0007299A"/>
    <w:rsid w:val="00072C0A"/>
    <w:rsid w:val="000730CD"/>
    <w:rsid w:val="0007350E"/>
    <w:rsid w:val="000740FE"/>
    <w:rsid w:val="00075243"/>
    <w:rsid w:val="00075418"/>
    <w:rsid w:val="0007543C"/>
    <w:rsid w:val="0007649D"/>
    <w:rsid w:val="000769AB"/>
    <w:rsid w:val="00076D9D"/>
    <w:rsid w:val="00077172"/>
    <w:rsid w:val="0007739B"/>
    <w:rsid w:val="00077501"/>
    <w:rsid w:val="000776DE"/>
    <w:rsid w:val="00080259"/>
    <w:rsid w:val="00080961"/>
    <w:rsid w:val="00080A27"/>
    <w:rsid w:val="00080F32"/>
    <w:rsid w:val="0008115B"/>
    <w:rsid w:val="000816F2"/>
    <w:rsid w:val="00081BB5"/>
    <w:rsid w:val="0008246C"/>
    <w:rsid w:val="00082696"/>
    <w:rsid w:val="000836BF"/>
    <w:rsid w:val="00083720"/>
    <w:rsid w:val="0008482E"/>
    <w:rsid w:val="00084C11"/>
    <w:rsid w:val="00084E07"/>
    <w:rsid w:val="00084F34"/>
    <w:rsid w:val="000850B9"/>
    <w:rsid w:val="00085248"/>
    <w:rsid w:val="00087037"/>
    <w:rsid w:val="00087C83"/>
    <w:rsid w:val="000909AD"/>
    <w:rsid w:val="00091DFF"/>
    <w:rsid w:val="00092765"/>
    <w:rsid w:val="000930EC"/>
    <w:rsid w:val="00093D88"/>
    <w:rsid w:val="00093E3B"/>
    <w:rsid w:val="00094030"/>
    <w:rsid w:val="00094DCF"/>
    <w:rsid w:val="0009513D"/>
    <w:rsid w:val="0009524E"/>
    <w:rsid w:val="0009533E"/>
    <w:rsid w:val="00095930"/>
    <w:rsid w:val="00095B0E"/>
    <w:rsid w:val="0009688F"/>
    <w:rsid w:val="0009763F"/>
    <w:rsid w:val="00097EA6"/>
    <w:rsid w:val="000A0321"/>
    <w:rsid w:val="000A0C77"/>
    <w:rsid w:val="000A1414"/>
    <w:rsid w:val="000A1895"/>
    <w:rsid w:val="000A1E32"/>
    <w:rsid w:val="000A2234"/>
    <w:rsid w:val="000A25E8"/>
    <w:rsid w:val="000A27FB"/>
    <w:rsid w:val="000A2853"/>
    <w:rsid w:val="000A2EAD"/>
    <w:rsid w:val="000A328B"/>
    <w:rsid w:val="000A3AB9"/>
    <w:rsid w:val="000A41B2"/>
    <w:rsid w:val="000A41C9"/>
    <w:rsid w:val="000A43B5"/>
    <w:rsid w:val="000A4B56"/>
    <w:rsid w:val="000A501D"/>
    <w:rsid w:val="000A54CD"/>
    <w:rsid w:val="000A68FA"/>
    <w:rsid w:val="000A6AA0"/>
    <w:rsid w:val="000A6C82"/>
    <w:rsid w:val="000A741C"/>
    <w:rsid w:val="000A7776"/>
    <w:rsid w:val="000B0389"/>
    <w:rsid w:val="000B050F"/>
    <w:rsid w:val="000B062D"/>
    <w:rsid w:val="000B076E"/>
    <w:rsid w:val="000B125D"/>
    <w:rsid w:val="000B1491"/>
    <w:rsid w:val="000B16F7"/>
    <w:rsid w:val="000B1AFD"/>
    <w:rsid w:val="000B2015"/>
    <w:rsid w:val="000B2018"/>
    <w:rsid w:val="000B2541"/>
    <w:rsid w:val="000B264D"/>
    <w:rsid w:val="000B3367"/>
    <w:rsid w:val="000B341C"/>
    <w:rsid w:val="000B3611"/>
    <w:rsid w:val="000B475D"/>
    <w:rsid w:val="000B4FD6"/>
    <w:rsid w:val="000B5671"/>
    <w:rsid w:val="000B581B"/>
    <w:rsid w:val="000B69B1"/>
    <w:rsid w:val="000B7721"/>
    <w:rsid w:val="000B7A96"/>
    <w:rsid w:val="000B7C7A"/>
    <w:rsid w:val="000B7D67"/>
    <w:rsid w:val="000C00F7"/>
    <w:rsid w:val="000C0C6C"/>
    <w:rsid w:val="000C2741"/>
    <w:rsid w:val="000C3071"/>
    <w:rsid w:val="000C4815"/>
    <w:rsid w:val="000C4BF9"/>
    <w:rsid w:val="000C6288"/>
    <w:rsid w:val="000C6373"/>
    <w:rsid w:val="000C6667"/>
    <w:rsid w:val="000C6726"/>
    <w:rsid w:val="000C6826"/>
    <w:rsid w:val="000C6A64"/>
    <w:rsid w:val="000C6E17"/>
    <w:rsid w:val="000C70DA"/>
    <w:rsid w:val="000C7103"/>
    <w:rsid w:val="000D046D"/>
    <w:rsid w:val="000D1375"/>
    <w:rsid w:val="000D154D"/>
    <w:rsid w:val="000D3444"/>
    <w:rsid w:val="000D3493"/>
    <w:rsid w:val="000D35AE"/>
    <w:rsid w:val="000D38A1"/>
    <w:rsid w:val="000D4AC8"/>
    <w:rsid w:val="000D4B29"/>
    <w:rsid w:val="000D5774"/>
    <w:rsid w:val="000D7668"/>
    <w:rsid w:val="000D7EB8"/>
    <w:rsid w:val="000D7FD8"/>
    <w:rsid w:val="000E0247"/>
    <w:rsid w:val="000E088F"/>
    <w:rsid w:val="000E0FED"/>
    <w:rsid w:val="000E14A9"/>
    <w:rsid w:val="000E1821"/>
    <w:rsid w:val="000E222F"/>
    <w:rsid w:val="000E2726"/>
    <w:rsid w:val="000E3F45"/>
    <w:rsid w:val="000E406F"/>
    <w:rsid w:val="000E41F3"/>
    <w:rsid w:val="000E45DC"/>
    <w:rsid w:val="000E4CB1"/>
    <w:rsid w:val="000E4CF8"/>
    <w:rsid w:val="000E4E35"/>
    <w:rsid w:val="000E56DB"/>
    <w:rsid w:val="000E58C3"/>
    <w:rsid w:val="000E58C4"/>
    <w:rsid w:val="000E60F2"/>
    <w:rsid w:val="000E697F"/>
    <w:rsid w:val="000E6CC1"/>
    <w:rsid w:val="000E6EAC"/>
    <w:rsid w:val="000E7932"/>
    <w:rsid w:val="000E7971"/>
    <w:rsid w:val="000E7B82"/>
    <w:rsid w:val="000E7D40"/>
    <w:rsid w:val="000F0536"/>
    <w:rsid w:val="000F0829"/>
    <w:rsid w:val="000F0E29"/>
    <w:rsid w:val="000F0E3C"/>
    <w:rsid w:val="000F1378"/>
    <w:rsid w:val="000F17D6"/>
    <w:rsid w:val="000F19D2"/>
    <w:rsid w:val="000F4772"/>
    <w:rsid w:val="000F5830"/>
    <w:rsid w:val="000F747E"/>
    <w:rsid w:val="000F7823"/>
    <w:rsid w:val="000F78C5"/>
    <w:rsid w:val="000F7B6A"/>
    <w:rsid w:val="00100E79"/>
    <w:rsid w:val="0010126D"/>
    <w:rsid w:val="0010182A"/>
    <w:rsid w:val="00101941"/>
    <w:rsid w:val="00101A3D"/>
    <w:rsid w:val="00101ABB"/>
    <w:rsid w:val="0010246F"/>
    <w:rsid w:val="00102760"/>
    <w:rsid w:val="00102A29"/>
    <w:rsid w:val="00102BFD"/>
    <w:rsid w:val="001030D8"/>
    <w:rsid w:val="001031CB"/>
    <w:rsid w:val="00103325"/>
    <w:rsid w:val="00103487"/>
    <w:rsid w:val="0010382A"/>
    <w:rsid w:val="00104815"/>
    <w:rsid w:val="00104BAC"/>
    <w:rsid w:val="00104F29"/>
    <w:rsid w:val="00105350"/>
    <w:rsid w:val="00105545"/>
    <w:rsid w:val="0010562A"/>
    <w:rsid w:val="001064D7"/>
    <w:rsid w:val="00106631"/>
    <w:rsid w:val="00106EEC"/>
    <w:rsid w:val="001072C9"/>
    <w:rsid w:val="0011030D"/>
    <w:rsid w:val="00110D50"/>
    <w:rsid w:val="00110ED9"/>
    <w:rsid w:val="001110F9"/>
    <w:rsid w:val="001113F7"/>
    <w:rsid w:val="00111496"/>
    <w:rsid w:val="00111AE0"/>
    <w:rsid w:val="00111DB4"/>
    <w:rsid w:val="00111F56"/>
    <w:rsid w:val="00112336"/>
    <w:rsid w:val="001125F7"/>
    <w:rsid w:val="00112D1C"/>
    <w:rsid w:val="0011338E"/>
    <w:rsid w:val="00114507"/>
    <w:rsid w:val="00114AEE"/>
    <w:rsid w:val="00114C73"/>
    <w:rsid w:val="00114F48"/>
    <w:rsid w:val="0011560E"/>
    <w:rsid w:val="001163D9"/>
    <w:rsid w:val="00116527"/>
    <w:rsid w:val="00117A96"/>
    <w:rsid w:val="001202A0"/>
    <w:rsid w:val="00120FB4"/>
    <w:rsid w:val="00121337"/>
    <w:rsid w:val="00121633"/>
    <w:rsid w:val="001219C2"/>
    <w:rsid w:val="00121A55"/>
    <w:rsid w:val="00121A5E"/>
    <w:rsid w:val="00121D29"/>
    <w:rsid w:val="00121E56"/>
    <w:rsid w:val="00121ED9"/>
    <w:rsid w:val="001228AA"/>
    <w:rsid w:val="00122D7D"/>
    <w:rsid w:val="001231EB"/>
    <w:rsid w:val="00123771"/>
    <w:rsid w:val="00123B28"/>
    <w:rsid w:val="00125066"/>
    <w:rsid w:val="00125547"/>
    <w:rsid w:val="00125ADF"/>
    <w:rsid w:val="00126229"/>
    <w:rsid w:val="001266D5"/>
    <w:rsid w:val="00127DA4"/>
    <w:rsid w:val="00127F86"/>
    <w:rsid w:val="00130222"/>
    <w:rsid w:val="001302FA"/>
    <w:rsid w:val="001303A6"/>
    <w:rsid w:val="00130655"/>
    <w:rsid w:val="00130C7B"/>
    <w:rsid w:val="00130F77"/>
    <w:rsid w:val="001310AF"/>
    <w:rsid w:val="00131DA4"/>
    <w:rsid w:val="00132081"/>
    <w:rsid w:val="0013254C"/>
    <w:rsid w:val="001326FB"/>
    <w:rsid w:val="00132A66"/>
    <w:rsid w:val="00132F43"/>
    <w:rsid w:val="0013300A"/>
    <w:rsid w:val="001338DD"/>
    <w:rsid w:val="00133DA1"/>
    <w:rsid w:val="00133F4D"/>
    <w:rsid w:val="001342E6"/>
    <w:rsid w:val="001346AD"/>
    <w:rsid w:val="00134A95"/>
    <w:rsid w:val="0013592E"/>
    <w:rsid w:val="00135BDE"/>
    <w:rsid w:val="001360F6"/>
    <w:rsid w:val="0013635A"/>
    <w:rsid w:val="001364AC"/>
    <w:rsid w:val="001365BD"/>
    <w:rsid w:val="0013678A"/>
    <w:rsid w:val="0013686F"/>
    <w:rsid w:val="001371AE"/>
    <w:rsid w:val="00137957"/>
    <w:rsid w:val="00137A8E"/>
    <w:rsid w:val="00137E9F"/>
    <w:rsid w:val="00140BF1"/>
    <w:rsid w:val="00140C97"/>
    <w:rsid w:val="00140D12"/>
    <w:rsid w:val="00140D51"/>
    <w:rsid w:val="001411FB"/>
    <w:rsid w:val="00141E42"/>
    <w:rsid w:val="00141E69"/>
    <w:rsid w:val="00142504"/>
    <w:rsid w:val="0014251E"/>
    <w:rsid w:val="00142CD1"/>
    <w:rsid w:val="00142F6F"/>
    <w:rsid w:val="001431A5"/>
    <w:rsid w:val="00143374"/>
    <w:rsid w:val="001436D5"/>
    <w:rsid w:val="0014374F"/>
    <w:rsid w:val="00143FB5"/>
    <w:rsid w:val="001443F7"/>
    <w:rsid w:val="00144C89"/>
    <w:rsid w:val="001452B4"/>
    <w:rsid w:val="001456D1"/>
    <w:rsid w:val="001456EE"/>
    <w:rsid w:val="00145CB3"/>
    <w:rsid w:val="00146E79"/>
    <w:rsid w:val="0014712B"/>
    <w:rsid w:val="00147285"/>
    <w:rsid w:val="0014731D"/>
    <w:rsid w:val="00147D53"/>
    <w:rsid w:val="00150CE6"/>
    <w:rsid w:val="00150F23"/>
    <w:rsid w:val="0015168D"/>
    <w:rsid w:val="00151A0B"/>
    <w:rsid w:val="001525E8"/>
    <w:rsid w:val="001529E0"/>
    <w:rsid w:val="00153DD9"/>
    <w:rsid w:val="00154077"/>
    <w:rsid w:val="00154B6D"/>
    <w:rsid w:val="00154EC8"/>
    <w:rsid w:val="00154F25"/>
    <w:rsid w:val="00155308"/>
    <w:rsid w:val="001557B0"/>
    <w:rsid w:val="00155E1A"/>
    <w:rsid w:val="00157103"/>
    <w:rsid w:val="0016128A"/>
    <w:rsid w:val="00161801"/>
    <w:rsid w:val="00161D30"/>
    <w:rsid w:val="00162ACC"/>
    <w:rsid w:val="00162E10"/>
    <w:rsid w:val="0016346F"/>
    <w:rsid w:val="00163690"/>
    <w:rsid w:val="0016442F"/>
    <w:rsid w:val="001648A7"/>
    <w:rsid w:val="00165413"/>
    <w:rsid w:val="00165835"/>
    <w:rsid w:val="001664E6"/>
    <w:rsid w:val="001667AF"/>
    <w:rsid w:val="00166F37"/>
    <w:rsid w:val="001674F0"/>
    <w:rsid w:val="0016758F"/>
    <w:rsid w:val="00170548"/>
    <w:rsid w:val="00170672"/>
    <w:rsid w:val="00170C64"/>
    <w:rsid w:val="00170F4B"/>
    <w:rsid w:val="00171684"/>
    <w:rsid w:val="00171BF3"/>
    <w:rsid w:val="00171E07"/>
    <w:rsid w:val="001720BA"/>
    <w:rsid w:val="001723CA"/>
    <w:rsid w:val="00172C1D"/>
    <w:rsid w:val="00173AE8"/>
    <w:rsid w:val="00173F0A"/>
    <w:rsid w:val="001749D9"/>
    <w:rsid w:val="001749F3"/>
    <w:rsid w:val="00174B83"/>
    <w:rsid w:val="001751C2"/>
    <w:rsid w:val="00175251"/>
    <w:rsid w:val="00175950"/>
    <w:rsid w:val="00175C83"/>
    <w:rsid w:val="00175CCA"/>
    <w:rsid w:val="00175F32"/>
    <w:rsid w:val="00176352"/>
    <w:rsid w:val="0017648A"/>
    <w:rsid w:val="00176BDF"/>
    <w:rsid w:val="00177DC6"/>
    <w:rsid w:val="00180A83"/>
    <w:rsid w:val="00181BB2"/>
    <w:rsid w:val="00181C4D"/>
    <w:rsid w:val="00182143"/>
    <w:rsid w:val="001823CF"/>
    <w:rsid w:val="00182450"/>
    <w:rsid w:val="00182F65"/>
    <w:rsid w:val="001840AA"/>
    <w:rsid w:val="0018470A"/>
    <w:rsid w:val="0018496F"/>
    <w:rsid w:val="00184D15"/>
    <w:rsid w:val="00185403"/>
    <w:rsid w:val="0018577E"/>
    <w:rsid w:val="00187347"/>
    <w:rsid w:val="001873A6"/>
    <w:rsid w:val="00191135"/>
    <w:rsid w:val="00191B3E"/>
    <w:rsid w:val="00192D73"/>
    <w:rsid w:val="00193007"/>
    <w:rsid w:val="001942D2"/>
    <w:rsid w:val="0019473B"/>
    <w:rsid w:val="00194E36"/>
    <w:rsid w:val="001954A2"/>
    <w:rsid w:val="00196003"/>
    <w:rsid w:val="0019633B"/>
    <w:rsid w:val="001975D2"/>
    <w:rsid w:val="00197B68"/>
    <w:rsid w:val="00197DD9"/>
    <w:rsid w:val="001A04CB"/>
    <w:rsid w:val="001A0AE1"/>
    <w:rsid w:val="001A17B0"/>
    <w:rsid w:val="001A209D"/>
    <w:rsid w:val="001A297A"/>
    <w:rsid w:val="001A3224"/>
    <w:rsid w:val="001A3225"/>
    <w:rsid w:val="001A3CCE"/>
    <w:rsid w:val="001A3F2A"/>
    <w:rsid w:val="001A440F"/>
    <w:rsid w:val="001A444F"/>
    <w:rsid w:val="001A4971"/>
    <w:rsid w:val="001A4D6B"/>
    <w:rsid w:val="001A51C2"/>
    <w:rsid w:val="001A65B4"/>
    <w:rsid w:val="001A71E9"/>
    <w:rsid w:val="001A723C"/>
    <w:rsid w:val="001A7241"/>
    <w:rsid w:val="001A7252"/>
    <w:rsid w:val="001A7321"/>
    <w:rsid w:val="001A73CA"/>
    <w:rsid w:val="001A7771"/>
    <w:rsid w:val="001A78C4"/>
    <w:rsid w:val="001B050F"/>
    <w:rsid w:val="001B140F"/>
    <w:rsid w:val="001B1516"/>
    <w:rsid w:val="001B16F9"/>
    <w:rsid w:val="001B215F"/>
    <w:rsid w:val="001B230C"/>
    <w:rsid w:val="001B2C32"/>
    <w:rsid w:val="001B2C37"/>
    <w:rsid w:val="001B30BA"/>
    <w:rsid w:val="001B30E8"/>
    <w:rsid w:val="001B3678"/>
    <w:rsid w:val="001B3921"/>
    <w:rsid w:val="001B3B3E"/>
    <w:rsid w:val="001B3C49"/>
    <w:rsid w:val="001B3CDA"/>
    <w:rsid w:val="001B3E54"/>
    <w:rsid w:val="001B3F50"/>
    <w:rsid w:val="001B4152"/>
    <w:rsid w:val="001B44C3"/>
    <w:rsid w:val="001B455B"/>
    <w:rsid w:val="001B55DB"/>
    <w:rsid w:val="001B5999"/>
    <w:rsid w:val="001B5B28"/>
    <w:rsid w:val="001B5F41"/>
    <w:rsid w:val="001B61E4"/>
    <w:rsid w:val="001B65DE"/>
    <w:rsid w:val="001B664A"/>
    <w:rsid w:val="001B67C2"/>
    <w:rsid w:val="001B6BC5"/>
    <w:rsid w:val="001B7764"/>
    <w:rsid w:val="001B7893"/>
    <w:rsid w:val="001B7CBA"/>
    <w:rsid w:val="001B7F73"/>
    <w:rsid w:val="001C0213"/>
    <w:rsid w:val="001C1250"/>
    <w:rsid w:val="001C1526"/>
    <w:rsid w:val="001C22F0"/>
    <w:rsid w:val="001C2519"/>
    <w:rsid w:val="001C29C6"/>
    <w:rsid w:val="001C2C05"/>
    <w:rsid w:val="001C2C52"/>
    <w:rsid w:val="001C2CCD"/>
    <w:rsid w:val="001C2F6D"/>
    <w:rsid w:val="001C35DE"/>
    <w:rsid w:val="001C3A02"/>
    <w:rsid w:val="001C3B42"/>
    <w:rsid w:val="001C3E64"/>
    <w:rsid w:val="001C3E8F"/>
    <w:rsid w:val="001C405F"/>
    <w:rsid w:val="001C41C1"/>
    <w:rsid w:val="001C44D5"/>
    <w:rsid w:val="001C5E80"/>
    <w:rsid w:val="001C6559"/>
    <w:rsid w:val="001C67A8"/>
    <w:rsid w:val="001C6B1D"/>
    <w:rsid w:val="001C6FD4"/>
    <w:rsid w:val="001C711A"/>
    <w:rsid w:val="001C7144"/>
    <w:rsid w:val="001C7663"/>
    <w:rsid w:val="001C7B3C"/>
    <w:rsid w:val="001D0C6A"/>
    <w:rsid w:val="001D1AB8"/>
    <w:rsid w:val="001D1F7D"/>
    <w:rsid w:val="001D2065"/>
    <w:rsid w:val="001D4666"/>
    <w:rsid w:val="001D4BC4"/>
    <w:rsid w:val="001D4C6E"/>
    <w:rsid w:val="001D4FE7"/>
    <w:rsid w:val="001D53C4"/>
    <w:rsid w:val="001D5416"/>
    <w:rsid w:val="001D650A"/>
    <w:rsid w:val="001D72CB"/>
    <w:rsid w:val="001D732D"/>
    <w:rsid w:val="001D776A"/>
    <w:rsid w:val="001D7A69"/>
    <w:rsid w:val="001D7E21"/>
    <w:rsid w:val="001E0728"/>
    <w:rsid w:val="001E0F4C"/>
    <w:rsid w:val="001E0F85"/>
    <w:rsid w:val="001E0F9B"/>
    <w:rsid w:val="001E111E"/>
    <w:rsid w:val="001E147B"/>
    <w:rsid w:val="001E1E14"/>
    <w:rsid w:val="001E26DF"/>
    <w:rsid w:val="001E35F3"/>
    <w:rsid w:val="001E37C4"/>
    <w:rsid w:val="001E3DD8"/>
    <w:rsid w:val="001E3F42"/>
    <w:rsid w:val="001E4071"/>
    <w:rsid w:val="001E4917"/>
    <w:rsid w:val="001E57E6"/>
    <w:rsid w:val="001E5C54"/>
    <w:rsid w:val="001E60B5"/>
    <w:rsid w:val="001E6115"/>
    <w:rsid w:val="001E7578"/>
    <w:rsid w:val="001E7AE3"/>
    <w:rsid w:val="001E7EEF"/>
    <w:rsid w:val="001F0048"/>
    <w:rsid w:val="001F02D7"/>
    <w:rsid w:val="001F0A4C"/>
    <w:rsid w:val="001F141F"/>
    <w:rsid w:val="001F191F"/>
    <w:rsid w:val="001F1E3F"/>
    <w:rsid w:val="001F2C3B"/>
    <w:rsid w:val="001F37F1"/>
    <w:rsid w:val="001F3DBF"/>
    <w:rsid w:val="001F4596"/>
    <w:rsid w:val="001F47FB"/>
    <w:rsid w:val="001F49AD"/>
    <w:rsid w:val="001F5203"/>
    <w:rsid w:val="001F5591"/>
    <w:rsid w:val="001F5D6C"/>
    <w:rsid w:val="001F5F88"/>
    <w:rsid w:val="001F68DA"/>
    <w:rsid w:val="0020021D"/>
    <w:rsid w:val="00200A55"/>
    <w:rsid w:val="002013B7"/>
    <w:rsid w:val="0020156E"/>
    <w:rsid w:val="00201A7D"/>
    <w:rsid w:val="00201C05"/>
    <w:rsid w:val="00201FF0"/>
    <w:rsid w:val="0020258D"/>
    <w:rsid w:val="00202AD2"/>
    <w:rsid w:val="00202B4A"/>
    <w:rsid w:val="00202D0B"/>
    <w:rsid w:val="00203D8C"/>
    <w:rsid w:val="0020564A"/>
    <w:rsid w:val="00205DE2"/>
    <w:rsid w:val="0020616C"/>
    <w:rsid w:val="002066D9"/>
    <w:rsid w:val="00206929"/>
    <w:rsid w:val="00206C65"/>
    <w:rsid w:val="002072CF"/>
    <w:rsid w:val="00210E3D"/>
    <w:rsid w:val="00211A7A"/>
    <w:rsid w:val="00212361"/>
    <w:rsid w:val="00212374"/>
    <w:rsid w:val="00212D27"/>
    <w:rsid w:val="00213576"/>
    <w:rsid w:val="0021380E"/>
    <w:rsid w:val="00214421"/>
    <w:rsid w:val="00214431"/>
    <w:rsid w:val="00214B1C"/>
    <w:rsid w:val="00214C48"/>
    <w:rsid w:val="00214CDA"/>
    <w:rsid w:val="00214D90"/>
    <w:rsid w:val="00214FEC"/>
    <w:rsid w:val="002150A1"/>
    <w:rsid w:val="00215272"/>
    <w:rsid w:val="00215A52"/>
    <w:rsid w:val="00216193"/>
    <w:rsid w:val="0021671B"/>
    <w:rsid w:val="002167DD"/>
    <w:rsid w:val="0021694B"/>
    <w:rsid w:val="00217228"/>
    <w:rsid w:val="0021797A"/>
    <w:rsid w:val="0022061C"/>
    <w:rsid w:val="00220B9E"/>
    <w:rsid w:val="00221092"/>
    <w:rsid w:val="00221461"/>
    <w:rsid w:val="00222142"/>
    <w:rsid w:val="0022218F"/>
    <w:rsid w:val="002226A1"/>
    <w:rsid w:val="002228FF"/>
    <w:rsid w:val="002229E8"/>
    <w:rsid w:val="00222EE2"/>
    <w:rsid w:val="00223331"/>
    <w:rsid w:val="00223D77"/>
    <w:rsid w:val="00224E9A"/>
    <w:rsid w:val="00225705"/>
    <w:rsid w:val="0022624F"/>
    <w:rsid w:val="00226413"/>
    <w:rsid w:val="002267DA"/>
    <w:rsid w:val="002269BF"/>
    <w:rsid w:val="00226D0B"/>
    <w:rsid w:val="00227173"/>
    <w:rsid w:val="0022721E"/>
    <w:rsid w:val="002279F8"/>
    <w:rsid w:val="002302C4"/>
    <w:rsid w:val="00230391"/>
    <w:rsid w:val="0023060A"/>
    <w:rsid w:val="00231100"/>
    <w:rsid w:val="00231AED"/>
    <w:rsid w:val="00231D5A"/>
    <w:rsid w:val="00231E08"/>
    <w:rsid w:val="00231F8E"/>
    <w:rsid w:val="00232A29"/>
    <w:rsid w:val="00232E4A"/>
    <w:rsid w:val="00233352"/>
    <w:rsid w:val="002333F7"/>
    <w:rsid w:val="00233AAD"/>
    <w:rsid w:val="0023436B"/>
    <w:rsid w:val="00234620"/>
    <w:rsid w:val="00234982"/>
    <w:rsid w:val="00235BF8"/>
    <w:rsid w:val="00235C82"/>
    <w:rsid w:val="00235E39"/>
    <w:rsid w:val="0023675E"/>
    <w:rsid w:val="00236A44"/>
    <w:rsid w:val="002372CB"/>
    <w:rsid w:val="00237734"/>
    <w:rsid w:val="002378B4"/>
    <w:rsid w:val="00237BCD"/>
    <w:rsid w:val="0024098E"/>
    <w:rsid w:val="002420F8"/>
    <w:rsid w:val="00243336"/>
    <w:rsid w:val="00243862"/>
    <w:rsid w:val="00243EAE"/>
    <w:rsid w:val="00244054"/>
    <w:rsid w:val="00244244"/>
    <w:rsid w:val="00244856"/>
    <w:rsid w:val="002454E0"/>
    <w:rsid w:val="0024569D"/>
    <w:rsid w:val="002456C5"/>
    <w:rsid w:val="002456D2"/>
    <w:rsid w:val="00245947"/>
    <w:rsid w:val="002462B9"/>
    <w:rsid w:val="00246A9D"/>
    <w:rsid w:val="00247DF1"/>
    <w:rsid w:val="00250026"/>
    <w:rsid w:val="002513E2"/>
    <w:rsid w:val="00251BEA"/>
    <w:rsid w:val="00251E1B"/>
    <w:rsid w:val="002530C1"/>
    <w:rsid w:val="002533E3"/>
    <w:rsid w:val="00253743"/>
    <w:rsid w:val="00253802"/>
    <w:rsid w:val="00253D07"/>
    <w:rsid w:val="00254321"/>
    <w:rsid w:val="002548BF"/>
    <w:rsid w:val="00254918"/>
    <w:rsid w:val="00255474"/>
    <w:rsid w:val="00255F6B"/>
    <w:rsid w:val="00256159"/>
    <w:rsid w:val="0025628A"/>
    <w:rsid w:val="0025671D"/>
    <w:rsid w:val="00256B01"/>
    <w:rsid w:val="00256C16"/>
    <w:rsid w:val="00256C23"/>
    <w:rsid w:val="0025767A"/>
    <w:rsid w:val="0025788F"/>
    <w:rsid w:val="002579A7"/>
    <w:rsid w:val="00257A0A"/>
    <w:rsid w:val="00257EB9"/>
    <w:rsid w:val="00260DFA"/>
    <w:rsid w:val="0026123B"/>
    <w:rsid w:val="002613D7"/>
    <w:rsid w:val="00261F6B"/>
    <w:rsid w:val="0026229C"/>
    <w:rsid w:val="0026276E"/>
    <w:rsid w:val="00263A42"/>
    <w:rsid w:val="00263AAF"/>
    <w:rsid w:val="00264A5E"/>
    <w:rsid w:val="00265128"/>
    <w:rsid w:val="00265348"/>
    <w:rsid w:val="00265655"/>
    <w:rsid w:val="00265CC7"/>
    <w:rsid w:val="00266058"/>
    <w:rsid w:val="00266B74"/>
    <w:rsid w:val="00266F4E"/>
    <w:rsid w:val="00267070"/>
    <w:rsid w:val="0026738E"/>
    <w:rsid w:val="00267EC0"/>
    <w:rsid w:val="0027007B"/>
    <w:rsid w:val="00270257"/>
    <w:rsid w:val="002702A1"/>
    <w:rsid w:val="002707BE"/>
    <w:rsid w:val="00270E97"/>
    <w:rsid w:val="00271694"/>
    <w:rsid w:val="00271B03"/>
    <w:rsid w:val="00271C07"/>
    <w:rsid w:val="00271FD1"/>
    <w:rsid w:val="002724BD"/>
    <w:rsid w:val="00272E16"/>
    <w:rsid w:val="0027362E"/>
    <w:rsid w:val="00273A36"/>
    <w:rsid w:val="002741D0"/>
    <w:rsid w:val="002744A3"/>
    <w:rsid w:val="00274BC3"/>
    <w:rsid w:val="00274C86"/>
    <w:rsid w:val="00274CA6"/>
    <w:rsid w:val="00274D2E"/>
    <w:rsid w:val="002754F7"/>
    <w:rsid w:val="00275757"/>
    <w:rsid w:val="00276B43"/>
    <w:rsid w:val="002772A9"/>
    <w:rsid w:val="00280EE0"/>
    <w:rsid w:val="0028187E"/>
    <w:rsid w:val="0028250C"/>
    <w:rsid w:val="00282BF4"/>
    <w:rsid w:val="00283659"/>
    <w:rsid w:val="0028373A"/>
    <w:rsid w:val="00283D96"/>
    <w:rsid w:val="00283F26"/>
    <w:rsid w:val="0028498A"/>
    <w:rsid w:val="002853B6"/>
    <w:rsid w:val="002855F3"/>
    <w:rsid w:val="00285EB0"/>
    <w:rsid w:val="00285FB5"/>
    <w:rsid w:val="002866AA"/>
    <w:rsid w:val="00286B33"/>
    <w:rsid w:val="00287D2D"/>
    <w:rsid w:val="00287EAF"/>
    <w:rsid w:val="00290C83"/>
    <w:rsid w:val="0029115F"/>
    <w:rsid w:val="002911EE"/>
    <w:rsid w:val="002914C4"/>
    <w:rsid w:val="002914E7"/>
    <w:rsid w:val="0029188C"/>
    <w:rsid w:val="00291B2D"/>
    <w:rsid w:val="002925BE"/>
    <w:rsid w:val="00292DF0"/>
    <w:rsid w:val="00292E79"/>
    <w:rsid w:val="002938B1"/>
    <w:rsid w:val="002938D4"/>
    <w:rsid w:val="00293D51"/>
    <w:rsid w:val="00293D9D"/>
    <w:rsid w:val="00293DDC"/>
    <w:rsid w:val="00293E86"/>
    <w:rsid w:val="00294061"/>
    <w:rsid w:val="00294439"/>
    <w:rsid w:val="0029487A"/>
    <w:rsid w:val="00294F54"/>
    <w:rsid w:val="00295033"/>
    <w:rsid w:val="00295359"/>
    <w:rsid w:val="00296BDB"/>
    <w:rsid w:val="00297B1B"/>
    <w:rsid w:val="002A01D8"/>
    <w:rsid w:val="002A058F"/>
    <w:rsid w:val="002A0B5B"/>
    <w:rsid w:val="002A176E"/>
    <w:rsid w:val="002A1BFB"/>
    <w:rsid w:val="002A1F59"/>
    <w:rsid w:val="002A2F55"/>
    <w:rsid w:val="002A3AA5"/>
    <w:rsid w:val="002A3CC0"/>
    <w:rsid w:val="002A4D5A"/>
    <w:rsid w:val="002A56C3"/>
    <w:rsid w:val="002A5A3C"/>
    <w:rsid w:val="002A5E3C"/>
    <w:rsid w:val="002A61B1"/>
    <w:rsid w:val="002A61D2"/>
    <w:rsid w:val="002A6304"/>
    <w:rsid w:val="002A63AE"/>
    <w:rsid w:val="002A6D48"/>
    <w:rsid w:val="002A6DEB"/>
    <w:rsid w:val="002A6F89"/>
    <w:rsid w:val="002A7A25"/>
    <w:rsid w:val="002A7C04"/>
    <w:rsid w:val="002B08D5"/>
    <w:rsid w:val="002B0B11"/>
    <w:rsid w:val="002B0ECA"/>
    <w:rsid w:val="002B1A2A"/>
    <w:rsid w:val="002B1B55"/>
    <w:rsid w:val="002B2C01"/>
    <w:rsid w:val="002B357C"/>
    <w:rsid w:val="002B4017"/>
    <w:rsid w:val="002B4410"/>
    <w:rsid w:val="002B472E"/>
    <w:rsid w:val="002B4AEF"/>
    <w:rsid w:val="002B5E24"/>
    <w:rsid w:val="002B6A58"/>
    <w:rsid w:val="002B736B"/>
    <w:rsid w:val="002B7866"/>
    <w:rsid w:val="002C0605"/>
    <w:rsid w:val="002C0D43"/>
    <w:rsid w:val="002C107E"/>
    <w:rsid w:val="002C1622"/>
    <w:rsid w:val="002C1A29"/>
    <w:rsid w:val="002C1C2A"/>
    <w:rsid w:val="002C2914"/>
    <w:rsid w:val="002C2C87"/>
    <w:rsid w:val="002C2F73"/>
    <w:rsid w:val="002C3068"/>
    <w:rsid w:val="002C34BE"/>
    <w:rsid w:val="002C4E18"/>
    <w:rsid w:val="002C4F31"/>
    <w:rsid w:val="002C6048"/>
    <w:rsid w:val="002C6747"/>
    <w:rsid w:val="002C773A"/>
    <w:rsid w:val="002D0282"/>
    <w:rsid w:val="002D15F5"/>
    <w:rsid w:val="002D18B0"/>
    <w:rsid w:val="002D191A"/>
    <w:rsid w:val="002D196B"/>
    <w:rsid w:val="002D1AEE"/>
    <w:rsid w:val="002D1D2A"/>
    <w:rsid w:val="002D1F16"/>
    <w:rsid w:val="002D2125"/>
    <w:rsid w:val="002D216E"/>
    <w:rsid w:val="002D26F5"/>
    <w:rsid w:val="002D30A3"/>
    <w:rsid w:val="002D3742"/>
    <w:rsid w:val="002D37A2"/>
    <w:rsid w:val="002D38C2"/>
    <w:rsid w:val="002D451B"/>
    <w:rsid w:val="002D4BA4"/>
    <w:rsid w:val="002D5201"/>
    <w:rsid w:val="002D5295"/>
    <w:rsid w:val="002D6625"/>
    <w:rsid w:val="002D69C0"/>
    <w:rsid w:val="002D705B"/>
    <w:rsid w:val="002D71D6"/>
    <w:rsid w:val="002D7229"/>
    <w:rsid w:val="002E10D0"/>
    <w:rsid w:val="002E1C67"/>
    <w:rsid w:val="002E203E"/>
    <w:rsid w:val="002E353B"/>
    <w:rsid w:val="002E366B"/>
    <w:rsid w:val="002E44EF"/>
    <w:rsid w:val="002E4954"/>
    <w:rsid w:val="002E5D92"/>
    <w:rsid w:val="002E5DB4"/>
    <w:rsid w:val="002E67DD"/>
    <w:rsid w:val="002E6862"/>
    <w:rsid w:val="002E698D"/>
    <w:rsid w:val="002E69F2"/>
    <w:rsid w:val="002E78BB"/>
    <w:rsid w:val="002E7B6D"/>
    <w:rsid w:val="002E7C1C"/>
    <w:rsid w:val="002E7CB0"/>
    <w:rsid w:val="002E7D68"/>
    <w:rsid w:val="002F0B43"/>
    <w:rsid w:val="002F1B84"/>
    <w:rsid w:val="002F1EC0"/>
    <w:rsid w:val="002F20D5"/>
    <w:rsid w:val="002F219F"/>
    <w:rsid w:val="002F24B8"/>
    <w:rsid w:val="002F3CFF"/>
    <w:rsid w:val="002F4AA5"/>
    <w:rsid w:val="002F5066"/>
    <w:rsid w:val="002F542D"/>
    <w:rsid w:val="002F5C47"/>
    <w:rsid w:val="002F6176"/>
    <w:rsid w:val="002F62C1"/>
    <w:rsid w:val="002F6517"/>
    <w:rsid w:val="002F6881"/>
    <w:rsid w:val="002F6A3D"/>
    <w:rsid w:val="002F704E"/>
    <w:rsid w:val="002F7D77"/>
    <w:rsid w:val="00301102"/>
    <w:rsid w:val="00301105"/>
    <w:rsid w:val="003015D0"/>
    <w:rsid w:val="00301F1C"/>
    <w:rsid w:val="003021DA"/>
    <w:rsid w:val="0030220A"/>
    <w:rsid w:val="003028F8"/>
    <w:rsid w:val="00302AEA"/>
    <w:rsid w:val="00302EB2"/>
    <w:rsid w:val="00303342"/>
    <w:rsid w:val="00303A74"/>
    <w:rsid w:val="003041A2"/>
    <w:rsid w:val="00306627"/>
    <w:rsid w:val="00306B65"/>
    <w:rsid w:val="00306F84"/>
    <w:rsid w:val="0030709F"/>
    <w:rsid w:val="00307236"/>
    <w:rsid w:val="0030749A"/>
    <w:rsid w:val="00307D59"/>
    <w:rsid w:val="0031024B"/>
    <w:rsid w:val="003104F1"/>
    <w:rsid w:val="00310891"/>
    <w:rsid w:val="00311155"/>
    <w:rsid w:val="00311BFE"/>
    <w:rsid w:val="003121AE"/>
    <w:rsid w:val="003121BA"/>
    <w:rsid w:val="0031343D"/>
    <w:rsid w:val="00313B79"/>
    <w:rsid w:val="00314332"/>
    <w:rsid w:val="00314990"/>
    <w:rsid w:val="00315990"/>
    <w:rsid w:val="00315BDA"/>
    <w:rsid w:val="0031641F"/>
    <w:rsid w:val="00316853"/>
    <w:rsid w:val="00316B9A"/>
    <w:rsid w:val="00316D41"/>
    <w:rsid w:val="003175DC"/>
    <w:rsid w:val="003200F8"/>
    <w:rsid w:val="0032015F"/>
    <w:rsid w:val="003209FB"/>
    <w:rsid w:val="00320C10"/>
    <w:rsid w:val="00321283"/>
    <w:rsid w:val="003217D6"/>
    <w:rsid w:val="003221DC"/>
    <w:rsid w:val="00322276"/>
    <w:rsid w:val="0032306F"/>
    <w:rsid w:val="0032365F"/>
    <w:rsid w:val="003237AA"/>
    <w:rsid w:val="0032399C"/>
    <w:rsid w:val="00323D3E"/>
    <w:rsid w:val="00323E76"/>
    <w:rsid w:val="00324B49"/>
    <w:rsid w:val="003263D4"/>
    <w:rsid w:val="00326716"/>
    <w:rsid w:val="0032691C"/>
    <w:rsid w:val="00326EDC"/>
    <w:rsid w:val="00327A9E"/>
    <w:rsid w:val="00327C40"/>
    <w:rsid w:val="0033039E"/>
    <w:rsid w:val="00330CB4"/>
    <w:rsid w:val="0033225D"/>
    <w:rsid w:val="0033294E"/>
    <w:rsid w:val="00332B08"/>
    <w:rsid w:val="0033330D"/>
    <w:rsid w:val="00333B5A"/>
    <w:rsid w:val="003340FD"/>
    <w:rsid w:val="00334276"/>
    <w:rsid w:val="003344B8"/>
    <w:rsid w:val="00334CC8"/>
    <w:rsid w:val="00334FC4"/>
    <w:rsid w:val="0033594D"/>
    <w:rsid w:val="00335C61"/>
    <w:rsid w:val="00336358"/>
    <w:rsid w:val="00336917"/>
    <w:rsid w:val="00336B63"/>
    <w:rsid w:val="003378F1"/>
    <w:rsid w:val="00337B3B"/>
    <w:rsid w:val="00337D8C"/>
    <w:rsid w:val="003401CB"/>
    <w:rsid w:val="0034020E"/>
    <w:rsid w:val="00340862"/>
    <w:rsid w:val="00340954"/>
    <w:rsid w:val="00340D60"/>
    <w:rsid w:val="0034125A"/>
    <w:rsid w:val="00341710"/>
    <w:rsid w:val="003417F8"/>
    <w:rsid w:val="00341A45"/>
    <w:rsid w:val="00341B7B"/>
    <w:rsid w:val="003421C5"/>
    <w:rsid w:val="003421F8"/>
    <w:rsid w:val="00342307"/>
    <w:rsid w:val="00342880"/>
    <w:rsid w:val="00342D34"/>
    <w:rsid w:val="00342D4F"/>
    <w:rsid w:val="00343016"/>
    <w:rsid w:val="00343C36"/>
    <w:rsid w:val="00343F84"/>
    <w:rsid w:val="0034417E"/>
    <w:rsid w:val="00344581"/>
    <w:rsid w:val="003446F8"/>
    <w:rsid w:val="00344A1A"/>
    <w:rsid w:val="00345ACD"/>
    <w:rsid w:val="00345F70"/>
    <w:rsid w:val="00346174"/>
    <w:rsid w:val="003464BE"/>
    <w:rsid w:val="00346C63"/>
    <w:rsid w:val="00347037"/>
    <w:rsid w:val="00347F88"/>
    <w:rsid w:val="00350439"/>
    <w:rsid w:val="003504FB"/>
    <w:rsid w:val="003507C5"/>
    <w:rsid w:val="00350E34"/>
    <w:rsid w:val="0035120D"/>
    <w:rsid w:val="00351A50"/>
    <w:rsid w:val="00352096"/>
    <w:rsid w:val="00352598"/>
    <w:rsid w:val="003545A2"/>
    <w:rsid w:val="003549EA"/>
    <w:rsid w:val="00354AF4"/>
    <w:rsid w:val="00355032"/>
    <w:rsid w:val="003550C8"/>
    <w:rsid w:val="00355E93"/>
    <w:rsid w:val="00357398"/>
    <w:rsid w:val="003577BA"/>
    <w:rsid w:val="00357868"/>
    <w:rsid w:val="00357B87"/>
    <w:rsid w:val="00361282"/>
    <w:rsid w:val="00361344"/>
    <w:rsid w:val="003617A2"/>
    <w:rsid w:val="00361A03"/>
    <w:rsid w:val="00361CF9"/>
    <w:rsid w:val="00362533"/>
    <w:rsid w:val="00363CA7"/>
    <w:rsid w:val="0036400E"/>
    <w:rsid w:val="00364322"/>
    <w:rsid w:val="00364928"/>
    <w:rsid w:val="00364C73"/>
    <w:rsid w:val="00364EDB"/>
    <w:rsid w:val="00364F23"/>
    <w:rsid w:val="00365071"/>
    <w:rsid w:val="00365FFE"/>
    <w:rsid w:val="0036610C"/>
    <w:rsid w:val="00367082"/>
    <w:rsid w:val="003673F2"/>
    <w:rsid w:val="0036762F"/>
    <w:rsid w:val="003679A6"/>
    <w:rsid w:val="00367FA2"/>
    <w:rsid w:val="0037088C"/>
    <w:rsid w:val="00370941"/>
    <w:rsid w:val="00370A67"/>
    <w:rsid w:val="003716AD"/>
    <w:rsid w:val="00371866"/>
    <w:rsid w:val="00371B4F"/>
    <w:rsid w:val="00371D34"/>
    <w:rsid w:val="003720B7"/>
    <w:rsid w:val="00372390"/>
    <w:rsid w:val="00372664"/>
    <w:rsid w:val="00372C06"/>
    <w:rsid w:val="00373A92"/>
    <w:rsid w:val="00373BFD"/>
    <w:rsid w:val="00373D32"/>
    <w:rsid w:val="00374425"/>
    <w:rsid w:val="003769ED"/>
    <w:rsid w:val="0037717E"/>
    <w:rsid w:val="00377248"/>
    <w:rsid w:val="00377431"/>
    <w:rsid w:val="0037744E"/>
    <w:rsid w:val="00377C94"/>
    <w:rsid w:val="00377CCD"/>
    <w:rsid w:val="0038186C"/>
    <w:rsid w:val="003824C8"/>
    <w:rsid w:val="00382571"/>
    <w:rsid w:val="00383750"/>
    <w:rsid w:val="00383BB1"/>
    <w:rsid w:val="00384360"/>
    <w:rsid w:val="003846F7"/>
    <w:rsid w:val="00384A0C"/>
    <w:rsid w:val="003855E7"/>
    <w:rsid w:val="0038598D"/>
    <w:rsid w:val="00385C73"/>
    <w:rsid w:val="00385DFA"/>
    <w:rsid w:val="00386647"/>
    <w:rsid w:val="0038698C"/>
    <w:rsid w:val="00386A8D"/>
    <w:rsid w:val="00386DC5"/>
    <w:rsid w:val="00387795"/>
    <w:rsid w:val="003877CE"/>
    <w:rsid w:val="003901CA"/>
    <w:rsid w:val="003907EA"/>
    <w:rsid w:val="0039137F"/>
    <w:rsid w:val="00391384"/>
    <w:rsid w:val="003914A4"/>
    <w:rsid w:val="0039257F"/>
    <w:rsid w:val="003927D5"/>
    <w:rsid w:val="0039351D"/>
    <w:rsid w:val="0039373D"/>
    <w:rsid w:val="00393C4B"/>
    <w:rsid w:val="003945A3"/>
    <w:rsid w:val="00394AF5"/>
    <w:rsid w:val="00394F1E"/>
    <w:rsid w:val="00395539"/>
    <w:rsid w:val="00395DF1"/>
    <w:rsid w:val="00396852"/>
    <w:rsid w:val="00397254"/>
    <w:rsid w:val="003977FC"/>
    <w:rsid w:val="003978DB"/>
    <w:rsid w:val="00397D0F"/>
    <w:rsid w:val="00397DBC"/>
    <w:rsid w:val="003A12D8"/>
    <w:rsid w:val="003A1B59"/>
    <w:rsid w:val="003A1CBA"/>
    <w:rsid w:val="003A200C"/>
    <w:rsid w:val="003A20C6"/>
    <w:rsid w:val="003A234B"/>
    <w:rsid w:val="003A24ED"/>
    <w:rsid w:val="003A2FCA"/>
    <w:rsid w:val="003A35C4"/>
    <w:rsid w:val="003A3EF5"/>
    <w:rsid w:val="003A3F54"/>
    <w:rsid w:val="003A421E"/>
    <w:rsid w:val="003A50E0"/>
    <w:rsid w:val="003A5457"/>
    <w:rsid w:val="003A5541"/>
    <w:rsid w:val="003A6078"/>
    <w:rsid w:val="003A65BE"/>
    <w:rsid w:val="003A69A1"/>
    <w:rsid w:val="003A6DAD"/>
    <w:rsid w:val="003A7974"/>
    <w:rsid w:val="003A7E8C"/>
    <w:rsid w:val="003B0051"/>
    <w:rsid w:val="003B015B"/>
    <w:rsid w:val="003B06D7"/>
    <w:rsid w:val="003B0DBA"/>
    <w:rsid w:val="003B1096"/>
    <w:rsid w:val="003B10CA"/>
    <w:rsid w:val="003B1226"/>
    <w:rsid w:val="003B13B6"/>
    <w:rsid w:val="003B17B0"/>
    <w:rsid w:val="003B2450"/>
    <w:rsid w:val="003B3380"/>
    <w:rsid w:val="003B4B54"/>
    <w:rsid w:val="003B521C"/>
    <w:rsid w:val="003B5511"/>
    <w:rsid w:val="003B5849"/>
    <w:rsid w:val="003B598C"/>
    <w:rsid w:val="003B5AE5"/>
    <w:rsid w:val="003B5E73"/>
    <w:rsid w:val="003B607A"/>
    <w:rsid w:val="003B6674"/>
    <w:rsid w:val="003B6EDD"/>
    <w:rsid w:val="003B6EE0"/>
    <w:rsid w:val="003B7148"/>
    <w:rsid w:val="003B7302"/>
    <w:rsid w:val="003B7CA9"/>
    <w:rsid w:val="003B7E29"/>
    <w:rsid w:val="003C000C"/>
    <w:rsid w:val="003C0817"/>
    <w:rsid w:val="003C17EE"/>
    <w:rsid w:val="003C1E0C"/>
    <w:rsid w:val="003C1E36"/>
    <w:rsid w:val="003C22EC"/>
    <w:rsid w:val="003C2A9D"/>
    <w:rsid w:val="003C2CFD"/>
    <w:rsid w:val="003C2D8B"/>
    <w:rsid w:val="003C3056"/>
    <w:rsid w:val="003C4821"/>
    <w:rsid w:val="003C53C0"/>
    <w:rsid w:val="003C5CC1"/>
    <w:rsid w:val="003C63EE"/>
    <w:rsid w:val="003C6919"/>
    <w:rsid w:val="003C6DE5"/>
    <w:rsid w:val="003C6E3E"/>
    <w:rsid w:val="003C7D9C"/>
    <w:rsid w:val="003C7EA0"/>
    <w:rsid w:val="003D00AF"/>
    <w:rsid w:val="003D00D1"/>
    <w:rsid w:val="003D04A5"/>
    <w:rsid w:val="003D0D63"/>
    <w:rsid w:val="003D2237"/>
    <w:rsid w:val="003D2BDE"/>
    <w:rsid w:val="003D315D"/>
    <w:rsid w:val="003D392A"/>
    <w:rsid w:val="003D3F9A"/>
    <w:rsid w:val="003D4360"/>
    <w:rsid w:val="003D4CB9"/>
    <w:rsid w:val="003D57AD"/>
    <w:rsid w:val="003D6104"/>
    <w:rsid w:val="003D69BC"/>
    <w:rsid w:val="003D69E1"/>
    <w:rsid w:val="003D7109"/>
    <w:rsid w:val="003D7697"/>
    <w:rsid w:val="003D7913"/>
    <w:rsid w:val="003D7DB6"/>
    <w:rsid w:val="003E0112"/>
    <w:rsid w:val="003E01EB"/>
    <w:rsid w:val="003E02B2"/>
    <w:rsid w:val="003E12CA"/>
    <w:rsid w:val="003E137A"/>
    <w:rsid w:val="003E1B27"/>
    <w:rsid w:val="003E1D41"/>
    <w:rsid w:val="003E1DE7"/>
    <w:rsid w:val="003E223F"/>
    <w:rsid w:val="003E3A14"/>
    <w:rsid w:val="003E48BA"/>
    <w:rsid w:val="003E4A74"/>
    <w:rsid w:val="003E4AA9"/>
    <w:rsid w:val="003E4CB7"/>
    <w:rsid w:val="003E4D4C"/>
    <w:rsid w:val="003E5551"/>
    <w:rsid w:val="003E5C6F"/>
    <w:rsid w:val="003E5EB5"/>
    <w:rsid w:val="003E6673"/>
    <w:rsid w:val="003E6A16"/>
    <w:rsid w:val="003E752E"/>
    <w:rsid w:val="003E79CE"/>
    <w:rsid w:val="003E7AD4"/>
    <w:rsid w:val="003E7DA4"/>
    <w:rsid w:val="003E7DE5"/>
    <w:rsid w:val="003E7DE9"/>
    <w:rsid w:val="003E7E02"/>
    <w:rsid w:val="003F0347"/>
    <w:rsid w:val="003F03A3"/>
    <w:rsid w:val="003F0688"/>
    <w:rsid w:val="003F1092"/>
    <w:rsid w:val="003F1C6B"/>
    <w:rsid w:val="003F23A3"/>
    <w:rsid w:val="003F33E9"/>
    <w:rsid w:val="003F34F6"/>
    <w:rsid w:val="003F3BDC"/>
    <w:rsid w:val="003F3D6A"/>
    <w:rsid w:val="003F3DCF"/>
    <w:rsid w:val="003F3F19"/>
    <w:rsid w:val="003F40E9"/>
    <w:rsid w:val="003F45FE"/>
    <w:rsid w:val="003F4814"/>
    <w:rsid w:val="003F48E3"/>
    <w:rsid w:val="003F4BA6"/>
    <w:rsid w:val="003F4F5B"/>
    <w:rsid w:val="003F5AB2"/>
    <w:rsid w:val="003F61B1"/>
    <w:rsid w:val="003F6275"/>
    <w:rsid w:val="003F632C"/>
    <w:rsid w:val="003F6779"/>
    <w:rsid w:val="003F7AA8"/>
    <w:rsid w:val="00400583"/>
    <w:rsid w:val="0040062A"/>
    <w:rsid w:val="00400F5A"/>
    <w:rsid w:val="0040140F"/>
    <w:rsid w:val="004017C7"/>
    <w:rsid w:val="0040206C"/>
    <w:rsid w:val="004023C5"/>
    <w:rsid w:val="00402521"/>
    <w:rsid w:val="004027B1"/>
    <w:rsid w:val="00402852"/>
    <w:rsid w:val="004035E7"/>
    <w:rsid w:val="0040382F"/>
    <w:rsid w:val="00403980"/>
    <w:rsid w:val="004041B1"/>
    <w:rsid w:val="0040452C"/>
    <w:rsid w:val="004047D9"/>
    <w:rsid w:val="00404C5A"/>
    <w:rsid w:val="00404DCB"/>
    <w:rsid w:val="00405287"/>
    <w:rsid w:val="00405844"/>
    <w:rsid w:val="00405F00"/>
    <w:rsid w:val="00405F9F"/>
    <w:rsid w:val="004063AA"/>
    <w:rsid w:val="00406551"/>
    <w:rsid w:val="004070C6"/>
    <w:rsid w:val="00407B6E"/>
    <w:rsid w:val="0041071E"/>
    <w:rsid w:val="00411261"/>
    <w:rsid w:val="004119AF"/>
    <w:rsid w:val="00413134"/>
    <w:rsid w:val="00413148"/>
    <w:rsid w:val="00413426"/>
    <w:rsid w:val="00413BC2"/>
    <w:rsid w:val="00413E26"/>
    <w:rsid w:val="00413F7F"/>
    <w:rsid w:val="00414E55"/>
    <w:rsid w:val="004160E9"/>
    <w:rsid w:val="004163DF"/>
    <w:rsid w:val="00416710"/>
    <w:rsid w:val="00416CC4"/>
    <w:rsid w:val="00416CDF"/>
    <w:rsid w:val="00416DA5"/>
    <w:rsid w:val="004173C8"/>
    <w:rsid w:val="0042021F"/>
    <w:rsid w:val="004202E2"/>
    <w:rsid w:val="004214EB"/>
    <w:rsid w:val="00421592"/>
    <w:rsid w:val="004217F6"/>
    <w:rsid w:val="004219F6"/>
    <w:rsid w:val="00421A66"/>
    <w:rsid w:val="00421AA7"/>
    <w:rsid w:val="00421B7E"/>
    <w:rsid w:val="00421F60"/>
    <w:rsid w:val="0042279A"/>
    <w:rsid w:val="004230A2"/>
    <w:rsid w:val="004235CB"/>
    <w:rsid w:val="00423C55"/>
    <w:rsid w:val="00424A3B"/>
    <w:rsid w:val="00424B93"/>
    <w:rsid w:val="00424BBF"/>
    <w:rsid w:val="00424C24"/>
    <w:rsid w:val="00424D0A"/>
    <w:rsid w:val="004252B1"/>
    <w:rsid w:val="004252E1"/>
    <w:rsid w:val="00425DFF"/>
    <w:rsid w:val="00426138"/>
    <w:rsid w:val="004261D6"/>
    <w:rsid w:val="00426349"/>
    <w:rsid w:val="00426469"/>
    <w:rsid w:val="00426C6B"/>
    <w:rsid w:val="00426D77"/>
    <w:rsid w:val="0042752C"/>
    <w:rsid w:val="00427CE4"/>
    <w:rsid w:val="00430B27"/>
    <w:rsid w:val="00431430"/>
    <w:rsid w:val="004319C6"/>
    <w:rsid w:val="004321D1"/>
    <w:rsid w:val="00432926"/>
    <w:rsid w:val="004330C9"/>
    <w:rsid w:val="00433900"/>
    <w:rsid w:val="00433B27"/>
    <w:rsid w:val="00434C50"/>
    <w:rsid w:val="0043522C"/>
    <w:rsid w:val="0043537A"/>
    <w:rsid w:val="00435C45"/>
    <w:rsid w:val="00435D5C"/>
    <w:rsid w:val="004362CD"/>
    <w:rsid w:val="0043670B"/>
    <w:rsid w:val="0043683F"/>
    <w:rsid w:val="00436CA6"/>
    <w:rsid w:val="00436FAF"/>
    <w:rsid w:val="00436FF8"/>
    <w:rsid w:val="004370FD"/>
    <w:rsid w:val="00437848"/>
    <w:rsid w:val="00437F02"/>
    <w:rsid w:val="00440061"/>
    <w:rsid w:val="004400E9"/>
    <w:rsid w:val="0044072E"/>
    <w:rsid w:val="00441158"/>
    <w:rsid w:val="004417C2"/>
    <w:rsid w:val="00441E03"/>
    <w:rsid w:val="00441FCF"/>
    <w:rsid w:val="0044281C"/>
    <w:rsid w:val="00442F0B"/>
    <w:rsid w:val="00443C1D"/>
    <w:rsid w:val="00443E34"/>
    <w:rsid w:val="004442FF"/>
    <w:rsid w:val="0044485E"/>
    <w:rsid w:val="004451BC"/>
    <w:rsid w:val="00445B0B"/>
    <w:rsid w:val="00445B4F"/>
    <w:rsid w:val="00445EAA"/>
    <w:rsid w:val="004464AB"/>
    <w:rsid w:val="0044670E"/>
    <w:rsid w:val="004468C3"/>
    <w:rsid w:val="00446FB9"/>
    <w:rsid w:val="00447386"/>
    <w:rsid w:val="004478FE"/>
    <w:rsid w:val="00447CAF"/>
    <w:rsid w:val="00447D3D"/>
    <w:rsid w:val="00447FE4"/>
    <w:rsid w:val="00450150"/>
    <w:rsid w:val="00450460"/>
    <w:rsid w:val="00450C3C"/>
    <w:rsid w:val="0045191E"/>
    <w:rsid w:val="00451B85"/>
    <w:rsid w:val="00451D14"/>
    <w:rsid w:val="00452688"/>
    <w:rsid w:val="00453048"/>
    <w:rsid w:val="00453A19"/>
    <w:rsid w:val="0045402F"/>
    <w:rsid w:val="004541C6"/>
    <w:rsid w:val="00454EAA"/>
    <w:rsid w:val="00455C54"/>
    <w:rsid w:val="00456366"/>
    <w:rsid w:val="00456BE9"/>
    <w:rsid w:val="0045709A"/>
    <w:rsid w:val="00457424"/>
    <w:rsid w:val="00460121"/>
    <w:rsid w:val="00460D63"/>
    <w:rsid w:val="00460FFA"/>
    <w:rsid w:val="00461DE2"/>
    <w:rsid w:val="004623C6"/>
    <w:rsid w:val="0046313D"/>
    <w:rsid w:val="0046314A"/>
    <w:rsid w:val="0046381E"/>
    <w:rsid w:val="004638FF"/>
    <w:rsid w:val="004648D6"/>
    <w:rsid w:val="00464BA3"/>
    <w:rsid w:val="00464E22"/>
    <w:rsid w:val="00464EED"/>
    <w:rsid w:val="00465220"/>
    <w:rsid w:val="004668C7"/>
    <w:rsid w:val="00466AD7"/>
    <w:rsid w:val="004673E6"/>
    <w:rsid w:val="00470FC4"/>
    <w:rsid w:val="00471E1E"/>
    <w:rsid w:val="004721FF"/>
    <w:rsid w:val="00472912"/>
    <w:rsid w:val="00472E3A"/>
    <w:rsid w:val="00473120"/>
    <w:rsid w:val="004735B6"/>
    <w:rsid w:val="004741BD"/>
    <w:rsid w:val="004743A8"/>
    <w:rsid w:val="00474FB6"/>
    <w:rsid w:val="0047512B"/>
    <w:rsid w:val="00475A49"/>
    <w:rsid w:val="00475B2A"/>
    <w:rsid w:val="00475B9D"/>
    <w:rsid w:val="00475D07"/>
    <w:rsid w:val="0047610B"/>
    <w:rsid w:val="00476AE6"/>
    <w:rsid w:val="004802E6"/>
    <w:rsid w:val="00480943"/>
    <w:rsid w:val="004816B4"/>
    <w:rsid w:val="00481788"/>
    <w:rsid w:val="004818ED"/>
    <w:rsid w:val="00482E95"/>
    <w:rsid w:val="004831EE"/>
    <w:rsid w:val="004837D6"/>
    <w:rsid w:val="0048408E"/>
    <w:rsid w:val="00484474"/>
    <w:rsid w:val="004844B5"/>
    <w:rsid w:val="0048463A"/>
    <w:rsid w:val="00484891"/>
    <w:rsid w:val="0048491B"/>
    <w:rsid w:val="00484D65"/>
    <w:rsid w:val="00484DD7"/>
    <w:rsid w:val="00484E20"/>
    <w:rsid w:val="004854B5"/>
    <w:rsid w:val="00485784"/>
    <w:rsid w:val="004857B3"/>
    <w:rsid w:val="00485F0B"/>
    <w:rsid w:val="00486079"/>
    <w:rsid w:val="00486085"/>
    <w:rsid w:val="0048614A"/>
    <w:rsid w:val="0048654D"/>
    <w:rsid w:val="00486A68"/>
    <w:rsid w:val="004870CE"/>
    <w:rsid w:val="00487195"/>
    <w:rsid w:val="00487869"/>
    <w:rsid w:val="004901A6"/>
    <w:rsid w:val="00490557"/>
    <w:rsid w:val="00490589"/>
    <w:rsid w:val="00490BF6"/>
    <w:rsid w:val="00490E8E"/>
    <w:rsid w:val="00491360"/>
    <w:rsid w:val="0049154D"/>
    <w:rsid w:val="00491583"/>
    <w:rsid w:val="00491588"/>
    <w:rsid w:val="00492170"/>
    <w:rsid w:val="004921E3"/>
    <w:rsid w:val="004928DC"/>
    <w:rsid w:val="00492B0E"/>
    <w:rsid w:val="0049395D"/>
    <w:rsid w:val="00493E50"/>
    <w:rsid w:val="00493EBA"/>
    <w:rsid w:val="00493F10"/>
    <w:rsid w:val="0049412A"/>
    <w:rsid w:val="00494205"/>
    <w:rsid w:val="00497370"/>
    <w:rsid w:val="00497E56"/>
    <w:rsid w:val="00497EDC"/>
    <w:rsid w:val="004A065D"/>
    <w:rsid w:val="004A12E9"/>
    <w:rsid w:val="004A1F0E"/>
    <w:rsid w:val="004A24BA"/>
    <w:rsid w:val="004A2734"/>
    <w:rsid w:val="004A2762"/>
    <w:rsid w:val="004A29E6"/>
    <w:rsid w:val="004A2DC1"/>
    <w:rsid w:val="004A2F9B"/>
    <w:rsid w:val="004A2FFB"/>
    <w:rsid w:val="004A321A"/>
    <w:rsid w:val="004A3364"/>
    <w:rsid w:val="004A3520"/>
    <w:rsid w:val="004A3E89"/>
    <w:rsid w:val="004A43CE"/>
    <w:rsid w:val="004A4982"/>
    <w:rsid w:val="004A5672"/>
    <w:rsid w:val="004A6121"/>
    <w:rsid w:val="004A6850"/>
    <w:rsid w:val="004A68BC"/>
    <w:rsid w:val="004A7D07"/>
    <w:rsid w:val="004B05C6"/>
    <w:rsid w:val="004B1300"/>
    <w:rsid w:val="004B1573"/>
    <w:rsid w:val="004B16AB"/>
    <w:rsid w:val="004B1C76"/>
    <w:rsid w:val="004B3275"/>
    <w:rsid w:val="004B3328"/>
    <w:rsid w:val="004B3CCA"/>
    <w:rsid w:val="004B3D9C"/>
    <w:rsid w:val="004B3FDD"/>
    <w:rsid w:val="004B560E"/>
    <w:rsid w:val="004B5E12"/>
    <w:rsid w:val="004B604A"/>
    <w:rsid w:val="004B60C5"/>
    <w:rsid w:val="004B62B7"/>
    <w:rsid w:val="004B6381"/>
    <w:rsid w:val="004B6A84"/>
    <w:rsid w:val="004C06D2"/>
    <w:rsid w:val="004C0A22"/>
    <w:rsid w:val="004C0B4C"/>
    <w:rsid w:val="004C1794"/>
    <w:rsid w:val="004C17D5"/>
    <w:rsid w:val="004C18D2"/>
    <w:rsid w:val="004C2164"/>
    <w:rsid w:val="004C2F08"/>
    <w:rsid w:val="004C46CD"/>
    <w:rsid w:val="004C47F5"/>
    <w:rsid w:val="004C5063"/>
    <w:rsid w:val="004C5E48"/>
    <w:rsid w:val="004C5E6D"/>
    <w:rsid w:val="004C6510"/>
    <w:rsid w:val="004C65AA"/>
    <w:rsid w:val="004C6B31"/>
    <w:rsid w:val="004C6E20"/>
    <w:rsid w:val="004C6EC2"/>
    <w:rsid w:val="004C6FF3"/>
    <w:rsid w:val="004C7AE3"/>
    <w:rsid w:val="004C7F57"/>
    <w:rsid w:val="004D0259"/>
    <w:rsid w:val="004D109E"/>
    <w:rsid w:val="004D1131"/>
    <w:rsid w:val="004D1A79"/>
    <w:rsid w:val="004D1AAD"/>
    <w:rsid w:val="004D202F"/>
    <w:rsid w:val="004D29C4"/>
    <w:rsid w:val="004D2DB3"/>
    <w:rsid w:val="004D32FB"/>
    <w:rsid w:val="004D40D2"/>
    <w:rsid w:val="004D43EC"/>
    <w:rsid w:val="004D5C3C"/>
    <w:rsid w:val="004D6734"/>
    <w:rsid w:val="004D679D"/>
    <w:rsid w:val="004D7C14"/>
    <w:rsid w:val="004D7D70"/>
    <w:rsid w:val="004E01BC"/>
    <w:rsid w:val="004E024A"/>
    <w:rsid w:val="004E0CAA"/>
    <w:rsid w:val="004E1405"/>
    <w:rsid w:val="004E25A7"/>
    <w:rsid w:val="004E26E0"/>
    <w:rsid w:val="004E2AB0"/>
    <w:rsid w:val="004E2D51"/>
    <w:rsid w:val="004E417D"/>
    <w:rsid w:val="004E4AE9"/>
    <w:rsid w:val="004E5290"/>
    <w:rsid w:val="004E5799"/>
    <w:rsid w:val="004E6040"/>
    <w:rsid w:val="004E627F"/>
    <w:rsid w:val="004E64A4"/>
    <w:rsid w:val="004E6B94"/>
    <w:rsid w:val="004E716E"/>
    <w:rsid w:val="004E72A4"/>
    <w:rsid w:val="004E767C"/>
    <w:rsid w:val="004F0509"/>
    <w:rsid w:val="004F085C"/>
    <w:rsid w:val="004F0E3B"/>
    <w:rsid w:val="004F0EBA"/>
    <w:rsid w:val="004F0ED3"/>
    <w:rsid w:val="004F103D"/>
    <w:rsid w:val="004F2724"/>
    <w:rsid w:val="004F2D03"/>
    <w:rsid w:val="004F2EAC"/>
    <w:rsid w:val="004F32CE"/>
    <w:rsid w:val="004F374B"/>
    <w:rsid w:val="004F40BB"/>
    <w:rsid w:val="004F442F"/>
    <w:rsid w:val="004F47D1"/>
    <w:rsid w:val="004F4BB3"/>
    <w:rsid w:val="004F4FDC"/>
    <w:rsid w:val="004F5042"/>
    <w:rsid w:val="004F53B4"/>
    <w:rsid w:val="004F584C"/>
    <w:rsid w:val="004F5DA7"/>
    <w:rsid w:val="004F5F96"/>
    <w:rsid w:val="004F661F"/>
    <w:rsid w:val="004F6884"/>
    <w:rsid w:val="004F6D97"/>
    <w:rsid w:val="004F7B46"/>
    <w:rsid w:val="0050075A"/>
    <w:rsid w:val="00500A7A"/>
    <w:rsid w:val="00500A8F"/>
    <w:rsid w:val="00500BDB"/>
    <w:rsid w:val="00502066"/>
    <w:rsid w:val="005024BF"/>
    <w:rsid w:val="00502825"/>
    <w:rsid w:val="00502C44"/>
    <w:rsid w:val="005034FA"/>
    <w:rsid w:val="0050356D"/>
    <w:rsid w:val="00503F29"/>
    <w:rsid w:val="0050421E"/>
    <w:rsid w:val="005048EC"/>
    <w:rsid w:val="00504F69"/>
    <w:rsid w:val="00505646"/>
    <w:rsid w:val="00505A5A"/>
    <w:rsid w:val="0050604B"/>
    <w:rsid w:val="00506A82"/>
    <w:rsid w:val="00506EB2"/>
    <w:rsid w:val="005071BF"/>
    <w:rsid w:val="005109A0"/>
    <w:rsid w:val="00510E63"/>
    <w:rsid w:val="005112AE"/>
    <w:rsid w:val="00511930"/>
    <w:rsid w:val="00511C1C"/>
    <w:rsid w:val="005121B8"/>
    <w:rsid w:val="00512659"/>
    <w:rsid w:val="00512F2C"/>
    <w:rsid w:val="0051325F"/>
    <w:rsid w:val="00513791"/>
    <w:rsid w:val="005138B5"/>
    <w:rsid w:val="005146BA"/>
    <w:rsid w:val="005150F1"/>
    <w:rsid w:val="0051515E"/>
    <w:rsid w:val="005154CA"/>
    <w:rsid w:val="00515A96"/>
    <w:rsid w:val="00515B7E"/>
    <w:rsid w:val="005163C6"/>
    <w:rsid w:val="00516FEF"/>
    <w:rsid w:val="00517445"/>
    <w:rsid w:val="00517A6A"/>
    <w:rsid w:val="00517C97"/>
    <w:rsid w:val="00520923"/>
    <w:rsid w:val="00520A74"/>
    <w:rsid w:val="00520ACB"/>
    <w:rsid w:val="00522597"/>
    <w:rsid w:val="00522865"/>
    <w:rsid w:val="005229FE"/>
    <w:rsid w:val="00523041"/>
    <w:rsid w:val="005234D8"/>
    <w:rsid w:val="00523F69"/>
    <w:rsid w:val="00525901"/>
    <w:rsid w:val="00526414"/>
    <w:rsid w:val="0052667F"/>
    <w:rsid w:val="0052677C"/>
    <w:rsid w:val="00526ADD"/>
    <w:rsid w:val="00526CC3"/>
    <w:rsid w:val="00527022"/>
    <w:rsid w:val="00530054"/>
    <w:rsid w:val="00530698"/>
    <w:rsid w:val="00530756"/>
    <w:rsid w:val="005308E6"/>
    <w:rsid w:val="0053106F"/>
    <w:rsid w:val="00531758"/>
    <w:rsid w:val="00531F01"/>
    <w:rsid w:val="00531F07"/>
    <w:rsid w:val="005322E9"/>
    <w:rsid w:val="005337F0"/>
    <w:rsid w:val="00533DC0"/>
    <w:rsid w:val="005345A6"/>
    <w:rsid w:val="00536B6B"/>
    <w:rsid w:val="00536C54"/>
    <w:rsid w:val="00536F95"/>
    <w:rsid w:val="00537228"/>
    <w:rsid w:val="00537386"/>
    <w:rsid w:val="005373D7"/>
    <w:rsid w:val="00537708"/>
    <w:rsid w:val="00537BBF"/>
    <w:rsid w:val="00537FC5"/>
    <w:rsid w:val="00540B1C"/>
    <w:rsid w:val="005410FC"/>
    <w:rsid w:val="00541778"/>
    <w:rsid w:val="00541A4F"/>
    <w:rsid w:val="005421D8"/>
    <w:rsid w:val="0054263A"/>
    <w:rsid w:val="005435A8"/>
    <w:rsid w:val="00543DE0"/>
    <w:rsid w:val="00544309"/>
    <w:rsid w:val="005444BF"/>
    <w:rsid w:val="005444F6"/>
    <w:rsid w:val="00545285"/>
    <w:rsid w:val="00545337"/>
    <w:rsid w:val="005454B8"/>
    <w:rsid w:val="00545DE6"/>
    <w:rsid w:val="00546161"/>
    <w:rsid w:val="0054637F"/>
    <w:rsid w:val="0054648A"/>
    <w:rsid w:val="0054669F"/>
    <w:rsid w:val="00546B43"/>
    <w:rsid w:val="005504A0"/>
    <w:rsid w:val="00550874"/>
    <w:rsid w:val="005508C0"/>
    <w:rsid w:val="00550DBD"/>
    <w:rsid w:val="005524A3"/>
    <w:rsid w:val="00552510"/>
    <w:rsid w:val="0055282B"/>
    <w:rsid w:val="00552A0B"/>
    <w:rsid w:val="005532C4"/>
    <w:rsid w:val="00553970"/>
    <w:rsid w:val="00554E3A"/>
    <w:rsid w:val="00555A85"/>
    <w:rsid w:val="00555AC1"/>
    <w:rsid w:val="00555F79"/>
    <w:rsid w:val="005560F0"/>
    <w:rsid w:val="005566A4"/>
    <w:rsid w:val="00556982"/>
    <w:rsid w:val="00556B96"/>
    <w:rsid w:val="00557EFE"/>
    <w:rsid w:val="0056045A"/>
    <w:rsid w:val="0056063F"/>
    <w:rsid w:val="005608A0"/>
    <w:rsid w:val="00561913"/>
    <w:rsid w:val="00561A51"/>
    <w:rsid w:val="00563E59"/>
    <w:rsid w:val="0056526E"/>
    <w:rsid w:val="00565556"/>
    <w:rsid w:val="00565D0B"/>
    <w:rsid w:val="00565EEF"/>
    <w:rsid w:val="00566343"/>
    <w:rsid w:val="005665A6"/>
    <w:rsid w:val="00566D58"/>
    <w:rsid w:val="00567AAC"/>
    <w:rsid w:val="00567E95"/>
    <w:rsid w:val="005708A2"/>
    <w:rsid w:val="00570E38"/>
    <w:rsid w:val="00571376"/>
    <w:rsid w:val="00571573"/>
    <w:rsid w:val="005716FA"/>
    <w:rsid w:val="005723F8"/>
    <w:rsid w:val="005724B3"/>
    <w:rsid w:val="00572A95"/>
    <w:rsid w:val="00572D36"/>
    <w:rsid w:val="00572F8B"/>
    <w:rsid w:val="00573087"/>
    <w:rsid w:val="00573198"/>
    <w:rsid w:val="00573D79"/>
    <w:rsid w:val="005742EC"/>
    <w:rsid w:val="00574791"/>
    <w:rsid w:val="005750E0"/>
    <w:rsid w:val="00575D42"/>
    <w:rsid w:val="00575F93"/>
    <w:rsid w:val="005762A2"/>
    <w:rsid w:val="005769EC"/>
    <w:rsid w:val="0057732B"/>
    <w:rsid w:val="0057741F"/>
    <w:rsid w:val="00577508"/>
    <w:rsid w:val="00577CCE"/>
    <w:rsid w:val="00580877"/>
    <w:rsid w:val="00580AFF"/>
    <w:rsid w:val="00581511"/>
    <w:rsid w:val="00581654"/>
    <w:rsid w:val="00581726"/>
    <w:rsid w:val="00581C8D"/>
    <w:rsid w:val="00581E4B"/>
    <w:rsid w:val="005821EF"/>
    <w:rsid w:val="0058241D"/>
    <w:rsid w:val="00582F0B"/>
    <w:rsid w:val="00583680"/>
    <w:rsid w:val="00583881"/>
    <w:rsid w:val="00584474"/>
    <w:rsid w:val="00584A6D"/>
    <w:rsid w:val="00584E85"/>
    <w:rsid w:val="00584FAC"/>
    <w:rsid w:val="00586061"/>
    <w:rsid w:val="005862D7"/>
    <w:rsid w:val="00586A6C"/>
    <w:rsid w:val="00586F93"/>
    <w:rsid w:val="005875F3"/>
    <w:rsid w:val="005876FE"/>
    <w:rsid w:val="0059069F"/>
    <w:rsid w:val="00590BD3"/>
    <w:rsid w:val="0059119F"/>
    <w:rsid w:val="005914F8"/>
    <w:rsid w:val="0059186A"/>
    <w:rsid w:val="00591CBB"/>
    <w:rsid w:val="00591F24"/>
    <w:rsid w:val="005922DF"/>
    <w:rsid w:val="00592445"/>
    <w:rsid w:val="00592A73"/>
    <w:rsid w:val="00592BDA"/>
    <w:rsid w:val="00593021"/>
    <w:rsid w:val="0059361A"/>
    <w:rsid w:val="005937D8"/>
    <w:rsid w:val="00594574"/>
    <w:rsid w:val="00596823"/>
    <w:rsid w:val="00596A3C"/>
    <w:rsid w:val="00596D6F"/>
    <w:rsid w:val="00597018"/>
    <w:rsid w:val="005974DB"/>
    <w:rsid w:val="00597CD8"/>
    <w:rsid w:val="005A03E1"/>
    <w:rsid w:val="005A0903"/>
    <w:rsid w:val="005A092A"/>
    <w:rsid w:val="005A0E4C"/>
    <w:rsid w:val="005A1A41"/>
    <w:rsid w:val="005A2187"/>
    <w:rsid w:val="005A25D5"/>
    <w:rsid w:val="005A3538"/>
    <w:rsid w:val="005A4751"/>
    <w:rsid w:val="005A48F8"/>
    <w:rsid w:val="005A4FB9"/>
    <w:rsid w:val="005A50BB"/>
    <w:rsid w:val="005A5CC9"/>
    <w:rsid w:val="005A5EFD"/>
    <w:rsid w:val="005A71EC"/>
    <w:rsid w:val="005A791B"/>
    <w:rsid w:val="005A7E05"/>
    <w:rsid w:val="005B0162"/>
    <w:rsid w:val="005B075A"/>
    <w:rsid w:val="005B0A02"/>
    <w:rsid w:val="005B18E0"/>
    <w:rsid w:val="005B1B0F"/>
    <w:rsid w:val="005B2056"/>
    <w:rsid w:val="005B23A6"/>
    <w:rsid w:val="005B2472"/>
    <w:rsid w:val="005B2863"/>
    <w:rsid w:val="005B2C5D"/>
    <w:rsid w:val="005B2D05"/>
    <w:rsid w:val="005B329B"/>
    <w:rsid w:val="005B36CB"/>
    <w:rsid w:val="005B3B01"/>
    <w:rsid w:val="005B4A9A"/>
    <w:rsid w:val="005B5D57"/>
    <w:rsid w:val="005B6425"/>
    <w:rsid w:val="005B689A"/>
    <w:rsid w:val="005B7B57"/>
    <w:rsid w:val="005B7F78"/>
    <w:rsid w:val="005C0426"/>
    <w:rsid w:val="005C0CC2"/>
    <w:rsid w:val="005C22C6"/>
    <w:rsid w:val="005C24E5"/>
    <w:rsid w:val="005C3AED"/>
    <w:rsid w:val="005C518E"/>
    <w:rsid w:val="005C54FD"/>
    <w:rsid w:val="005C5A33"/>
    <w:rsid w:val="005C65A3"/>
    <w:rsid w:val="005C7AC1"/>
    <w:rsid w:val="005C7AC7"/>
    <w:rsid w:val="005D09DA"/>
    <w:rsid w:val="005D1583"/>
    <w:rsid w:val="005D15E8"/>
    <w:rsid w:val="005D1BA2"/>
    <w:rsid w:val="005D1C89"/>
    <w:rsid w:val="005D2052"/>
    <w:rsid w:val="005D3CCD"/>
    <w:rsid w:val="005D4004"/>
    <w:rsid w:val="005D4FF0"/>
    <w:rsid w:val="005D6536"/>
    <w:rsid w:val="005D66AC"/>
    <w:rsid w:val="005D678B"/>
    <w:rsid w:val="005D6D52"/>
    <w:rsid w:val="005D7532"/>
    <w:rsid w:val="005D7E83"/>
    <w:rsid w:val="005E1389"/>
    <w:rsid w:val="005E1426"/>
    <w:rsid w:val="005E15BF"/>
    <w:rsid w:val="005E15E0"/>
    <w:rsid w:val="005E16E4"/>
    <w:rsid w:val="005E185C"/>
    <w:rsid w:val="005E2174"/>
    <w:rsid w:val="005E22B4"/>
    <w:rsid w:val="005E256B"/>
    <w:rsid w:val="005E34CF"/>
    <w:rsid w:val="005E3829"/>
    <w:rsid w:val="005E3D0C"/>
    <w:rsid w:val="005E411A"/>
    <w:rsid w:val="005E5194"/>
    <w:rsid w:val="005E58F4"/>
    <w:rsid w:val="005E5B99"/>
    <w:rsid w:val="005E6308"/>
    <w:rsid w:val="005E710E"/>
    <w:rsid w:val="005E7364"/>
    <w:rsid w:val="005E746F"/>
    <w:rsid w:val="005E7960"/>
    <w:rsid w:val="005E7A0F"/>
    <w:rsid w:val="005E7C71"/>
    <w:rsid w:val="005F0A95"/>
    <w:rsid w:val="005F0B5F"/>
    <w:rsid w:val="005F2C29"/>
    <w:rsid w:val="005F2CCE"/>
    <w:rsid w:val="005F32D4"/>
    <w:rsid w:val="005F33E8"/>
    <w:rsid w:val="005F399A"/>
    <w:rsid w:val="005F3A82"/>
    <w:rsid w:val="005F41E8"/>
    <w:rsid w:val="005F45CA"/>
    <w:rsid w:val="005F466A"/>
    <w:rsid w:val="005F4910"/>
    <w:rsid w:val="005F4A67"/>
    <w:rsid w:val="005F4CAE"/>
    <w:rsid w:val="005F4EDF"/>
    <w:rsid w:val="005F51BB"/>
    <w:rsid w:val="005F5329"/>
    <w:rsid w:val="005F5362"/>
    <w:rsid w:val="005F5A95"/>
    <w:rsid w:val="005F5E0E"/>
    <w:rsid w:val="005F6D42"/>
    <w:rsid w:val="005F6E7F"/>
    <w:rsid w:val="005F6EA7"/>
    <w:rsid w:val="005F7171"/>
    <w:rsid w:val="005F71AF"/>
    <w:rsid w:val="005F7D9B"/>
    <w:rsid w:val="00600289"/>
    <w:rsid w:val="0060053F"/>
    <w:rsid w:val="00600B49"/>
    <w:rsid w:val="00600F61"/>
    <w:rsid w:val="006020EF"/>
    <w:rsid w:val="00602533"/>
    <w:rsid w:val="00602E3D"/>
    <w:rsid w:val="00603012"/>
    <w:rsid w:val="00603466"/>
    <w:rsid w:val="00605251"/>
    <w:rsid w:val="006053AC"/>
    <w:rsid w:val="00605AC6"/>
    <w:rsid w:val="00605CCE"/>
    <w:rsid w:val="006063C1"/>
    <w:rsid w:val="00607677"/>
    <w:rsid w:val="00607F31"/>
    <w:rsid w:val="006101B4"/>
    <w:rsid w:val="006101DB"/>
    <w:rsid w:val="0061083E"/>
    <w:rsid w:val="00610C6C"/>
    <w:rsid w:val="0061102C"/>
    <w:rsid w:val="006110D7"/>
    <w:rsid w:val="006113B2"/>
    <w:rsid w:val="006119C3"/>
    <w:rsid w:val="00611E6F"/>
    <w:rsid w:val="006125C3"/>
    <w:rsid w:val="0061268E"/>
    <w:rsid w:val="00612B28"/>
    <w:rsid w:val="00612CA1"/>
    <w:rsid w:val="0061333A"/>
    <w:rsid w:val="00613D54"/>
    <w:rsid w:val="00613DCA"/>
    <w:rsid w:val="00614008"/>
    <w:rsid w:val="00616982"/>
    <w:rsid w:val="0061706D"/>
    <w:rsid w:val="00617724"/>
    <w:rsid w:val="00617A00"/>
    <w:rsid w:val="00617A78"/>
    <w:rsid w:val="00617F7A"/>
    <w:rsid w:val="006207E0"/>
    <w:rsid w:val="0062131C"/>
    <w:rsid w:val="006213B4"/>
    <w:rsid w:val="006216CD"/>
    <w:rsid w:val="00621766"/>
    <w:rsid w:val="00621BAC"/>
    <w:rsid w:val="00622D07"/>
    <w:rsid w:val="00622F45"/>
    <w:rsid w:val="0062342F"/>
    <w:rsid w:val="00623E71"/>
    <w:rsid w:val="00624892"/>
    <w:rsid w:val="00624DE8"/>
    <w:rsid w:val="00624EB2"/>
    <w:rsid w:val="0062620E"/>
    <w:rsid w:val="00626FAA"/>
    <w:rsid w:val="006278D2"/>
    <w:rsid w:val="00627AC2"/>
    <w:rsid w:val="00627B49"/>
    <w:rsid w:val="006303D4"/>
    <w:rsid w:val="006305F5"/>
    <w:rsid w:val="0063175C"/>
    <w:rsid w:val="00631777"/>
    <w:rsid w:val="0063237A"/>
    <w:rsid w:val="00632807"/>
    <w:rsid w:val="00633E8E"/>
    <w:rsid w:val="00634A52"/>
    <w:rsid w:val="00634A76"/>
    <w:rsid w:val="006355C9"/>
    <w:rsid w:val="00635DF6"/>
    <w:rsid w:val="006365E1"/>
    <w:rsid w:val="00636F72"/>
    <w:rsid w:val="00640199"/>
    <w:rsid w:val="0064028B"/>
    <w:rsid w:val="00640811"/>
    <w:rsid w:val="00640CB6"/>
    <w:rsid w:val="006410F6"/>
    <w:rsid w:val="0064185B"/>
    <w:rsid w:val="0064251C"/>
    <w:rsid w:val="00642A58"/>
    <w:rsid w:val="00642F7B"/>
    <w:rsid w:val="006431BF"/>
    <w:rsid w:val="00643634"/>
    <w:rsid w:val="006437C7"/>
    <w:rsid w:val="0064465E"/>
    <w:rsid w:val="00644668"/>
    <w:rsid w:val="00645072"/>
    <w:rsid w:val="006450EB"/>
    <w:rsid w:val="006456C0"/>
    <w:rsid w:val="006458F2"/>
    <w:rsid w:val="00645FD5"/>
    <w:rsid w:val="00646427"/>
    <w:rsid w:val="006465DF"/>
    <w:rsid w:val="0064696B"/>
    <w:rsid w:val="00646F40"/>
    <w:rsid w:val="00647039"/>
    <w:rsid w:val="00650057"/>
    <w:rsid w:val="00651768"/>
    <w:rsid w:val="00651D7D"/>
    <w:rsid w:val="00652FA5"/>
    <w:rsid w:val="006532F3"/>
    <w:rsid w:val="00654072"/>
    <w:rsid w:val="006540CB"/>
    <w:rsid w:val="006546A8"/>
    <w:rsid w:val="00654B34"/>
    <w:rsid w:val="00655088"/>
    <w:rsid w:val="00655092"/>
    <w:rsid w:val="0065570A"/>
    <w:rsid w:val="00655E1A"/>
    <w:rsid w:val="00655F2B"/>
    <w:rsid w:val="0065661A"/>
    <w:rsid w:val="00656F31"/>
    <w:rsid w:val="00657086"/>
    <w:rsid w:val="0066060B"/>
    <w:rsid w:val="00660CC5"/>
    <w:rsid w:val="00661801"/>
    <w:rsid w:val="0066185E"/>
    <w:rsid w:val="00661EEE"/>
    <w:rsid w:val="006624AA"/>
    <w:rsid w:val="0066295B"/>
    <w:rsid w:val="00663B03"/>
    <w:rsid w:val="0066439E"/>
    <w:rsid w:val="006646E2"/>
    <w:rsid w:val="00664729"/>
    <w:rsid w:val="0066485D"/>
    <w:rsid w:val="006650D5"/>
    <w:rsid w:val="006655FE"/>
    <w:rsid w:val="00665A59"/>
    <w:rsid w:val="00666240"/>
    <w:rsid w:val="00667764"/>
    <w:rsid w:val="006677F5"/>
    <w:rsid w:val="00667A5D"/>
    <w:rsid w:val="00667AA0"/>
    <w:rsid w:val="0067049A"/>
    <w:rsid w:val="006706C2"/>
    <w:rsid w:val="00670F97"/>
    <w:rsid w:val="00671537"/>
    <w:rsid w:val="00671923"/>
    <w:rsid w:val="00671A77"/>
    <w:rsid w:val="0067213F"/>
    <w:rsid w:val="00672AD8"/>
    <w:rsid w:val="00672D21"/>
    <w:rsid w:val="00672DD7"/>
    <w:rsid w:val="00673029"/>
    <w:rsid w:val="00673F10"/>
    <w:rsid w:val="006745CA"/>
    <w:rsid w:val="006756ED"/>
    <w:rsid w:val="006762C9"/>
    <w:rsid w:val="00676E41"/>
    <w:rsid w:val="00676F9E"/>
    <w:rsid w:val="00677031"/>
    <w:rsid w:val="0067713D"/>
    <w:rsid w:val="00677216"/>
    <w:rsid w:val="00677238"/>
    <w:rsid w:val="00677554"/>
    <w:rsid w:val="00677854"/>
    <w:rsid w:val="00677D12"/>
    <w:rsid w:val="00680E86"/>
    <w:rsid w:val="00680F13"/>
    <w:rsid w:val="006813EA"/>
    <w:rsid w:val="0068159E"/>
    <w:rsid w:val="00681ABE"/>
    <w:rsid w:val="00681D07"/>
    <w:rsid w:val="00681D0E"/>
    <w:rsid w:val="006827BD"/>
    <w:rsid w:val="006828DE"/>
    <w:rsid w:val="00682A00"/>
    <w:rsid w:val="00683BE3"/>
    <w:rsid w:val="00683E39"/>
    <w:rsid w:val="00684526"/>
    <w:rsid w:val="00685C3F"/>
    <w:rsid w:val="006872DB"/>
    <w:rsid w:val="00690108"/>
    <w:rsid w:val="006908B9"/>
    <w:rsid w:val="006913AC"/>
    <w:rsid w:val="00691630"/>
    <w:rsid w:val="00691ABE"/>
    <w:rsid w:val="00692F2D"/>
    <w:rsid w:val="006940BA"/>
    <w:rsid w:val="00694462"/>
    <w:rsid w:val="00694497"/>
    <w:rsid w:val="006944BB"/>
    <w:rsid w:val="006945AE"/>
    <w:rsid w:val="0069481E"/>
    <w:rsid w:val="0069547C"/>
    <w:rsid w:val="00695AD2"/>
    <w:rsid w:val="00695E42"/>
    <w:rsid w:val="00695FBC"/>
    <w:rsid w:val="00696226"/>
    <w:rsid w:val="006967DC"/>
    <w:rsid w:val="00696DEA"/>
    <w:rsid w:val="00696FA1"/>
    <w:rsid w:val="006970EB"/>
    <w:rsid w:val="0069781D"/>
    <w:rsid w:val="006A01F3"/>
    <w:rsid w:val="006A0B8F"/>
    <w:rsid w:val="006A0CAA"/>
    <w:rsid w:val="006A18AA"/>
    <w:rsid w:val="006A2411"/>
    <w:rsid w:val="006A2DD3"/>
    <w:rsid w:val="006A3896"/>
    <w:rsid w:val="006A46AE"/>
    <w:rsid w:val="006A4CDC"/>
    <w:rsid w:val="006A506E"/>
    <w:rsid w:val="006A5C36"/>
    <w:rsid w:val="006A5DC3"/>
    <w:rsid w:val="006A6FA1"/>
    <w:rsid w:val="006A7220"/>
    <w:rsid w:val="006B00BC"/>
    <w:rsid w:val="006B0153"/>
    <w:rsid w:val="006B03CE"/>
    <w:rsid w:val="006B07CA"/>
    <w:rsid w:val="006B0A27"/>
    <w:rsid w:val="006B0A47"/>
    <w:rsid w:val="006B0BF2"/>
    <w:rsid w:val="006B192D"/>
    <w:rsid w:val="006B20A7"/>
    <w:rsid w:val="006B2166"/>
    <w:rsid w:val="006B292B"/>
    <w:rsid w:val="006B3211"/>
    <w:rsid w:val="006B32D6"/>
    <w:rsid w:val="006B33CD"/>
    <w:rsid w:val="006B3776"/>
    <w:rsid w:val="006B3B0F"/>
    <w:rsid w:val="006B3F1B"/>
    <w:rsid w:val="006B40EC"/>
    <w:rsid w:val="006B41CE"/>
    <w:rsid w:val="006B4238"/>
    <w:rsid w:val="006B42EF"/>
    <w:rsid w:val="006B5554"/>
    <w:rsid w:val="006B6576"/>
    <w:rsid w:val="006B69CB"/>
    <w:rsid w:val="006B6A63"/>
    <w:rsid w:val="006B7588"/>
    <w:rsid w:val="006B7BF7"/>
    <w:rsid w:val="006C1A23"/>
    <w:rsid w:val="006C1B95"/>
    <w:rsid w:val="006C20B5"/>
    <w:rsid w:val="006C2353"/>
    <w:rsid w:val="006C27E6"/>
    <w:rsid w:val="006C2FD1"/>
    <w:rsid w:val="006C3988"/>
    <w:rsid w:val="006C3A40"/>
    <w:rsid w:val="006C3C09"/>
    <w:rsid w:val="006C3FF2"/>
    <w:rsid w:val="006C45F4"/>
    <w:rsid w:val="006C4DD8"/>
    <w:rsid w:val="006C5271"/>
    <w:rsid w:val="006C59F1"/>
    <w:rsid w:val="006C6082"/>
    <w:rsid w:val="006C6231"/>
    <w:rsid w:val="006C6828"/>
    <w:rsid w:val="006C6AED"/>
    <w:rsid w:val="006C6BDE"/>
    <w:rsid w:val="006C7BE3"/>
    <w:rsid w:val="006D0C16"/>
    <w:rsid w:val="006D1598"/>
    <w:rsid w:val="006D1E0F"/>
    <w:rsid w:val="006D24A4"/>
    <w:rsid w:val="006D266E"/>
    <w:rsid w:val="006D2BA7"/>
    <w:rsid w:val="006D2C81"/>
    <w:rsid w:val="006D4135"/>
    <w:rsid w:val="006D4382"/>
    <w:rsid w:val="006D48E7"/>
    <w:rsid w:val="006D4BE5"/>
    <w:rsid w:val="006D546F"/>
    <w:rsid w:val="006D55EA"/>
    <w:rsid w:val="006D5A8D"/>
    <w:rsid w:val="006D5B2D"/>
    <w:rsid w:val="006D5B55"/>
    <w:rsid w:val="006D5D3B"/>
    <w:rsid w:val="006D6779"/>
    <w:rsid w:val="006D74F1"/>
    <w:rsid w:val="006D7E92"/>
    <w:rsid w:val="006E0890"/>
    <w:rsid w:val="006E0903"/>
    <w:rsid w:val="006E0CD9"/>
    <w:rsid w:val="006E275E"/>
    <w:rsid w:val="006E286D"/>
    <w:rsid w:val="006E2AB1"/>
    <w:rsid w:val="006E306F"/>
    <w:rsid w:val="006E319B"/>
    <w:rsid w:val="006E32A0"/>
    <w:rsid w:val="006E4874"/>
    <w:rsid w:val="006E4A45"/>
    <w:rsid w:val="006E4B21"/>
    <w:rsid w:val="006E4F7A"/>
    <w:rsid w:val="006E5518"/>
    <w:rsid w:val="006E5E43"/>
    <w:rsid w:val="006E6F7B"/>
    <w:rsid w:val="006E7137"/>
    <w:rsid w:val="006E7513"/>
    <w:rsid w:val="006F07D0"/>
    <w:rsid w:val="006F1AFB"/>
    <w:rsid w:val="006F2D57"/>
    <w:rsid w:val="006F3BA5"/>
    <w:rsid w:val="006F4136"/>
    <w:rsid w:val="006F42AA"/>
    <w:rsid w:val="006F479F"/>
    <w:rsid w:val="006F4943"/>
    <w:rsid w:val="006F4A3C"/>
    <w:rsid w:val="006F4C9E"/>
    <w:rsid w:val="006F4DDB"/>
    <w:rsid w:val="006F4F4A"/>
    <w:rsid w:val="006F55A3"/>
    <w:rsid w:val="006F59CC"/>
    <w:rsid w:val="006F6F02"/>
    <w:rsid w:val="006F737D"/>
    <w:rsid w:val="006F742A"/>
    <w:rsid w:val="006F7EC6"/>
    <w:rsid w:val="00700E77"/>
    <w:rsid w:val="00702176"/>
    <w:rsid w:val="00702355"/>
    <w:rsid w:val="007029D3"/>
    <w:rsid w:val="00703548"/>
    <w:rsid w:val="0070380A"/>
    <w:rsid w:val="007069CC"/>
    <w:rsid w:val="00706FE7"/>
    <w:rsid w:val="0070700B"/>
    <w:rsid w:val="007075BA"/>
    <w:rsid w:val="00707A77"/>
    <w:rsid w:val="00707EA0"/>
    <w:rsid w:val="0071015A"/>
    <w:rsid w:val="00710771"/>
    <w:rsid w:val="00710D21"/>
    <w:rsid w:val="00710DD9"/>
    <w:rsid w:val="00710E3F"/>
    <w:rsid w:val="007118CD"/>
    <w:rsid w:val="007123C7"/>
    <w:rsid w:val="00712AEE"/>
    <w:rsid w:val="00713205"/>
    <w:rsid w:val="007133AB"/>
    <w:rsid w:val="007134E2"/>
    <w:rsid w:val="0071411C"/>
    <w:rsid w:val="0071452D"/>
    <w:rsid w:val="0071570C"/>
    <w:rsid w:val="00715A34"/>
    <w:rsid w:val="00715D53"/>
    <w:rsid w:val="00715E00"/>
    <w:rsid w:val="00715E03"/>
    <w:rsid w:val="00716251"/>
    <w:rsid w:val="00716528"/>
    <w:rsid w:val="007165BE"/>
    <w:rsid w:val="007166ED"/>
    <w:rsid w:val="00716C16"/>
    <w:rsid w:val="00717113"/>
    <w:rsid w:val="007172F1"/>
    <w:rsid w:val="007175BC"/>
    <w:rsid w:val="007175F5"/>
    <w:rsid w:val="00717F7B"/>
    <w:rsid w:val="007200FA"/>
    <w:rsid w:val="0072051B"/>
    <w:rsid w:val="007210F4"/>
    <w:rsid w:val="00721920"/>
    <w:rsid w:val="00721B37"/>
    <w:rsid w:val="00721EE2"/>
    <w:rsid w:val="00721FCC"/>
    <w:rsid w:val="00722801"/>
    <w:rsid w:val="0072293D"/>
    <w:rsid w:val="00723BBF"/>
    <w:rsid w:val="00724060"/>
    <w:rsid w:val="007249AE"/>
    <w:rsid w:val="00724A94"/>
    <w:rsid w:val="00724B15"/>
    <w:rsid w:val="00725C12"/>
    <w:rsid w:val="00725E49"/>
    <w:rsid w:val="007261F2"/>
    <w:rsid w:val="0072641C"/>
    <w:rsid w:val="007269A1"/>
    <w:rsid w:val="00726B98"/>
    <w:rsid w:val="007271C7"/>
    <w:rsid w:val="00727C06"/>
    <w:rsid w:val="007302B6"/>
    <w:rsid w:val="00731A5E"/>
    <w:rsid w:val="007320C3"/>
    <w:rsid w:val="007324FB"/>
    <w:rsid w:val="00732AAC"/>
    <w:rsid w:val="00732B71"/>
    <w:rsid w:val="00732D3C"/>
    <w:rsid w:val="00732E26"/>
    <w:rsid w:val="00732F1E"/>
    <w:rsid w:val="00732F50"/>
    <w:rsid w:val="00733723"/>
    <w:rsid w:val="0073384F"/>
    <w:rsid w:val="00733DEC"/>
    <w:rsid w:val="00733F20"/>
    <w:rsid w:val="00734315"/>
    <w:rsid w:val="007343E8"/>
    <w:rsid w:val="00734CD2"/>
    <w:rsid w:val="00734EB2"/>
    <w:rsid w:val="00735D28"/>
    <w:rsid w:val="00736209"/>
    <w:rsid w:val="00736350"/>
    <w:rsid w:val="007366FB"/>
    <w:rsid w:val="00736A4F"/>
    <w:rsid w:val="00736AF5"/>
    <w:rsid w:val="00736E9C"/>
    <w:rsid w:val="00736EC4"/>
    <w:rsid w:val="00737E7E"/>
    <w:rsid w:val="00740874"/>
    <w:rsid w:val="00740AF8"/>
    <w:rsid w:val="00740EEE"/>
    <w:rsid w:val="007414FC"/>
    <w:rsid w:val="00741F24"/>
    <w:rsid w:val="00742211"/>
    <w:rsid w:val="00742634"/>
    <w:rsid w:val="00742B63"/>
    <w:rsid w:val="007430F1"/>
    <w:rsid w:val="007435B8"/>
    <w:rsid w:val="00744686"/>
    <w:rsid w:val="00744802"/>
    <w:rsid w:val="00744C78"/>
    <w:rsid w:val="00744DDB"/>
    <w:rsid w:val="0074505D"/>
    <w:rsid w:val="00745931"/>
    <w:rsid w:val="00745A9C"/>
    <w:rsid w:val="00745B8D"/>
    <w:rsid w:val="00745F06"/>
    <w:rsid w:val="00745FB6"/>
    <w:rsid w:val="00746A92"/>
    <w:rsid w:val="00747072"/>
    <w:rsid w:val="007500F8"/>
    <w:rsid w:val="00750112"/>
    <w:rsid w:val="007502D2"/>
    <w:rsid w:val="007503F5"/>
    <w:rsid w:val="007509DA"/>
    <w:rsid w:val="007512B4"/>
    <w:rsid w:val="00751967"/>
    <w:rsid w:val="0075197A"/>
    <w:rsid w:val="00751E79"/>
    <w:rsid w:val="007527F3"/>
    <w:rsid w:val="00752CB4"/>
    <w:rsid w:val="007536F4"/>
    <w:rsid w:val="00753E32"/>
    <w:rsid w:val="00754430"/>
    <w:rsid w:val="00754648"/>
    <w:rsid w:val="00755F1B"/>
    <w:rsid w:val="007568C7"/>
    <w:rsid w:val="007569CB"/>
    <w:rsid w:val="0075715F"/>
    <w:rsid w:val="00757DFB"/>
    <w:rsid w:val="0076093B"/>
    <w:rsid w:val="007617E0"/>
    <w:rsid w:val="00761D93"/>
    <w:rsid w:val="007623E7"/>
    <w:rsid w:val="00762672"/>
    <w:rsid w:val="00762C5C"/>
    <w:rsid w:val="0076307E"/>
    <w:rsid w:val="007631D6"/>
    <w:rsid w:val="00763B80"/>
    <w:rsid w:val="00763ECC"/>
    <w:rsid w:val="0076437B"/>
    <w:rsid w:val="00764871"/>
    <w:rsid w:val="00765598"/>
    <w:rsid w:val="00765B45"/>
    <w:rsid w:val="00765B57"/>
    <w:rsid w:val="007662A7"/>
    <w:rsid w:val="007671C0"/>
    <w:rsid w:val="0076736C"/>
    <w:rsid w:val="00767450"/>
    <w:rsid w:val="00767B7C"/>
    <w:rsid w:val="0077017F"/>
    <w:rsid w:val="00770293"/>
    <w:rsid w:val="00770BA5"/>
    <w:rsid w:val="007720D7"/>
    <w:rsid w:val="00773255"/>
    <w:rsid w:val="00773376"/>
    <w:rsid w:val="00773E6E"/>
    <w:rsid w:val="00773F5F"/>
    <w:rsid w:val="0077415A"/>
    <w:rsid w:val="0077475B"/>
    <w:rsid w:val="00774D09"/>
    <w:rsid w:val="00774E2A"/>
    <w:rsid w:val="00775313"/>
    <w:rsid w:val="0077543F"/>
    <w:rsid w:val="007759E7"/>
    <w:rsid w:val="00775EDA"/>
    <w:rsid w:val="00776814"/>
    <w:rsid w:val="007769B8"/>
    <w:rsid w:val="00777938"/>
    <w:rsid w:val="00777B74"/>
    <w:rsid w:val="00777D41"/>
    <w:rsid w:val="007800CD"/>
    <w:rsid w:val="00780B1F"/>
    <w:rsid w:val="00780F00"/>
    <w:rsid w:val="00780FC6"/>
    <w:rsid w:val="00781A55"/>
    <w:rsid w:val="00781FCD"/>
    <w:rsid w:val="00782894"/>
    <w:rsid w:val="00782D79"/>
    <w:rsid w:val="00782EE6"/>
    <w:rsid w:val="0078347E"/>
    <w:rsid w:val="00783D82"/>
    <w:rsid w:val="00784C71"/>
    <w:rsid w:val="00784E70"/>
    <w:rsid w:val="007850BB"/>
    <w:rsid w:val="007855D5"/>
    <w:rsid w:val="007856C3"/>
    <w:rsid w:val="00785725"/>
    <w:rsid w:val="007857A3"/>
    <w:rsid w:val="007857D8"/>
    <w:rsid w:val="00785EB4"/>
    <w:rsid w:val="007862B8"/>
    <w:rsid w:val="00786760"/>
    <w:rsid w:val="0078676F"/>
    <w:rsid w:val="0078680E"/>
    <w:rsid w:val="0078692B"/>
    <w:rsid w:val="00786CBE"/>
    <w:rsid w:val="007879A4"/>
    <w:rsid w:val="00787E4C"/>
    <w:rsid w:val="00790318"/>
    <w:rsid w:val="00790349"/>
    <w:rsid w:val="0079121E"/>
    <w:rsid w:val="007914DE"/>
    <w:rsid w:val="007914E7"/>
    <w:rsid w:val="00791717"/>
    <w:rsid w:val="0079175C"/>
    <w:rsid w:val="00791CD2"/>
    <w:rsid w:val="00791CD4"/>
    <w:rsid w:val="00791EEE"/>
    <w:rsid w:val="00792806"/>
    <w:rsid w:val="0079294A"/>
    <w:rsid w:val="00792A7D"/>
    <w:rsid w:val="00792ACE"/>
    <w:rsid w:val="00792C94"/>
    <w:rsid w:val="00794623"/>
    <w:rsid w:val="00794B19"/>
    <w:rsid w:val="00795178"/>
    <w:rsid w:val="00795735"/>
    <w:rsid w:val="00796104"/>
    <w:rsid w:val="007961BE"/>
    <w:rsid w:val="0079624E"/>
    <w:rsid w:val="007963A2"/>
    <w:rsid w:val="0079651F"/>
    <w:rsid w:val="007974D9"/>
    <w:rsid w:val="00797DC0"/>
    <w:rsid w:val="007A0492"/>
    <w:rsid w:val="007A10E2"/>
    <w:rsid w:val="007A238C"/>
    <w:rsid w:val="007A3A16"/>
    <w:rsid w:val="007A3BBC"/>
    <w:rsid w:val="007A4C59"/>
    <w:rsid w:val="007A5C61"/>
    <w:rsid w:val="007A6493"/>
    <w:rsid w:val="007A6E28"/>
    <w:rsid w:val="007A7F5D"/>
    <w:rsid w:val="007B07A9"/>
    <w:rsid w:val="007B1805"/>
    <w:rsid w:val="007B1C15"/>
    <w:rsid w:val="007B1C5F"/>
    <w:rsid w:val="007B202D"/>
    <w:rsid w:val="007B2341"/>
    <w:rsid w:val="007B27AE"/>
    <w:rsid w:val="007B3898"/>
    <w:rsid w:val="007B3A1E"/>
    <w:rsid w:val="007B3C04"/>
    <w:rsid w:val="007B484D"/>
    <w:rsid w:val="007B559F"/>
    <w:rsid w:val="007B57AA"/>
    <w:rsid w:val="007B58D8"/>
    <w:rsid w:val="007B6D6C"/>
    <w:rsid w:val="007B7160"/>
    <w:rsid w:val="007B7D0D"/>
    <w:rsid w:val="007C0350"/>
    <w:rsid w:val="007C133F"/>
    <w:rsid w:val="007C15FD"/>
    <w:rsid w:val="007C1FED"/>
    <w:rsid w:val="007C2239"/>
    <w:rsid w:val="007C29F9"/>
    <w:rsid w:val="007C330D"/>
    <w:rsid w:val="007C46D6"/>
    <w:rsid w:val="007C495C"/>
    <w:rsid w:val="007C532A"/>
    <w:rsid w:val="007C5697"/>
    <w:rsid w:val="007C6666"/>
    <w:rsid w:val="007C7675"/>
    <w:rsid w:val="007D0261"/>
    <w:rsid w:val="007D08AF"/>
    <w:rsid w:val="007D0B68"/>
    <w:rsid w:val="007D1024"/>
    <w:rsid w:val="007D15F1"/>
    <w:rsid w:val="007D1737"/>
    <w:rsid w:val="007D198E"/>
    <w:rsid w:val="007D19E5"/>
    <w:rsid w:val="007D1D93"/>
    <w:rsid w:val="007D2B20"/>
    <w:rsid w:val="007D3665"/>
    <w:rsid w:val="007D3749"/>
    <w:rsid w:val="007D3A33"/>
    <w:rsid w:val="007D3BDA"/>
    <w:rsid w:val="007D407D"/>
    <w:rsid w:val="007D42FF"/>
    <w:rsid w:val="007D4404"/>
    <w:rsid w:val="007D453A"/>
    <w:rsid w:val="007D4E5A"/>
    <w:rsid w:val="007D63AB"/>
    <w:rsid w:val="007D73EF"/>
    <w:rsid w:val="007D7CAF"/>
    <w:rsid w:val="007E0103"/>
    <w:rsid w:val="007E015D"/>
    <w:rsid w:val="007E0D31"/>
    <w:rsid w:val="007E14EE"/>
    <w:rsid w:val="007E1A49"/>
    <w:rsid w:val="007E2013"/>
    <w:rsid w:val="007E2367"/>
    <w:rsid w:val="007E34B8"/>
    <w:rsid w:val="007E38BF"/>
    <w:rsid w:val="007E4544"/>
    <w:rsid w:val="007E48CE"/>
    <w:rsid w:val="007E5008"/>
    <w:rsid w:val="007E5D12"/>
    <w:rsid w:val="007E645A"/>
    <w:rsid w:val="007E6B64"/>
    <w:rsid w:val="007E6B95"/>
    <w:rsid w:val="007E76D2"/>
    <w:rsid w:val="007F0A3E"/>
    <w:rsid w:val="007F1399"/>
    <w:rsid w:val="007F1BE8"/>
    <w:rsid w:val="007F1ED5"/>
    <w:rsid w:val="007F2058"/>
    <w:rsid w:val="007F31BE"/>
    <w:rsid w:val="007F3DD7"/>
    <w:rsid w:val="007F427F"/>
    <w:rsid w:val="007F4292"/>
    <w:rsid w:val="007F4330"/>
    <w:rsid w:val="007F4D3D"/>
    <w:rsid w:val="007F5465"/>
    <w:rsid w:val="007F60CB"/>
    <w:rsid w:val="007F627A"/>
    <w:rsid w:val="007F707E"/>
    <w:rsid w:val="007F77A8"/>
    <w:rsid w:val="008002A5"/>
    <w:rsid w:val="00800584"/>
    <w:rsid w:val="00800618"/>
    <w:rsid w:val="008006DB"/>
    <w:rsid w:val="00800788"/>
    <w:rsid w:val="008011EF"/>
    <w:rsid w:val="00801238"/>
    <w:rsid w:val="008012DD"/>
    <w:rsid w:val="008014A1"/>
    <w:rsid w:val="00801732"/>
    <w:rsid w:val="00802394"/>
    <w:rsid w:val="008025BE"/>
    <w:rsid w:val="0080282A"/>
    <w:rsid w:val="00802DDE"/>
    <w:rsid w:val="008034E2"/>
    <w:rsid w:val="00803713"/>
    <w:rsid w:val="00803C85"/>
    <w:rsid w:val="00803D70"/>
    <w:rsid w:val="00804714"/>
    <w:rsid w:val="00804736"/>
    <w:rsid w:val="00804AE8"/>
    <w:rsid w:val="00804C4E"/>
    <w:rsid w:val="008051C2"/>
    <w:rsid w:val="008055E0"/>
    <w:rsid w:val="008060B0"/>
    <w:rsid w:val="00807424"/>
    <w:rsid w:val="00807547"/>
    <w:rsid w:val="0080761D"/>
    <w:rsid w:val="00807ACD"/>
    <w:rsid w:val="00810640"/>
    <w:rsid w:val="0081073C"/>
    <w:rsid w:val="008108FC"/>
    <w:rsid w:val="00810A5F"/>
    <w:rsid w:val="00810A65"/>
    <w:rsid w:val="00810C3E"/>
    <w:rsid w:val="00810FCD"/>
    <w:rsid w:val="008110DB"/>
    <w:rsid w:val="008114F2"/>
    <w:rsid w:val="0081183F"/>
    <w:rsid w:val="00811AC4"/>
    <w:rsid w:val="00811D84"/>
    <w:rsid w:val="0081225B"/>
    <w:rsid w:val="0081286B"/>
    <w:rsid w:val="00812D12"/>
    <w:rsid w:val="00814625"/>
    <w:rsid w:val="008153A9"/>
    <w:rsid w:val="00815836"/>
    <w:rsid w:val="008166FE"/>
    <w:rsid w:val="00816C11"/>
    <w:rsid w:val="0081749E"/>
    <w:rsid w:val="00817634"/>
    <w:rsid w:val="00817777"/>
    <w:rsid w:val="0082075E"/>
    <w:rsid w:val="00820B42"/>
    <w:rsid w:val="00820FB6"/>
    <w:rsid w:val="008216ED"/>
    <w:rsid w:val="0082171F"/>
    <w:rsid w:val="00821C61"/>
    <w:rsid w:val="008228AF"/>
    <w:rsid w:val="00822CFC"/>
    <w:rsid w:val="008236CF"/>
    <w:rsid w:val="008237B8"/>
    <w:rsid w:val="0082383B"/>
    <w:rsid w:val="00823A36"/>
    <w:rsid w:val="00823AC2"/>
    <w:rsid w:val="00824815"/>
    <w:rsid w:val="00825145"/>
    <w:rsid w:val="00826B2A"/>
    <w:rsid w:val="00827BE6"/>
    <w:rsid w:val="00827DD5"/>
    <w:rsid w:val="0083034B"/>
    <w:rsid w:val="008303B2"/>
    <w:rsid w:val="00830CC4"/>
    <w:rsid w:val="00830EAD"/>
    <w:rsid w:val="008321F0"/>
    <w:rsid w:val="00832D00"/>
    <w:rsid w:val="008333DD"/>
    <w:rsid w:val="008340D5"/>
    <w:rsid w:val="0083446B"/>
    <w:rsid w:val="00834959"/>
    <w:rsid w:val="00834ACD"/>
    <w:rsid w:val="00834D3D"/>
    <w:rsid w:val="00835850"/>
    <w:rsid w:val="00837341"/>
    <w:rsid w:val="008379B0"/>
    <w:rsid w:val="00837EB5"/>
    <w:rsid w:val="00837FCC"/>
    <w:rsid w:val="0084210C"/>
    <w:rsid w:val="00842157"/>
    <w:rsid w:val="00842180"/>
    <w:rsid w:val="00842571"/>
    <w:rsid w:val="00842E05"/>
    <w:rsid w:val="008432DF"/>
    <w:rsid w:val="00843CFD"/>
    <w:rsid w:val="00843EA2"/>
    <w:rsid w:val="00844D9C"/>
    <w:rsid w:val="008450FF"/>
    <w:rsid w:val="00845590"/>
    <w:rsid w:val="00845657"/>
    <w:rsid w:val="008461AC"/>
    <w:rsid w:val="008461DE"/>
    <w:rsid w:val="00846B34"/>
    <w:rsid w:val="00846D12"/>
    <w:rsid w:val="008476DF"/>
    <w:rsid w:val="0085035F"/>
    <w:rsid w:val="008506DA"/>
    <w:rsid w:val="008507A7"/>
    <w:rsid w:val="0085086B"/>
    <w:rsid w:val="008519A3"/>
    <w:rsid w:val="00851CF8"/>
    <w:rsid w:val="00852070"/>
    <w:rsid w:val="00852168"/>
    <w:rsid w:val="00852553"/>
    <w:rsid w:val="00853D9B"/>
    <w:rsid w:val="00854865"/>
    <w:rsid w:val="00854AE8"/>
    <w:rsid w:val="00854CE8"/>
    <w:rsid w:val="00854CF6"/>
    <w:rsid w:val="00854D7C"/>
    <w:rsid w:val="00854E58"/>
    <w:rsid w:val="0085546F"/>
    <w:rsid w:val="008556A5"/>
    <w:rsid w:val="00855A20"/>
    <w:rsid w:val="008566B2"/>
    <w:rsid w:val="00856BEF"/>
    <w:rsid w:val="0085712E"/>
    <w:rsid w:val="00857203"/>
    <w:rsid w:val="00857245"/>
    <w:rsid w:val="008578BB"/>
    <w:rsid w:val="008579A5"/>
    <w:rsid w:val="00857A72"/>
    <w:rsid w:val="00857C92"/>
    <w:rsid w:val="008604D7"/>
    <w:rsid w:val="0086050F"/>
    <w:rsid w:val="00860A4C"/>
    <w:rsid w:val="00861363"/>
    <w:rsid w:val="00862AFA"/>
    <w:rsid w:val="00862D85"/>
    <w:rsid w:val="008640AD"/>
    <w:rsid w:val="0086416A"/>
    <w:rsid w:val="008644D9"/>
    <w:rsid w:val="00864751"/>
    <w:rsid w:val="00864A3F"/>
    <w:rsid w:val="00864D24"/>
    <w:rsid w:val="00864DF5"/>
    <w:rsid w:val="008658D0"/>
    <w:rsid w:val="00865CB4"/>
    <w:rsid w:val="008670A7"/>
    <w:rsid w:val="0086768E"/>
    <w:rsid w:val="00867B63"/>
    <w:rsid w:val="008706CE"/>
    <w:rsid w:val="0087094C"/>
    <w:rsid w:val="00870988"/>
    <w:rsid w:val="00870B1C"/>
    <w:rsid w:val="00870D69"/>
    <w:rsid w:val="00870DA6"/>
    <w:rsid w:val="008710A8"/>
    <w:rsid w:val="008713D9"/>
    <w:rsid w:val="0087184F"/>
    <w:rsid w:val="00871DDE"/>
    <w:rsid w:val="00872984"/>
    <w:rsid w:val="0087389C"/>
    <w:rsid w:val="00873989"/>
    <w:rsid w:val="00873C9F"/>
    <w:rsid w:val="00874511"/>
    <w:rsid w:val="00874BB9"/>
    <w:rsid w:val="0087695F"/>
    <w:rsid w:val="0087731F"/>
    <w:rsid w:val="00880BB1"/>
    <w:rsid w:val="00880D32"/>
    <w:rsid w:val="0088132F"/>
    <w:rsid w:val="008813CB"/>
    <w:rsid w:val="008814FA"/>
    <w:rsid w:val="00881612"/>
    <w:rsid w:val="00881A4F"/>
    <w:rsid w:val="00881D55"/>
    <w:rsid w:val="008822D6"/>
    <w:rsid w:val="00882927"/>
    <w:rsid w:val="00882D5F"/>
    <w:rsid w:val="00882E0C"/>
    <w:rsid w:val="00883087"/>
    <w:rsid w:val="0088429A"/>
    <w:rsid w:val="0088456E"/>
    <w:rsid w:val="008848CB"/>
    <w:rsid w:val="00884D6C"/>
    <w:rsid w:val="00884F76"/>
    <w:rsid w:val="00885AD4"/>
    <w:rsid w:val="00885BB6"/>
    <w:rsid w:val="00885CAE"/>
    <w:rsid w:val="00885CD9"/>
    <w:rsid w:val="008860B8"/>
    <w:rsid w:val="008862F7"/>
    <w:rsid w:val="008863F9"/>
    <w:rsid w:val="00886FA8"/>
    <w:rsid w:val="0088764E"/>
    <w:rsid w:val="00890B0D"/>
    <w:rsid w:val="00890F89"/>
    <w:rsid w:val="00891928"/>
    <w:rsid w:val="00891EAA"/>
    <w:rsid w:val="0089226E"/>
    <w:rsid w:val="00892404"/>
    <w:rsid w:val="008927B3"/>
    <w:rsid w:val="00892E6B"/>
    <w:rsid w:val="00893D35"/>
    <w:rsid w:val="00893D5E"/>
    <w:rsid w:val="00894054"/>
    <w:rsid w:val="0089405F"/>
    <w:rsid w:val="00894E77"/>
    <w:rsid w:val="00895627"/>
    <w:rsid w:val="0089693D"/>
    <w:rsid w:val="00897684"/>
    <w:rsid w:val="00897ADA"/>
    <w:rsid w:val="00897DE4"/>
    <w:rsid w:val="008A153B"/>
    <w:rsid w:val="008A16C6"/>
    <w:rsid w:val="008A1A3B"/>
    <w:rsid w:val="008A1CF7"/>
    <w:rsid w:val="008A3305"/>
    <w:rsid w:val="008A34B3"/>
    <w:rsid w:val="008A4AF2"/>
    <w:rsid w:val="008A4E0A"/>
    <w:rsid w:val="008A51E6"/>
    <w:rsid w:val="008A5324"/>
    <w:rsid w:val="008A64EE"/>
    <w:rsid w:val="008A76D8"/>
    <w:rsid w:val="008A7C0F"/>
    <w:rsid w:val="008A7C33"/>
    <w:rsid w:val="008B0831"/>
    <w:rsid w:val="008B09B2"/>
    <w:rsid w:val="008B1A07"/>
    <w:rsid w:val="008B1BA8"/>
    <w:rsid w:val="008B1BCF"/>
    <w:rsid w:val="008B1CB5"/>
    <w:rsid w:val="008B1ECF"/>
    <w:rsid w:val="008B1FD6"/>
    <w:rsid w:val="008B2B57"/>
    <w:rsid w:val="008B2C06"/>
    <w:rsid w:val="008B40C3"/>
    <w:rsid w:val="008B40C5"/>
    <w:rsid w:val="008B425D"/>
    <w:rsid w:val="008B51D0"/>
    <w:rsid w:val="008B55C7"/>
    <w:rsid w:val="008B57DD"/>
    <w:rsid w:val="008B5918"/>
    <w:rsid w:val="008B5927"/>
    <w:rsid w:val="008B5ABB"/>
    <w:rsid w:val="008B5BE3"/>
    <w:rsid w:val="008B5E2F"/>
    <w:rsid w:val="008B637E"/>
    <w:rsid w:val="008B6B02"/>
    <w:rsid w:val="008B7B2A"/>
    <w:rsid w:val="008C059F"/>
    <w:rsid w:val="008C0A4A"/>
    <w:rsid w:val="008C0AD9"/>
    <w:rsid w:val="008C2E56"/>
    <w:rsid w:val="008C30FD"/>
    <w:rsid w:val="008C381F"/>
    <w:rsid w:val="008C5706"/>
    <w:rsid w:val="008C5C1C"/>
    <w:rsid w:val="008C5E29"/>
    <w:rsid w:val="008C5EA1"/>
    <w:rsid w:val="008C60A7"/>
    <w:rsid w:val="008C687D"/>
    <w:rsid w:val="008C6897"/>
    <w:rsid w:val="008C6AD8"/>
    <w:rsid w:val="008C775B"/>
    <w:rsid w:val="008C7913"/>
    <w:rsid w:val="008C7D93"/>
    <w:rsid w:val="008D0634"/>
    <w:rsid w:val="008D0BF8"/>
    <w:rsid w:val="008D1106"/>
    <w:rsid w:val="008D1B57"/>
    <w:rsid w:val="008D1E79"/>
    <w:rsid w:val="008D1F83"/>
    <w:rsid w:val="008D28FB"/>
    <w:rsid w:val="008D2E73"/>
    <w:rsid w:val="008D38CD"/>
    <w:rsid w:val="008D3AED"/>
    <w:rsid w:val="008D4866"/>
    <w:rsid w:val="008D52E2"/>
    <w:rsid w:val="008D5823"/>
    <w:rsid w:val="008D5C36"/>
    <w:rsid w:val="008D5CB8"/>
    <w:rsid w:val="008D5CF4"/>
    <w:rsid w:val="008D5DAC"/>
    <w:rsid w:val="008D5ED9"/>
    <w:rsid w:val="008D6B25"/>
    <w:rsid w:val="008E034F"/>
    <w:rsid w:val="008E03A0"/>
    <w:rsid w:val="008E1246"/>
    <w:rsid w:val="008E14C2"/>
    <w:rsid w:val="008E20A5"/>
    <w:rsid w:val="008E251E"/>
    <w:rsid w:val="008E2E91"/>
    <w:rsid w:val="008E2EFF"/>
    <w:rsid w:val="008E36FC"/>
    <w:rsid w:val="008E3816"/>
    <w:rsid w:val="008E3B3E"/>
    <w:rsid w:val="008E5958"/>
    <w:rsid w:val="008E5D5A"/>
    <w:rsid w:val="008E62B4"/>
    <w:rsid w:val="008E6FA4"/>
    <w:rsid w:val="008E7B00"/>
    <w:rsid w:val="008F032D"/>
    <w:rsid w:val="008F0AA6"/>
    <w:rsid w:val="008F0B36"/>
    <w:rsid w:val="008F0E65"/>
    <w:rsid w:val="008F1E00"/>
    <w:rsid w:val="008F1F50"/>
    <w:rsid w:val="008F27E7"/>
    <w:rsid w:val="008F3076"/>
    <w:rsid w:val="008F3217"/>
    <w:rsid w:val="008F3291"/>
    <w:rsid w:val="008F3C90"/>
    <w:rsid w:val="008F3DD9"/>
    <w:rsid w:val="008F3E22"/>
    <w:rsid w:val="008F5115"/>
    <w:rsid w:val="008F57F0"/>
    <w:rsid w:val="008F65CE"/>
    <w:rsid w:val="008F68FC"/>
    <w:rsid w:val="008F6B01"/>
    <w:rsid w:val="008F74CC"/>
    <w:rsid w:val="008F7A81"/>
    <w:rsid w:val="0090058C"/>
    <w:rsid w:val="00900678"/>
    <w:rsid w:val="00900ECF"/>
    <w:rsid w:val="00902034"/>
    <w:rsid w:val="0090226A"/>
    <w:rsid w:val="009024E6"/>
    <w:rsid w:val="009034A3"/>
    <w:rsid w:val="00903795"/>
    <w:rsid w:val="009037A5"/>
    <w:rsid w:val="00903D14"/>
    <w:rsid w:val="009040D5"/>
    <w:rsid w:val="0090426B"/>
    <w:rsid w:val="0090432D"/>
    <w:rsid w:val="0090479A"/>
    <w:rsid w:val="009047C0"/>
    <w:rsid w:val="0090492D"/>
    <w:rsid w:val="00904CD3"/>
    <w:rsid w:val="00904DD4"/>
    <w:rsid w:val="0090539A"/>
    <w:rsid w:val="009059E6"/>
    <w:rsid w:val="00905E18"/>
    <w:rsid w:val="00905FB7"/>
    <w:rsid w:val="0090601D"/>
    <w:rsid w:val="00906253"/>
    <w:rsid w:val="00906A86"/>
    <w:rsid w:val="009071C3"/>
    <w:rsid w:val="009075A6"/>
    <w:rsid w:val="00907B42"/>
    <w:rsid w:val="009102FB"/>
    <w:rsid w:val="00910572"/>
    <w:rsid w:val="009107EA"/>
    <w:rsid w:val="00910EC2"/>
    <w:rsid w:val="009111D3"/>
    <w:rsid w:val="009111DD"/>
    <w:rsid w:val="00911815"/>
    <w:rsid w:val="0091207C"/>
    <w:rsid w:val="009125D7"/>
    <w:rsid w:val="009137BD"/>
    <w:rsid w:val="0091384E"/>
    <w:rsid w:val="0091455E"/>
    <w:rsid w:val="00914782"/>
    <w:rsid w:val="00914957"/>
    <w:rsid w:val="00914B38"/>
    <w:rsid w:val="00914F0D"/>
    <w:rsid w:val="00915606"/>
    <w:rsid w:val="009157AD"/>
    <w:rsid w:val="0091709F"/>
    <w:rsid w:val="0091724F"/>
    <w:rsid w:val="00917357"/>
    <w:rsid w:val="0091768B"/>
    <w:rsid w:val="009177FD"/>
    <w:rsid w:val="0091780A"/>
    <w:rsid w:val="00920080"/>
    <w:rsid w:val="00920391"/>
    <w:rsid w:val="00920E77"/>
    <w:rsid w:val="00921384"/>
    <w:rsid w:val="009213C5"/>
    <w:rsid w:val="00921786"/>
    <w:rsid w:val="00921D5B"/>
    <w:rsid w:val="009227D3"/>
    <w:rsid w:val="00922A1E"/>
    <w:rsid w:val="0092303E"/>
    <w:rsid w:val="0092314D"/>
    <w:rsid w:val="0092317C"/>
    <w:rsid w:val="00923F90"/>
    <w:rsid w:val="0092499D"/>
    <w:rsid w:val="00924B38"/>
    <w:rsid w:val="00924C26"/>
    <w:rsid w:val="00924CA8"/>
    <w:rsid w:val="00924E19"/>
    <w:rsid w:val="0092523C"/>
    <w:rsid w:val="00925546"/>
    <w:rsid w:val="009255F4"/>
    <w:rsid w:val="00925681"/>
    <w:rsid w:val="0092599E"/>
    <w:rsid w:val="009259A9"/>
    <w:rsid w:val="00927ABD"/>
    <w:rsid w:val="00927AEC"/>
    <w:rsid w:val="009310E1"/>
    <w:rsid w:val="00931892"/>
    <w:rsid w:val="009318C4"/>
    <w:rsid w:val="00931A77"/>
    <w:rsid w:val="009320E2"/>
    <w:rsid w:val="009328C7"/>
    <w:rsid w:val="00932E54"/>
    <w:rsid w:val="0093379E"/>
    <w:rsid w:val="00934050"/>
    <w:rsid w:val="0093432A"/>
    <w:rsid w:val="00934905"/>
    <w:rsid w:val="00934BC7"/>
    <w:rsid w:val="00934F1C"/>
    <w:rsid w:val="009362F7"/>
    <w:rsid w:val="00936387"/>
    <w:rsid w:val="009363AE"/>
    <w:rsid w:val="00936882"/>
    <w:rsid w:val="009368E9"/>
    <w:rsid w:val="00940410"/>
    <w:rsid w:val="00940B12"/>
    <w:rsid w:val="00941089"/>
    <w:rsid w:val="009410D2"/>
    <w:rsid w:val="0094182C"/>
    <w:rsid w:val="00941BDF"/>
    <w:rsid w:val="009425C5"/>
    <w:rsid w:val="00942CA4"/>
    <w:rsid w:val="00942F19"/>
    <w:rsid w:val="0094348D"/>
    <w:rsid w:val="00943B49"/>
    <w:rsid w:val="009457B2"/>
    <w:rsid w:val="00945D25"/>
    <w:rsid w:val="00946124"/>
    <w:rsid w:val="00946296"/>
    <w:rsid w:val="009468B5"/>
    <w:rsid w:val="00947234"/>
    <w:rsid w:val="009475BC"/>
    <w:rsid w:val="00947642"/>
    <w:rsid w:val="00947AD1"/>
    <w:rsid w:val="00950E46"/>
    <w:rsid w:val="00951E56"/>
    <w:rsid w:val="00951E77"/>
    <w:rsid w:val="00952382"/>
    <w:rsid w:val="009524D8"/>
    <w:rsid w:val="009536B3"/>
    <w:rsid w:val="009544FA"/>
    <w:rsid w:val="00955E8B"/>
    <w:rsid w:val="00955F91"/>
    <w:rsid w:val="0095734B"/>
    <w:rsid w:val="00957F4D"/>
    <w:rsid w:val="00960666"/>
    <w:rsid w:val="00960AF3"/>
    <w:rsid w:val="00961366"/>
    <w:rsid w:val="00961B14"/>
    <w:rsid w:val="00962D6E"/>
    <w:rsid w:val="00963C22"/>
    <w:rsid w:val="00963EA1"/>
    <w:rsid w:val="00964DFE"/>
    <w:rsid w:val="009657F1"/>
    <w:rsid w:val="0096581F"/>
    <w:rsid w:val="009662B5"/>
    <w:rsid w:val="0096694E"/>
    <w:rsid w:val="009675D4"/>
    <w:rsid w:val="00971280"/>
    <w:rsid w:val="009712CE"/>
    <w:rsid w:val="00972639"/>
    <w:rsid w:val="0097296B"/>
    <w:rsid w:val="0097372C"/>
    <w:rsid w:val="009739EC"/>
    <w:rsid w:val="00973B21"/>
    <w:rsid w:val="00973D25"/>
    <w:rsid w:val="009741E6"/>
    <w:rsid w:val="009742FA"/>
    <w:rsid w:val="009748B2"/>
    <w:rsid w:val="00974A94"/>
    <w:rsid w:val="00974F41"/>
    <w:rsid w:val="00975020"/>
    <w:rsid w:val="00975897"/>
    <w:rsid w:val="009760D5"/>
    <w:rsid w:val="00977494"/>
    <w:rsid w:val="00977560"/>
    <w:rsid w:val="00977966"/>
    <w:rsid w:val="00980D0E"/>
    <w:rsid w:val="00982C43"/>
    <w:rsid w:val="00983253"/>
    <w:rsid w:val="00983D12"/>
    <w:rsid w:val="009849C3"/>
    <w:rsid w:val="009849D6"/>
    <w:rsid w:val="00984E90"/>
    <w:rsid w:val="0098573D"/>
    <w:rsid w:val="009864B3"/>
    <w:rsid w:val="009865F2"/>
    <w:rsid w:val="00986987"/>
    <w:rsid w:val="00986FBA"/>
    <w:rsid w:val="009871A1"/>
    <w:rsid w:val="009874B3"/>
    <w:rsid w:val="00990910"/>
    <w:rsid w:val="00990C05"/>
    <w:rsid w:val="00990EC7"/>
    <w:rsid w:val="0099107D"/>
    <w:rsid w:val="0099115C"/>
    <w:rsid w:val="0099133D"/>
    <w:rsid w:val="00991977"/>
    <w:rsid w:val="00991F8F"/>
    <w:rsid w:val="0099266D"/>
    <w:rsid w:val="009929F6"/>
    <w:rsid w:val="00992D27"/>
    <w:rsid w:val="009942F4"/>
    <w:rsid w:val="009943D0"/>
    <w:rsid w:val="00994BBC"/>
    <w:rsid w:val="00995A0C"/>
    <w:rsid w:val="0099621F"/>
    <w:rsid w:val="009965A3"/>
    <w:rsid w:val="00996A92"/>
    <w:rsid w:val="00996B59"/>
    <w:rsid w:val="0099706A"/>
    <w:rsid w:val="009977A0"/>
    <w:rsid w:val="009A03EC"/>
    <w:rsid w:val="009A0993"/>
    <w:rsid w:val="009A1B0F"/>
    <w:rsid w:val="009A23D6"/>
    <w:rsid w:val="009A27B4"/>
    <w:rsid w:val="009A2D73"/>
    <w:rsid w:val="009A2E00"/>
    <w:rsid w:val="009A37C1"/>
    <w:rsid w:val="009A38AC"/>
    <w:rsid w:val="009A49A2"/>
    <w:rsid w:val="009A4E6E"/>
    <w:rsid w:val="009A5062"/>
    <w:rsid w:val="009A52FB"/>
    <w:rsid w:val="009A5670"/>
    <w:rsid w:val="009A5EE6"/>
    <w:rsid w:val="009A5EED"/>
    <w:rsid w:val="009A5F34"/>
    <w:rsid w:val="009A6721"/>
    <w:rsid w:val="009A7049"/>
    <w:rsid w:val="009A7266"/>
    <w:rsid w:val="009A7340"/>
    <w:rsid w:val="009A7728"/>
    <w:rsid w:val="009A7936"/>
    <w:rsid w:val="009B08AF"/>
    <w:rsid w:val="009B155F"/>
    <w:rsid w:val="009B3650"/>
    <w:rsid w:val="009B37AE"/>
    <w:rsid w:val="009B3B50"/>
    <w:rsid w:val="009B4247"/>
    <w:rsid w:val="009B4439"/>
    <w:rsid w:val="009B50C0"/>
    <w:rsid w:val="009B5366"/>
    <w:rsid w:val="009B5D60"/>
    <w:rsid w:val="009B688B"/>
    <w:rsid w:val="009B7797"/>
    <w:rsid w:val="009C062D"/>
    <w:rsid w:val="009C150E"/>
    <w:rsid w:val="009C1759"/>
    <w:rsid w:val="009C1957"/>
    <w:rsid w:val="009C215A"/>
    <w:rsid w:val="009C247D"/>
    <w:rsid w:val="009C3599"/>
    <w:rsid w:val="009C3631"/>
    <w:rsid w:val="009C39A5"/>
    <w:rsid w:val="009C3A6E"/>
    <w:rsid w:val="009C3DE1"/>
    <w:rsid w:val="009C529A"/>
    <w:rsid w:val="009C537B"/>
    <w:rsid w:val="009C5A93"/>
    <w:rsid w:val="009C65A0"/>
    <w:rsid w:val="009C69F7"/>
    <w:rsid w:val="009C6B36"/>
    <w:rsid w:val="009C792B"/>
    <w:rsid w:val="009D016C"/>
    <w:rsid w:val="009D06B3"/>
    <w:rsid w:val="009D094A"/>
    <w:rsid w:val="009D0DA9"/>
    <w:rsid w:val="009D0DEC"/>
    <w:rsid w:val="009D0FF8"/>
    <w:rsid w:val="009D1029"/>
    <w:rsid w:val="009D201A"/>
    <w:rsid w:val="009D318B"/>
    <w:rsid w:val="009D3FC5"/>
    <w:rsid w:val="009D42D1"/>
    <w:rsid w:val="009D437E"/>
    <w:rsid w:val="009D4AF7"/>
    <w:rsid w:val="009D4EC7"/>
    <w:rsid w:val="009D51E0"/>
    <w:rsid w:val="009D53E5"/>
    <w:rsid w:val="009D542B"/>
    <w:rsid w:val="009D57C6"/>
    <w:rsid w:val="009D6D5D"/>
    <w:rsid w:val="009D7F91"/>
    <w:rsid w:val="009E0F65"/>
    <w:rsid w:val="009E1209"/>
    <w:rsid w:val="009E135A"/>
    <w:rsid w:val="009E15DC"/>
    <w:rsid w:val="009E1D5F"/>
    <w:rsid w:val="009E2738"/>
    <w:rsid w:val="009E38CB"/>
    <w:rsid w:val="009E6135"/>
    <w:rsid w:val="009E6816"/>
    <w:rsid w:val="009E6963"/>
    <w:rsid w:val="009E6C18"/>
    <w:rsid w:val="009E6FDF"/>
    <w:rsid w:val="009E7037"/>
    <w:rsid w:val="009E79DB"/>
    <w:rsid w:val="009E79F5"/>
    <w:rsid w:val="009E7F83"/>
    <w:rsid w:val="009F0361"/>
    <w:rsid w:val="009F0732"/>
    <w:rsid w:val="009F075E"/>
    <w:rsid w:val="009F0CF3"/>
    <w:rsid w:val="009F1DF6"/>
    <w:rsid w:val="009F30BE"/>
    <w:rsid w:val="009F3324"/>
    <w:rsid w:val="009F36D2"/>
    <w:rsid w:val="009F36D3"/>
    <w:rsid w:val="009F38F4"/>
    <w:rsid w:val="009F44E1"/>
    <w:rsid w:val="009F4F1E"/>
    <w:rsid w:val="009F5C32"/>
    <w:rsid w:val="009F696E"/>
    <w:rsid w:val="009F6E3B"/>
    <w:rsid w:val="009F7645"/>
    <w:rsid w:val="009F7C23"/>
    <w:rsid w:val="009F7E64"/>
    <w:rsid w:val="00A0002B"/>
    <w:rsid w:val="00A007CA"/>
    <w:rsid w:val="00A00C1E"/>
    <w:rsid w:val="00A00FDC"/>
    <w:rsid w:val="00A0111D"/>
    <w:rsid w:val="00A01760"/>
    <w:rsid w:val="00A0261F"/>
    <w:rsid w:val="00A0369E"/>
    <w:rsid w:val="00A04005"/>
    <w:rsid w:val="00A041E3"/>
    <w:rsid w:val="00A05403"/>
    <w:rsid w:val="00A059A8"/>
    <w:rsid w:val="00A06869"/>
    <w:rsid w:val="00A06E76"/>
    <w:rsid w:val="00A06FA2"/>
    <w:rsid w:val="00A07440"/>
    <w:rsid w:val="00A0748D"/>
    <w:rsid w:val="00A075AF"/>
    <w:rsid w:val="00A078F4"/>
    <w:rsid w:val="00A11410"/>
    <w:rsid w:val="00A11572"/>
    <w:rsid w:val="00A11C40"/>
    <w:rsid w:val="00A125EA"/>
    <w:rsid w:val="00A126B8"/>
    <w:rsid w:val="00A12FA9"/>
    <w:rsid w:val="00A12FD4"/>
    <w:rsid w:val="00A134BE"/>
    <w:rsid w:val="00A1373F"/>
    <w:rsid w:val="00A13E1D"/>
    <w:rsid w:val="00A148DE"/>
    <w:rsid w:val="00A14FBD"/>
    <w:rsid w:val="00A157A3"/>
    <w:rsid w:val="00A15823"/>
    <w:rsid w:val="00A15DFF"/>
    <w:rsid w:val="00A162DA"/>
    <w:rsid w:val="00A163E1"/>
    <w:rsid w:val="00A1648E"/>
    <w:rsid w:val="00A164CF"/>
    <w:rsid w:val="00A1681A"/>
    <w:rsid w:val="00A16FC4"/>
    <w:rsid w:val="00A1733A"/>
    <w:rsid w:val="00A178E3"/>
    <w:rsid w:val="00A20D31"/>
    <w:rsid w:val="00A217DC"/>
    <w:rsid w:val="00A22C1E"/>
    <w:rsid w:val="00A235BC"/>
    <w:rsid w:val="00A24DC1"/>
    <w:rsid w:val="00A25064"/>
    <w:rsid w:val="00A25153"/>
    <w:rsid w:val="00A254C9"/>
    <w:rsid w:val="00A2593D"/>
    <w:rsid w:val="00A25AEA"/>
    <w:rsid w:val="00A26E65"/>
    <w:rsid w:val="00A26EFC"/>
    <w:rsid w:val="00A27923"/>
    <w:rsid w:val="00A279E0"/>
    <w:rsid w:val="00A27EC4"/>
    <w:rsid w:val="00A27F50"/>
    <w:rsid w:val="00A3029D"/>
    <w:rsid w:val="00A302B0"/>
    <w:rsid w:val="00A30545"/>
    <w:rsid w:val="00A30F5C"/>
    <w:rsid w:val="00A316D7"/>
    <w:rsid w:val="00A31886"/>
    <w:rsid w:val="00A31FB2"/>
    <w:rsid w:val="00A323F6"/>
    <w:rsid w:val="00A3260F"/>
    <w:rsid w:val="00A326E2"/>
    <w:rsid w:val="00A32AB1"/>
    <w:rsid w:val="00A33090"/>
    <w:rsid w:val="00A346AB"/>
    <w:rsid w:val="00A354FD"/>
    <w:rsid w:val="00A36122"/>
    <w:rsid w:val="00A364A9"/>
    <w:rsid w:val="00A3698E"/>
    <w:rsid w:val="00A37149"/>
    <w:rsid w:val="00A37FB6"/>
    <w:rsid w:val="00A408B3"/>
    <w:rsid w:val="00A41B4E"/>
    <w:rsid w:val="00A41C64"/>
    <w:rsid w:val="00A4220F"/>
    <w:rsid w:val="00A42700"/>
    <w:rsid w:val="00A42804"/>
    <w:rsid w:val="00A43454"/>
    <w:rsid w:val="00A4396F"/>
    <w:rsid w:val="00A4423F"/>
    <w:rsid w:val="00A4431E"/>
    <w:rsid w:val="00A443B4"/>
    <w:rsid w:val="00A44900"/>
    <w:rsid w:val="00A4546B"/>
    <w:rsid w:val="00A4573B"/>
    <w:rsid w:val="00A46381"/>
    <w:rsid w:val="00A463F7"/>
    <w:rsid w:val="00A5062C"/>
    <w:rsid w:val="00A5068D"/>
    <w:rsid w:val="00A506F3"/>
    <w:rsid w:val="00A50824"/>
    <w:rsid w:val="00A50CDA"/>
    <w:rsid w:val="00A50EFD"/>
    <w:rsid w:val="00A514C2"/>
    <w:rsid w:val="00A51595"/>
    <w:rsid w:val="00A51A65"/>
    <w:rsid w:val="00A524C9"/>
    <w:rsid w:val="00A531B8"/>
    <w:rsid w:val="00A5373E"/>
    <w:rsid w:val="00A53CB0"/>
    <w:rsid w:val="00A5420B"/>
    <w:rsid w:val="00A54260"/>
    <w:rsid w:val="00A543D7"/>
    <w:rsid w:val="00A544D3"/>
    <w:rsid w:val="00A55036"/>
    <w:rsid w:val="00A5558B"/>
    <w:rsid w:val="00A555EF"/>
    <w:rsid w:val="00A5576F"/>
    <w:rsid w:val="00A55F8E"/>
    <w:rsid w:val="00A56695"/>
    <w:rsid w:val="00A57083"/>
    <w:rsid w:val="00A572AC"/>
    <w:rsid w:val="00A5788E"/>
    <w:rsid w:val="00A578F2"/>
    <w:rsid w:val="00A57B2E"/>
    <w:rsid w:val="00A57D0D"/>
    <w:rsid w:val="00A57D88"/>
    <w:rsid w:val="00A57E46"/>
    <w:rsid w:val="00A60138"/>
    <w:rsid w:val="00A60377"/>
    <w:rsid w:val="00A603BD"/>
    <w:rsid w:val="00A6045C"/>
    <w:rsid w:val="00A60620"/>
    <w:rsid w:val="00A608A7"/>
    <w:rsid w:val="00A60C5D"/>
    <w:rsid w:val="00A60C62"/>
    <w:rsid w:val="00A60FDF"/>
    <w:rsid w:val="00A61BDB"/>
    <w:rsid w:val="00A62996"/>
    <w:rsid w:val="00A62AD9"/>
    <w:rsid w:val="00A6300E"/>
    <w:rsid w:val="00A6304B"/>
    <w:rsid w:val="00A6304C"/>
    <w:rsid w:val="00A63D0B"/>
    <w:rsid w:val="00A64E63"/>
    <w:rsid w:val="00A6557A"/>
    <w:rsid w:val="00A66077"/>
    <w:rsid w:val="00A66529"/>
    <w:rsid w:val="00A66842"/>
    <w:rsid w:val="00A669DD"/>
    <w:rsid w:val="00A66D4C"/>
    <w:rsid w:val="00A67617"/>
    <w:rsid w:val="00A67A20"/>
    <w:rsid w:val="00A67B91"/>
    <w:rsid w:val="00A70035"/>
    <w:rsid w:val="00A705DD"/>
    <w:rsid w:val="00A70B70"/>
    <w:rsid w:val="00A71C3C"/>
    <w:rsid w:val="00A72809"/>
    <w:rsid w:val="00A72B71"/>
    <w:rsid w:val="00A733B1"/>
    <w:rsid w:val="00A739C2"/>
    <w:rsid w:val="00A74252"/>
    <w:rsid w:val="00A743AE"/>
    <w:rsid w:val="00A74599"/>
    <w:rsid w:val="00A74A28"/>
    <w:rsid w:val="00A7590B"/>
    <w:rsid w:val="00A75D5D"/>
    <w:rsid w:val="00A769E7"/>
    <w:rsid w:val="00A76EDD"/>
    <w:rsid w:val="00A800DD"/>
    <w:rsid w:val="00A80745"/>
    <w:rsid w:val="00A80F19"/>
    <w:rsid w:val="00A80FEA"/>
    <w:rsid w:val="00A8174B"/>
    <w:rsid w:val="00A83C47"/>
    <w:rsid w:val="00A83D6F"/>
    <w:rsid w:val="00A843AD"/>
    <w:rsid w:val="00A84E49"/>
    <w:rsid w:val="00A8518F"/>
    <w:rsid w:val="00A8530B"/>
    <w:rsid w:val="00A86456"/>
    <w:rsid w:val="00A87185"/>
    <w:rsid w:val="00A875F4"/>
    <w:rsid w:val="00A87B7A"/>
    <w:rsid w:val="00A901C3"/>
    <w:rsid w:val="00A909F3"/>
    <w:rsid w:val="00A91D04"/>
    <w:rsid w:val="00A92880"/>
    <w:rsid w:val="00A9361D"/>
    <w:rsid w:val="00A93FA5"/>
    <w:rsid w:val="00A9499D"/>
    <w:rsid w:val="00A94EDE"/>
    <w:rsid w:val="00A9550F"/>
    <w:rsid w:val="00A95795"/>
    <w:rsid w:val="00A957F7"/>
    <w:rsid w:val="00A95E9E"/>
    <w:rsid w:val="00A96E4F"/>
    <w:rsid w:val="00A97493"/>
    <w:rsid w:val="00A976F3"/>
    <w:rsid w:val="00A97C0A"/>
    <w:rsid w:val="00AA01B2"/>
    <w:rsid w:val="00AA039A"/>
    <w:rsid w:val="00AA097A"/>
    <w:rsid w:val="00AA1872"/>
    <w:rsid w:val="00AA231E"/>
    <w:rsid w:val="00AA29AC"/>
    <w:rsid w:val="00AA302D"/>
    <w:rsid w:val="00AA3C19"/>
    <w:rsid w:val="00AA4E7B"/>
    <w:rsid w:val="00AA6268"/>
    <w:rsid w:val="00AA6E38"/>
    <w:rsid w:val="00AA721A"/>
    <w:rsid w:val="00AA724E"/>
    <w:rsid w:val="00AA73DF"/>
    <w:rsid w:val="00AA7A4C"/>
    <w:rsid w:val="00AA7CF9"/>
    <w:rsid w:val="00AB03CD"/>
    <w:rsid w:val="00AB0E05"/>
    <w:rsid w:val="00AB134A"/>
    <w:rsid w:val="00AB1442"/>
    <w:rsid w:val="00AB18E1"/>
    <w:rsid w:val="00AB1E1A"/>
    <w:rsid w:val="00AB21EF"/>
    <w:rsid w:val="00AB2988"/>
    <w:rsid w:val="00AB2FC8"/>
    <w:rsid w:val="00AB347F"/>
    <w:rsid w:val="00AB564F"/>
    <w:rsid w:val="00AB5712"/>
    <w:rsid w:val="00AB5847"/>
    <w:rsid w:val="00AB637B"/>
    <w:rsid w:val="00AB664F"/>
    <w:rsid w:val="00AB70BA"/>
    <w:rsid w:val="00AB72B7"/>
    <w:rsid w:val="00AB7A2E"/>
    <w:rsid w:val="00AB7EE2"/>
    <w:rsid w:val="00AC02AB"/>
    <w:rsid w:val="00AC0550"/>
    <w:rsid w:val="00AC0930"/>
    <w:rsid w:val="00AC0A32"/>
    <w:rsid w:val="00AC0D80"/>
    <w:rsid w:val="00AC1411"/>
    <w:rsid w:val="00AC158F"/>
    <w:rsid w:val="00AC1BD4"/>
    <w:rsid w:val="00AC1F90"/>
    <w:rsid w:val="00AC22EB"/>
    <w:rsid w:val="00AC28D0"/>
    <w:rsid w:val="00AC3197"/>
    <w:rsid w:val="00AC3D10"/>
    <w:rsid w:val="00AC4574"/>
    <w:rsid w:val="00AC4777"/>
    <w:rsid w:val="00AC49CA"/>
    <w:rsid w:val="00AC4BAB"/>
    <w:rsid w:val="00AC509C"/>
    <w:rsid w:val="00AC512F"/>
    <w:rsid w:val="00AC51D1"/>
    <w:rsid w:val="00AC670E"/>
    <w:rsid w:val="00AC6BE1"/>
    <w:rsid w:val="00AC7125"/>
    <w:rsid w:val="00AC7FCF"/>
    <w:rsid w:val="00AD0674"/>
    <w:rsid w:val="00AD075A"/>
    <w:rsid w:val="00AD1A5D"/>
    <w:rsid w:val="00AD2F5F"/>
    <w:rsid w:val="00AD30C5"/>
    <w:rsid w:val="00AD361D"/>
    <w:rsid w:val="00AD3927"/>
    <w:rsid w:val="00AD3F70"/>
    <w:rsid w:val="00AD44FD"/>
    <w:rsid w:val="00AD4580"/>
    <w:rsid w:val="00AD4AE1"/>
    <w:rsid w:val="00AD5DFF"/>
    <w:rsid w:val="00AD7750"/>
    <w:rsid w:val="00AD79D3"/>
    <w:rsid w:val="00AD7FA1"/>
    <w:rsid w:val="00AE05FF"/>
    <w:rsid w:val="00AE0B59"/>
    <w:rsid w:val="00AE0D88"/>
    <w:rsid w:val="00AE1045"/>
    <w:rsid w:val="00AE1543"/>
    <w:rsid w:val="00AE2C15"/>
    <w:rsid w:val="00AE37E8"/>
    <w:rsid w:val="00AE386F"/>
    <w:rsid w:val="00AE41E3"/>
    <w:rsid w:val="00AE4696"/>
    <w:rsid w:val="00AE5157"/>
    <w:rsid w:val="00AE5939"/>
    <w:rsid w:val="00AE5B95"/>
    <w:rsid w:val="00AE645A"/>
    <w:rsid w:val="00AE6D61"/>
    <w:rsid w:val="00AE721A"/>
    <w:rsid w:val="00AE743D"/>
    <w:rsid w:val="00AE778B"/>
    <w:rsid w:val="00AE7C19"/>
    <w:rsid w:val="00AE7F11"/>
    <w:rsid w:val="00AF0B4C"/>
    <w:rsid w:val="00AF0DE1"/>
    <w:rsid w:val="00AF105E"/>
    <w:rsid w:val="00AF1475"/>
    <w:rsid w:val="00AF1707"/>
    <w:rsid w:val="00AF21BD"/>
    <w:rsid w:val="00AF3038"/>
    <w:rsid w:val="00AF3418"/>
    <w:rsid w:val="00AF345C"/>
    <w:rsid w:val="00AF3B84"/>
    <w:rsid w:val="00AF3BD9"/>
    <w:rsid w:val="00AF4A02"/>
    <w:rsid w:val="00AF4C31"/>
    <w:rsid w:val="00AF5217"/>
    <w:rsid w:val="00AF5446"/>
    <w:rsid w:val="00AF5689"/>
    <w:rsid w:val="00AF591B"/>
    <w:rsid w:val="00AF5FBA"/>
    <w:rsid w:val="00AF5FC6"/>
    <w:rsid w:val="00AF6A47"/>
    <w:rsid w:val="00AF6B88"/>
    <w:rsid w:val="00AF6D02"/>
    <w:rsid w:val="00AF7161"/>
    <w:rsid w:val="00AF77C3"/>
    <w:rsid w:val="00AF78D7"/>
    <w:rsid w:val="00AF7924"/>
    <w:rsid w:val="00AF7A53"/>
    <w:rsid w:val="00B003B8"/>
    <w:rsid w:val="00B00462"/>
    <w:rsid w:val="00B00485"/>
    <w:rsid w:val="00B006A5"/>
    <w:rsid w:val="00B0088B"/>
    <w:rsid w:val="00B00C83"/>
    <w:rsid w:val="00B0100F"/>
    <w:rsid w:val="00B01506"/>
    <w:rsid w:val="00B0151A"/>
    <w:rsid w:val="00B018E1"/>
    <w:rsid w:val="00B0194F"/>
    <w:rsid w:val="00B01A1B"/>
    <w:rsid w:val="00B01BA3"/>
    <w:rsid w:val="00B01BAB"/>
    <w:rsid w:val="00B01C44"/>
    <w:rsid w:val="00B02253"/>
    <w:rsid w:val="00B02737"/>
    <w:rsid w:val="00B03109"/>
    <w:rsid w:val="00B03A4A"/>
    <w:rsid w:val="00B03D51"/>
    <w:rsid w:val="00B04AE3"/>
    <w:rsid w:val="00B04BBF"/>
    <w:rsid w:val="00B05776"/>
    <w:rsid w:val="00B05D7D"/>
    <w:rsid w:val="00B06817"/>
    <w:rsid w:val="00B072CA"/>
    <w:rsid w:val="00B102F3"/>
    <w:rsid w:val="00B104B4"/>
    <w:rsid w:val="00B1080A"/>
    <w:rsid w:val="00B1090A"/>
    <w:rsid w:val="00B1103B"/>
    <w:rsid w:val="00B11CCE"/>
    <w:rsid w:val="00B12072"/>
    <w:rsid w:val="00B12126"/>
    <w:rsid w:val="00B1215F"/>
    <w:rsid w:val="00B12906"/>
    <w:rsid w:val="00B132D2"/>
    <w:rsid w:val="00B1334E"/>
    <w:rsid w:val="00B13CAF"/>
    <w:rsid w:val="00B13ED5"/>
    <w:rsid w:val="00B141BB"/>
    <w:rsid w:val="00B145AE"/>
    <w:rsid w:val="00B15921"/>
    <w:rsid w:val="00B16165"/>
    <w:rsid w:val="00B167A3"/>
    <w:rsid w:val="00B16AB3"/>
    <w:rsid w:val="00B176B7"/>
    <w:rsid w:val="00B17876"/>
    <w:rsid w:val="00B216E8"/>
    <w:rsid w:val="00B21794"/>
    <w:rsid w:val="00B217B9"/>
    <w:rsid w:val="00B2189F"/>
    <w:rsid w:val="00B21CC8"/>
    <w:rsid w:val="00B224D7"/>
    <w:rsid w:val="00B226CE"/>
    <w:rsid w:val="00B22E61"/>
    <w:rsid w:val="00B24534"/>
    <w:rsid w:val="00B25392"/>
    <w:rsid w:val="00B2547E"/>
    <w:rsid w:val="00B267E4"/>
    <w:rsid w:val="00B26DB7"/>
    <w:rsid w:val="00B2725C"/>
    <w:rsid w:val="00B27674"/>
    <w:rsid w:val="00B279D6"/>
    <w:rsid w:val="00B3071F"/>
    <w:rsid w:val="00B30B95"/>
    <w:rsid w:val="00B31067"/>
    <w:rsid w:val="00B3173F"/>
    <w:rsid w:val="00B33469"/>
    <w:rsid w:val="00B33719"/>
    <w:rsid w:val="00B33AF5"/>
    <w:rsid w:val="00B33B10"/>
    <w:rsid w:val="00B33F8C"/>
    <w:rsid w:val="00B340E5"/>
    <w:rsid w:val="00B3456A"/>
    <w:rsid w:val="00B34594"/>
    <w:rsid w:val="00B352B6"/>
    <w:rsid w:val="00B35AEF"/>
    <w:rsid w:val="00B36688"/>
    <w:rsid w:val="00B366F2"/>
    <w:rsid w:val="00B36733"/>
    <w:rsid w:val="00B368C4"/>
    <w:rsid w:val="00B36F6A"/>
    <w:rsid w:val="00B3792D"/>
    <w:rsid w:val="00B37B4C"/>
    <w:rsid w:val="00B37CFC"/>
    <w:rsid w:val="00B4073A"/>
    <w:rsid w:val="00B40F34"/>
    <w:rsid w:val="00B411D3"/>
    <w:rsid w:val="00B412E3"/>
    <w:rsid w:val="00B414F2"/>
    <w:rsid w:val="00B41EC7"/>
    <w:rsid w:val="00B4213C"/>
    <w:rsid w:val="00B42789"/>
    <w:rsid w:val="00B42B1A"/>
    <w:rsid w:val="00B42CDA"/>
    <w:rsid w:val="00B43096"/>
    <w:rsid w:val="00B43124"/>
    <w:rsid w:val="00B434E8"/>
    <w:rsid w:val="00B44210"/>
    <w:rsid w:val="00B443BC"/>
    <w:rsid w:val="00B445DE"/>
    <w:rsid w:val="00B44919"/>
    <w:rsid w:val="00B44C11"/>
    <w:rsid w:val="00B45267"/>
    <w:rsid w:val="00B455E5"/>
    <w:rsid w:val="00B457CD"/>
    <w:rsid w:val="00B45969"/>
    <w:rsid w:val="00B46465"/>
    <w:rsid w:val="00B466AA"/>
    <w:rsid w:val="00B467E6"/>
    <w:rsid w:val="00B469AF"/>
    <w:rsid w:val="00B47F5F"/>
    <w:rsid w:val="00B50157"/>
    <w:rsid w:val="00B5039F"/>
    <w:rsid w:val="00B50BB3"/>
    <w:rsid w:val="00B51D6E"/>
    <w:rsid w:val="00B52C53"/>
    <w:rsid w:val="00B5309D"/>
    <w:rsid w:val="00B535EE"/>
    <w:rsid w:val="00B53817"/>
    <w:rsid w:val="00B53D45"/>
    <w:rsid w:val="00B540D4"/>
    <w:rsid w:val="00B54143"/>
    <w:rsid w:val="00B54605"/>
    <w:rsid w:val="00B547D8"/>
    <w:rsid w:val="00B54BCB"/>
    <w:rsid w:val="00B5520E"/>
    <w:rsid w:val="00B5532D"/>
    <w:rsid w:val="00B55445"/>
    <w:rsid w:val="00B5557F"/>
    <w:rsid w:val="00B55FFB"/>
    <w:rsid w:val="00B5745B"/>
    <w:rsid w:val="00B57C2E"/>
    <w:rsid w:val="00B57D9F"/>
    <w:rsid w:val="00B57FDB"/>
    <w:rsid w:val="00B60659"/>
    <w:rsid w:val="00B60CBD"/>
    <w:rsid w:val="00B60CE9"/>
    <w:rsid w:val="00B60F31"/>
    <w:rsid w:val="00B61432"/>
    <w:rsid w:val="00B61F7A"/>
    <w:rsid w:val="00B61F98"/>
    <w:rsid w:val="00B6289B"/>
    <w:rsid w:val="00B62F2A"/>
    <w:rsid w:val="00B6416D"/>
    <w:rsid w:val="00B645E8"/>
    <w:rsid w:val="00B6469A"/>
    <w:rsid w:val="00B6485E"/>
    <w:rsid w:val="00B64A14"/>
    <w:rsid w:val="00B64A1B"/>
    <w:rsid w:val="00B64B24"/>
    <w:rsid w:val="00B65131"/>
    <w:rsid w:val="00B65368"/>
    <w:rsid w:val="00B65C26"/>
    <w:rsid w:val="00B65EC9"/>
    <w:rsid w:val="00B66463"/>
    <w:rsid w:val="00B666C9"/>
    <w:rsid w:val="00B667EC"/>
    <w:rsid w:val="00B669FF"/>
    <w:rsid w:val="00B6789D"/>
    <w:rsid w:val="00B67902"/>
    <w:rsid w:val="00B7018F"/>
    <w:rsid w:val="00B7080E"/>
    <w:rsid w:val="00B70D06"/>
    <w:rsid w:val="00B713F7"/>
    <w:rsid w:val="00B7140D"/>
    <w:rsid w:val="00B71C0A"/>
    <w:rsid w:val="00B729B9"/>
    <w:rsid w:val="00B72E5C"/>
    <w:rsid w:val="00B731EE"/>
    <w:rsid w:val="00B735D2"/>
    <w:rsid w:val="00B7362E"/>
    <w:rsid w:val="00B737FC"/>
    <w:rsid w:val="00B7389B"/>
    <w:rsid w:val="00B73CC9"/>
    <w:rsid w:val="00B73DEB"/>
    <w:rsid w:val="00B74272"/>
    <w:rsid w:val="00B762FF"/>
    <w:rsid w:val="00B76B35"/>
    <w:rsid w:val="00B76BDB"/>
    <w:rsid w:val="00B77326"/>
    <w:rsid w:val="00B773BF"/>
    <w:rsid w:val="00B77831"/>
    <w:rsid w:val="00B80325"/>
    <w:rsid w:val="00B803F7"/>
    <w:rsid w:val="00B808A0"/>
    <w:rsid w:val="00B80B78"/>
    <w:rsid w:val="00B81890"/>
    <w:rsid w:val="00B81A34"/>
    <w:rsid w:val="00B81AF4"/>
    <w:rsid w:val="00B8237D"/>
    <w:rsid w:val="00B8284C"/>
    <w:rsid w:val="00B82A27"/>
    <w:rsid w:val="00B82BE4"/>
    <w:rsid w:val="00B82D4E"/>
    <w:rsid w:val="00B839A2"/>
    <w:rsid w:val="00B83B08"/>
    <w:rsid w:val="00B84014"/>
    <w:rsid w:val="00B845E5"/>
    <w:rsid w:val="00B8473E"/>
    <w:rsid w:val="00B84B79"/>
    <w:rsid w:val="00B85287"/>
    <w:rsid w:val="00B85EF7"/>
    <w:rsid w:val="00B85FD2"/>
    <w:rsid w:val="00B86517"/>
    <w:rsid w:val="00B86590"/>
    <w:rsid w:val="00B86AB3"/>
    <w:rsid w:val="00B86DFB"/>
    <w:rsid w:val="00B86F2A"/>
    <w:rsid w:val="00B87352"/>
    <w:rsid w:val="00B901B1"/>
    <w:rsid w:val="00B9104C"/>
    <w:rsid w:val="00B913E9"/>
    <w:rsid w:val="00B91A5D"/>
    <w:rsid w:val="00B91C99"/>
    <w:rsid w:val="00B91ECE"/>
    <w:rsid w:val="00B91F06"/>
    <w:rsid w:val="00B9257C"/>
    <w:rsid w:val="00B930FA"/>
    <w:rsid w:val="00B941A4"/>
    <w:rsid w:val="00B94229"/>
    <w:rsid w:val="00B94B8B"/>
    <w:rsid w:val="00B94D7C"/>
    <w:rsid w:val="00B94FFE"/>
    <w:rsid w:val="00B95321"/>
    <w:rsid w:val="00B95C9C"/>
    <w:rsid w:val="00B95E0E"/>
    <w:rsid w:val="00B969C9"/>
    <w:rsid w:val="00B974FC"/>
    <w:rsid w:val="00B97781"/>
    <w:rsid w:val="00B977DE"/>
    <w:rsid w:val="00BA063A"/>
    <w:rsid w:val="00BA068C"/>
    <w:rsid w:val="00BA073E"/>
    <w:rsid w:val="00BA077E"/>
    <w:rsid w:val="00BA0941"/>
    <w:rsid w:val="00BA0B14"/>
    <w:rsid w:val="00BA11AA"/>
    <w:rsid w:val="00BA1CAF"/>
    <w:rsid w:val="00BA26B3"/>
    <w:rsid w:val="00BA26B9"/>
    <w:rsid w:val="00BA39D6"/>
    <w:rsid w:val="00BA3A60"/>
    <w:rsid w:val="00BA418C"/>
    <w:rsid w:val="00BA42F2"/>
    <w:rsid w:val="00BA47D3"/>
    <w:rsid w:val="00BA47E9"/>
    <w:rsid w:val="00BA499A"/>
    <w:rsid w:val="00BA4DFB"/>
    <w:rsid w:val="00BA5519"/>
    <w:rsid w:val="00BA5800"/>
    <w:rsid w:val="00BA58F9"/>
    <w:rsid w:val="00BA5CB8"/>
    <w:rsid w:val="00BA7876"/>
    <w:rsid w:val="00BA7A02"/>
    <w:rsid w:val="00BA7B0D"/>
    <w:rsid w:val="00BB0939"/>
    <w:rsid w:val="00BB09C3"/>
    <w:rsid w:val="00BB0DDB"/>
    <w:rsid w:val="00BB0F5E"/>
    <w:rsid w:val="00BB1339"/>
    <w:rsid w:val="00BB151E"/>
    <w:rsid w:val="00BB2B09"/>
    <w:rsid w:val="00BB2FA1"/>
    <w:rsid w:val="00BB3C96"/>
    <w:rsid w:val="00BB3E79"/>
    <w:rsid w:val="00BB3EC7"/>
    <w:rsid w:val="00BB3FB1"/>
    <w:rsid w:val="00BB47B6"/>
    <w:rsid w:val="00BB47E5"/>
    <w:rsid w:val="00BB6098"/>
    <w:rsid w:val="00BB63CE"/>
    <w:rsid w:val="00BB67FE"/>
    <w:rsid w:val="00BB6A4B"/>
    <w:rsid w:val="00BB6B4A"/>
    <w:rsid w:val="00BB6DAB"/>
    <w:rsid w:val="00BB6E16"/>
    <w:rsid w:val="00BB7F22"/>
    <w:rsid w:val="00BC0B29"/>
    <w:rsid w:val="00BC0D54"/>
    <w:rsid w:val="00BC0E28"/>
    <w:rsid w:val="00BC1548"/>
    <w:rsid w:val="00BC1D18"/>
    <w:rsid w:val="00BC2118"/>
    <w:rsid w:val="00BC310A"/>
    <w:rsid w:val="00BC4346"/>
    <w:rsid w:val="00BC45BF"/>
    <w:rsid w:val="00BC50B4"/>
    <w:rsid w:val="00BC5314"/>
    <w:rsid w:val="00BC5B59"/>
    <w:rsid w:val="00BC5C32"/>
    <w:rsid w:val="00BC5D63"/>
    <w:rsid w:val="00BC624B"/>
    <w:rsid w:val="00BC6D3C"/>
    <w:rsid w:val="00BC6EF9"/>
    <w:rsid w:val="00BC7C96"/>
    <w:rsid w:val="00BD024C"/>
    <w:rsid w:val="00BD0574"/>
    <w:rsid w:val="00BD0F91"/>
    <w:rsid w:val="00BD1874"/>
    <w:rsid w:val="00BD2365"/>
    <w:rsid w:val="00BD2390"/>
    <w:rsid w:val="00BD2537"/>
    <w:rsid w:val="00BD2868"/>
    <w:rsid w:val="00BD32F2"/>
    <w:rsid w:val="00BD34BF"/>
    <w:rsid w:val="00BD3831"/>
    <w:rsid w:val="00BD3DA6"/>
    <w:rsid w:val="00BD3E71"/>
    <w:rsid w:val="00BD4A9F"/>
    <w:rsid w:val="00BD5C4B"/>
    <w:rsid w:val="00BD608C"/>
    <w:rsid w:val="00BD6098"/>
    <w:rsid w:val="00BD645F"/>
    <w:rsid w:val="00BD6945"/>
    <w:rsid w:val="00BD7042"/>
    <w:rsid w:val="00BD76AC"/>
    <w:rsid w:val="00BD7F75"/>
    <w:rsid w:val="00BD7FBE"/>
    <w:rsid w:val="00BE01E5"/>
    <w:rsid w:val="00BE0F76"/>
    <w:rsid w:val="00BE1645"/>
    <w:rsid w:val="00BE1FA8"/>
    <w:rsid w:val="00BE2735"/>
    <w:rsid w:val="00BE2833"/>
    <w:rsid w:val="00BE34B4"/>
    <w:rsid w:val="00BE4311"/>
    <w:rsid w:val="00BE43D7"/>
    <w:rsid w:val="00BE457A"/>
    <w:rsid w:val="00BE56AB"/>
    <w:rsid w:val="00BE5862"/>
    <w:rsid w:val="00BE5881"/>
    <w:rsid w:val="00BE5AC7"/>
    <w:rsid w:val="00BE5BDC"/>
    <w:rsid w:val="00BE60FE"/>
    <w:rsid w:val="00BE6202"/>
    <w:rsid w:val="00BE65E9"/>
    <w:rsid w:val="00BE6778"/>
    <w:rsid w:val="00BE6829"/>
    <w:rsid w:val="00BE6F1E"/>
    <w:rsid w:val="00BE73EC"/>
    <w:rsid w:val="00BE7A38"/>
    <w:rsid w:val="00BE7AF9"/>
    <w:rsid w:val="00BE7C81"/>
    <w:rsid w:val="00BF07DD"/>
    <w:rsid w:val="00BF1D5D"/>
    <w:rsid w:val="00BF2B3B"/>
    <w:rsid w:val="00BF2BD8"/>
    <w:rsid w:val="00BF311C"/>
    <w:rsid w:val="00BF4276"/>
    <w:rsid w:val="00BF45E5"/>
    <w:rsid w:val="00BF4BC4"/>
    <w:rsid w:val="00BF5344"/>
    <w:rsid w:val="00BF5F3E"/>
    <w:rsid w:val="00BF70B3"/>
    <w:rsid w:val="00BF7142"/>
    <w:rsid w:val="00BF7173"/>
    <w:rsid w:val="00BF731D"/>
    <w:rsid w:val="00BF7587"/>
    <w:rsid w:val="00BF7A6D"/>
    <w:rsid w:val="00BF7D77"/>
    <w:rsid w:val="00BF7F70"/>
    <w:rsid w:val="00C007F3"/>
    <w:rsid w:val="00C010B9"/>
    <w:rsid w:val="00C0110A"/>
    <w:rsid w:val="00C011B2"/>
    <w:rsid w:val="00C013EB"/>
    <w:rsid w:val="00C017D5"/>
    <w:rsid w:val="00C027A7"/>
    <w:rsid w:val="00C03836"/>
    <w:rsid w:val="00C03AC0"/>
    <w:rsid w:val="00C04611"/>
    <w:rsid w:val="00C047D7"/>
    <w:rsid w:val="00C04902"/>
    <w:rsid w:val="00C04DCB"/>
    <w:rsid w:val="00C05104"/>
    <w:rsid w:val="00C0516E"/>
    <w:rsid w:val="00C05D3A"/>
    <w:rsid w:val="00C05F1C"/>
    <w:rsid w:val="00C061C1"/>
    <w:rsid w:val="00C06BF2"/>
    <w:rsid w:val="00C06F40"/>
    <w:rsid w:val="00C07DD2"/>
    <w:rsid w:val="00C11019"/>
    <w:rsid w:val="00C114A1"/>
    <w:rsid w:val="00C1211F"/>
    <w:rsid w:val="00C12524"/>
    <w:rsid w:val="00C1277B"/>
    <w:rsid w:val="00C12F3C"/>
    <w:rsid w:val="00C13F1E"/>
    <w:rsid w:val="00C14051"/>
    <w:rsid w:val="00C1445D"/>
    <w:rsid w:val="00C145D9"/>
    <w:rsid w:val="00C14A5C"/>
    <w:rsid w:val="00C14AF0"/>
    <w:rsid w:val="00C1507F"/>
    <w:rsid w:val="00C15610"/>
    <w:rsid w:val="00C159B1"/>
    <w:rsid w:val="00C15A21"/>
    <w:rsid w:val="00C15A3C"/>
    <w:rsid w:val="00C15D51"/>
    <w:rsid w:val="00C172F9"/>
    <w:rsid w:val="00C174AC"/>
    <w:rsid w:val="00C176A7"/>
    <w:rsid w:val="00C17E41"/>
    <w:rsid w:val="00C20044"/>
    <w:rsid w:val="00C21019"/>
    <w:rsid w:val="00C21CEC"/>
    <w:rsid w:val="00C2205D"/>
    <w:rsid w:val="00C22FC5"/>
    <w:rsid w:val="00C23AA8"/>
    <w:rsid w:val="00C23C0F"/>
    <w:rsid w:val="00C24820"/>
    <w:rsid w:val="00C2485B"/>
    <w:rsid w:val="00C24C81"/>
    <w:rsid w:val="00C24E29"/>
    <w:rsid w:val="00C255C3"/>
    <w:rsid w:val="00C27582"/>
    <w:rsid w:val="00C27927"/>
    <w:rsid w:val="00C27AE8"/>
    <w:rsid w:val="00C27D3D"/>
    <w:rsid w:val="00C301A7"/>
    <w:rsid w:val="00C30562"/>
    <w:rsid w:val="00C31244"/>
    <w:rsid w:val="00C32017"/>
    <w:rsid w:val="00C3204B"/>
    <w:rsid w:val="00C328DF"/>
    <w:rsid w:val="00C340ED"/>
    <w:rsid w:val="00C34CA7"/>
    <w:rsid w:val="00C358DD"/>
    <w:rsid w:val="00C35E08"/>
    <w:rsid w:val="00C36207"/>
    <w:rsid w:val="00C364D8"/>
    <w:rsid w:val="00C3666A"/>
    <w:rsid w:val="00C366F2"/>
    <w:rsid w:val="00C3724C"/>
    <w:rsid w:val="00C3791E"/>
    <w:rsid w:val="00C37923"/>
    <w:rsid w:val="00C37AA9"/>
    <w:rsid w:val="00C37BC8"/>
    <w:rsid w:val="00C400FE"/>
    <w:rsid w:val="00C401F0"/>
    <w:rsid w:val="00C40B87"/>
    <w:rsid w:val="00C41067"/>
    <w:rsid w:val="00C416D3"/>
    <w:rsid w:val="00C41706"/>
    <w:rsid w:val="00C41A3D"/>
    <w:rsid w:val="00C41A7C"/>
    <w:rsid w:val="00C41B0E"/>
    <w:rsid w:val="00C41DD8"/>
    <w:rsid w:val="00C425A3"/>
    <w:rsid w:val="00C42664"/>
    <w:rsid w:val="00C42842"/>
    <w:rsid w:val="00C42AAF"/>
    <w:rsid w:val="00C432F8"/>
    <w:rsid w:val="00C4348B"/>
    <w:rsid w:val="00C43749"/>
    <w:rsid w:val="00C4376A"/>
    <w:rsid w:val="00C43DDA"/>
    <w:rsid w:val="00C44112"/>
    <w:rsid w:val="00C441D3"/>
    <w:rsid w:val="00C446AD"/>
    <w:rsid w:val="00C44860"/>
    <w:rsid w:val="00C4487E"/>
    <w:rsid w:val="00C44CA4"/>
    <w:rsid w:val="00C44DD8"/>
    <w:rsid w:val="00C44DE1"/>
    <w:rsid w:val="00C4520C"/>
    <w:rsid w:val="00C454DA"/>
    <w:rsid w:val="00C45E2F"/>
    <w:rsid w:val="00C45F18"/>
    <w:rsid w:val="00C47282"/>
    <w:rsid w:val="00C5056E"/>
    <w:rsid w:val="00C50E04"/>
    <w:rsid w:val="00C51320"/>
    <w:rsid w:val="00C51572"/>
    <w:rsid w:val="00C51D7B"/>
    <w:rsid w:val="00C53A81"/>
    <w:rsid w:val="00C5431F"/>
    <w:rsid w:val="00C543CB"/>
    <w:rsid w:val="00C546F5"/>
    <w:rsid w:val="00C54B6D"/>
    <w:rsid w:val="00C54E62"/>
    <w:rsid w:val="00C5513A"/>
    <w:rsid w:val="00C558B5"/>
    <w:rsid w:val="00C55906"/>
    <w:rsid w:val="00C567E0"/>
    <w:rsid w:val="00C57800"/>
    <w:rsid w:val="00C60675"/>
    <w:rsid w:val="00C60B67"/>
    <w:rsid w:val="00C60C5C"/>
    <w:rsid w:val="00C6146C"/>
    <w:rsid w:val="00C619B8"/>
    <w:rsid w:val="00C648DB"/>
    <w:rsid w:val="00C6506B"/>
    <w:rsid w:val="00C652B8"/>
    <w:rsid w:val="00C6597F"/>
    <w:rsid w:val="00C66691"/>
    <w:rsid w:val="00C66ACE"/>
    <w:rsid w:val="00C66C27"/>
    <w:rsid w:val="00C67118"/>
    <w:rsid w:val="00C672C2"/>
    <w:rsid w:val="00C674AA"/>
    <w:rsid w:val="00C70070"/>
    <w:rsid w:val="00C70511"/>
    <w:rsid w:val="00C7061A"/>
    <w:rsid w:val="00C70671"/>
    <w:rsid w:val="00C7075C"/>
    <w:rsid w:val="00C70DCA"/>
    <w:rsid w:val="00C7232A"/>
    <w:rsid w:val="00C72AC5"/>
    <w:rsid w:val="00C72C55"/>
    <w:rsid w:val="00C72F51"/>
    <w:rsid w:val="00C72F5F"/>
    <w:rsid w:val="00C72FED"/>
    <w:rsid w:val="00C7335A"/>
    <w:rsid w:val="00C739A7"/>
    <w:rsid w:val="00C7475F"/>
    <w:rsid w:val="00C75008"/>
    <w:rsid w:val="00C7609B"/>
    <w:rsid w:val="00C77010"/>
    <w:rsid w:val="00C77444"/>
    <w:rsid w:val="00C7762A"/>
    <w:rsid w:val="00C77BA1"/>
    <w:rsid w:val="00C80004"/>
    <w:rsid w:val="00C800B4"/>
    <w:rsid w:val="00C815A1"/>
    <w:rsid w:val="00C815AF"/>
    <w:rsid w:val="00C81BA4"/>
    <w:rsid w:val="00C82164"/>
    <w:rsid w:val="00C82FFB"/>
    <w:rsid w:val="00C8307E"/>
    <w:rsid w:val="00C84F4A"/>
    <w:rsid w:val="00C86DF8"/>
    <w:rsid w:val="00C87A06"/>
    <w:rsid w:val="00C9004D"/>
    <w:rsid w:val="00C913FD"/>
    <w:rsid w:val="00C91A55"/>
    <w:rsid w:val="00C91D12"/>
    <w:rsid w:val="00C91EE3"/>
    <w:rsid w:val="00C92365"/>
    <w:rsid w:val="00C9283B"/>
    <w:rsid w:val="00C9306D"/>
    <w:rsid w:val="00C9339A"/>
    <w:rsid w:val="00C93412"/>
    <w:rsid w:val="00C93583"/>
    <w:rsid w:val="00C936FF"/>
    <w:rsid w:val="00C938BC"/>
    <w:rsid w:val="00C93A8D"/>
    <w:rsid w:val="00C93F36"/>
    <w:rsid w:val="00C947A9"/>
    <w:rsid w:val="00C94AD2"/>
    <w:rsid w:val="00C95593"/>
    <w:rsid w:val="00C95A5D"/>
    <w:rsid w:val="00C95C93"/>
    <w:rsid w:val="00C9618A"/>
    <w:rsid w:val="00C97536"/>
    <w:rsid w:val="00C978F7"/>
    <w:rsid w:val="00C97DC7"/>
    <w:rsid w:val="00CA018F"/>
    <w:rsid w:val="00CA0710"/>
    <w:rsid w:val="00CA0777"/>
    <w:rsid w:val="00CA0C1D"/>
    <w:rsid w:val="00CA1009"/>
    <w:rsid w:val="00CA14B8"/>
    <w:rsid w:val="00CA183A"/>
    <w:rsid w:val="00CA1A77"/>
    <w:rsid w:val="00CA1EBA"/>
    <w:rsid w:val="00CA2C2C"/>
    <w:rsid w:val="00CA3226"/>
    <w:rsid w:val="00CA3D81"/>
    <w:rsid w:val="00CA474C"/>
    <w:rsid w:val="00CA5090"/>
    <w:rsid w:val="00CA5532"/>
    <w:rsid w:val="00CA560C"/>
    <w:rsid w:val="00CA5756"/>
    <w:rsid w:val="00CA5812"/>
    <w:rsid w:val="00CA5E6F"/>
    <w:rsid w:val="00CA62EC"/>
    <w:rsid w:val="00CA682E"/>
    <w:rsid w:val="00CA75E0"/>
    <w:rsid w:val="00CA7CCB"/>
    <w:rsid w:val="00CB06C3"/>
    <w:rsid w:val="00CB09F6"/>
    <w:rsid w:val="00CB0DA5"/>
    <w:rsid w:val="00CB108C"/>
    <w:rsid w:val="00CB1B6F"/>
    <w:rsid w:val="00CB1FBE"/>
    <w:rsid w:val="00CB29BE"/>
    <w:rsid w:val="00CB29D9"/>
    <w:rsid w:val="00CB3001"/>
    <w:rsid w:val="00CB44EC"/>
    <w:rsid w:val="00CB4C18"/>
    <w:rsid w:val="00CB5494"/>
    <w:rsid w:val="00CB5582"/>
    <w:rsid w:val="00CB560C"/>
    <w:rsid w:val="00CB5695"/>
    <w:rsid w:val="00CB59DB"/>
    <w:rsid w:val="00CB5A2A"/>
    <w:rsid w:val="00CB5DA6"/>
    <w:rsid w:val="00CB5E6B"/>
    <w:rsid w:val="00CB610C"/>
    <w:rsid w:val="00CB78AE"/>
    <w:rsid w:val="00CB7995"/>
    <w:rsid w:val="00CB7B0F"/>
    <w:rsid w:val="00CB7C0E"/>
    <w:rsid w:val="00CC0585"/>
    <w:rsid w:val="00CC070B"/>
    <w:rsid w:val="00CC079B"/>
    <w:rsid w:val="00CC0C24"/>
    <w:rsid w:val="00CC0C4D"/>
    <w:rsid w:val="00CC1316"/>
    <w:rsid w:val="00CC1C48"/>
    <w:rsid w:val="00CC1DC6"/>
    <w:rsid w:val="00CC1EA8"/>
    <w:rsid w:val="00CC2B79"/>
    <w:rsid w:val="00CC2E2B"/>
    <w:rsid w:val="00CC3374"/>
    <w:rsid w:val="00CC3437"/>
    <w:rsid w:val="00CC3A70"/>
    <w:rsid w:val="00CC3EB0"/>
    <w:rsid w:val="00CC49F8"/>
    <w:rsid w:val="00CC4CD2"/>
    <w:rsid w:val="00CC53F7"/>
    <w:rsid w:val="00CC69C2"/>
    <w:rsid w:val="00CC6ECC"/>
    <w:rsid w:val="00CC728B"/>
    <w:rsid w:val="00CC7307"/>
    <w:rsid w:val="00CC7438"/>
    <w:rsid w:val="00CC75F9"/>
    <w:rsid w:val="00CC7B1F"/>
    <w:rsid w:val="00CC7DA8"/>
    <w:rsid w:val="00CD0256"/>
    <w:rsid w:val="00CD0577"/>
    <w:rsid w:val="00CD0829"/>
    <w:rsid w:val="00CD09C2"/>
    <w:rsid w:val="00CD0ACB"/>
    <w:rsid w:val="00CD17E4"/>
    <w:rsid w:val="00CD22E8"/>
    <w:rsid w:val="00CD2617"/>
    <w:rsid w:val="00CD2F9B"/>
    <w:rsid w:val="00CD31FC"/>
    <w:rsid w:val="00CD3282"/>
    <w:rsid w:val="00CD3573"/>
    <w:rsid w:val="00CD360D"/>
    <w:rsid w:val="00CD39D6"/>
    <w:rsid w:val="00CD4173"/>
    <w:rsid w:val="00CD551D"/>
    <w:rsid w:val="00CD55AC"/>
    <w:rsid w:val="00CD6039"/>
    <w:rsid w:val="00CD613E"/>
    <w:rsid w:val="00CD6357"/>
    <w:rsid w:val="00CD6532"/>
    <w:rsid w:val="00CD6763"/>
    <w:rsid w:val="00CD7F7D"/>
    <w:rsid w:val="00CD7FA4"/>
    <w:rsid w:val="00CE15D0"/>
    <w:rsid w:val="00CE1DE8"/>
    <w:rsid w:val="00CE1E9F"/>
    <w:rsid w:val="00CE3068"/>
    <w:rsid w:val="00CE3131"/>
    <w:rsid w:val="00CE3EA6"/>
    <w:rsid w:val="00CE49E6"/>
    <w:rsid w:val="00CE4E23"/>
    <w:rsid w:val="00CE4E71"/>
    <w:rsid w:val="00CE63D0"/>
    <w:rsid w:val="00CE6C7F"/>
    <w:rsid w:val="00CF0482"/>
    <w:rsid w:val="00CF0974"/>
    <w:rsid w:val="00CF0EAA"/>
    <w:rsid w:val="00CF263B"/>
    <w:rsid w:val="00CF2708"/>
    <w:rsid w:val="00CF27BA"/>
    <w:rsid w:val="00CF285C"/>
    <w:rsid w:val="00CF299E"/>
    <w:rsid w:val="00CF39BF"/>
    <w:rsid w:val="00CF3B88"/>
    <w:rsid w:val="00CF4BA4"/>
    <w:rsid w:val="00CF5A2C"/>
    <w:rsid w:val="00CF61E0"/>
    <w:rsid w:val="00CF65AE"/>
    <w:rsid w:val="00CF6A12"/>
    <w:rsid w:val="00CF6E54"/>
    <w:rsid w:val="00CF6FFA"/>
    <w:rsid w:val="00CF7B14"/>
    <w:rsid w:val="00D003E2"/>
    <w:rsid w:val="00D00B42"/>
    <w:rsid w:val="00D00B8D"/>
    <w:rsid w:val="00D02935"/>
    <w:rsid w:val="00D029FE"/>
    <w:rsid w:val="00D02B85"/>
    <w:rsid w:val="00D02D4D"/>
    <w:rsid w:val="00D031E4"/>
    <w:rsid w:val="00D0378F"/>
    <w:rsid w:val="00D03819"/>
    <w:rsid w:val="00D038F6"/>
    <w:rsid w:val="00D03B59"/>
    <w:rsid w:val="00D03BA3"/>
    <w:rsid w:val="00D03EDE"/>
    <w:rsid w:val="00D042C5"/>
    <w:rsid w:val="00D04A0E"/>
    <w:rsid w:val="00D04ABA"/>
    <w:rsid w:val="00D04B3B"/>
    <w:rsid w:val="00D050E1"/>
    <w:rsid w:val="00D05359"/>
    <w:rsid w:val="00D055E8"/>
    <w:rsid w:val="00D069ED"/>
    <w:rsid w:val="00D06DF7"/>
    <w:rsid w:val="00D06FE0"/>
    <w:rsid w:val="00D06FE9"/>
    <w:rsid w:val="00D0730E"/>
    <w:rsid w:val="00D076D6"/>
    <w:rsid w:val="00D076EE"/>
    <w:rsid w:val="00D101B2"/>
    <w:rsid w:val="00D10281"/>
    <w:rsid w:val="00D11357"/>
    <w:rsid w:val="00D1197B"/>
    <w:rsid w:val="00D11A22"/>
    <w:rsid w:val="00D1350B"/>
    <w:rsid w:val="00D1365D"/>
    <w:rsid w:val="00D13AF7"/>
    <w:rsid w:val="00D13BA3"/>
    <w:rsid w:val="00D140CC"/>
    <w:rsid w:val="00D14311"/>
    <w:rsid w:val="00D14CB0"/>
    <w:rsid w:val="00D15AE8"/>
    <w:rsid w:val="00D16B8A"/>
    <w:rsid w:val="00D171B3"/>
    <w:rsid w:val="00D177DA"/>
    <w:rsid w:val="00D178BF"/>
    <w:rsid w:val="00D17BC9"/>
    <w:rsid w:val="00D20457"/>
    <w:rsid w:val="00D21242"/>
    <w:rsid w:val="00D21405"/>
    <w:rsid w:val="00D21579"/>
    <w:rsid w:val="00D21D27"/>
    <w:rsid w:val="00D224AF"/>
    <w:rsid w:val="00D232A8"/>
    <w:rsid w:val="00D237BB"/>
    <w:rsid w:val="00D23922"/>
    <w:rsid w:val="00D23CDA"/>
    <w:rsid w:val="00D24BC8"/>
    <w:rsid w:val="00D25B5A"/>
    <w:rsid w:val="00D26D76"/>
    <w:rsid w:val="00D26E61"/>
    <w:rsid w:val="00D27BBD"/>
    <w:rsid w:val="00D27DB9"/>
    <w:rsid w:val="00D3029C"/>
    <w:rsid w:val="00D30904"/>
    <w:rsid w:val="00D30CBF"/>
    <w:rsid w:val="00D30DBA"/>
    <w:rsid w:val="00D31365"/>
    <w:rsid w:val="00D32065"/>
    <w:rsid w:val="00D329CE"/>
    <w:rsid w:val="00D3327F"/>
    <w:rsid w:val="00D332BC"/>
    <w:rsid w:val="00D334B1"/>
    <w:rsid w:val="00D33899"/>
    <w:rsid w:val="00D33C33"/>
    <w:rsid w:val="00D34119"/>
    <w:rsid w:val="00D3432C"/>
    <w:rsid w:val="00D3442F"/>
    <w:rsid w:val="00D34B12"/>
    <w:rsid w:val="00D34B33"/>
    <w:rsid w:val="00D34BAE"/>
    <w:rsid w:val="00D34E7B"/>
    <w:rsid w:val="00D3501F"/>
    <w:rsid w:val="00D352C1"/>
    <w:rsid w:val="00D3537D"/>
    <w:rsid w:val="00D35483"/>
    <w:rsid w:val="00D369F5"/>
    <w:rsid w:val="00D36C94"/>
    <w:rsid w:val="00D3731A"/>
    <w:rsid w:val="00D37438"/>
    <w:rsid w:val="00D37B25"/>
    <w:rsid w:val="00D37E99"/>
    <w:rsid w:val="00D4061C"/>
    <w:rsid w:val="00D40EC2"/>
    <w:rsid w:val="00D41161"/>
    <w:rsid w:val="00D419AA"/>
    <w:rsid w:val="00D42148"/>
    <w:rsid w:val="00D4255E"/>
    <w:rsid w:val="00D42651"/>
    <w:rsid w:val="00D426B2"/>
    <w:rsid w:val="00D43232"/>
    <w:rsid w:val="00D4338E"/>
    <w:rsid w:val="00D43484"/>
    <w:rsid w:val="00D4354A"/>
    <w:rsid w:val="00D437A0"/>
    <w:rsid w:val="00D43849"/>
    <w:rsid w:val="00D448F0"/>
    <w:rsid w:val="00D44CAF"/>
    <w:rsid w:val="00D452E3"/>
    <w:rsid w:val="00D45687"/>
    <w:rsid w:val="00D459B0"/>
    <w:rsid w:val="00D45D23"/>
    <w:rsid w:val="00D46A78"/>
    <w:rsid w:val="00D47561"/>
    <w:rsid w:val="00D475EC"/>
    <w:rsid w:val="00D50250"/>
    <w:rsid w:val="00D5033F"/>
    <w:rsid w:val="00D50D67"/>
    <w:rsid w:val="00D5241F"/>
    <w:rsid w:val="00D5247E"/>
    <w:rsid w:val="00D52CAD"/>
    <w:rsid w:val="00D52D22"/>
    <w:rsid w:val="00D52DDF"/>
    <w:rsid w:val="00D5304B"/>
    <w:rsid w:val="00D53922"/>
    <w:rsid w:val="00D54E85"/>
    <w:rsid w:val="00D55239"/>
    <w:rsid w:val="00D555FA"/>
    <w:rsid w:val="00D55F64"/>
    <w:rsid w:val="00D560D7"/>
    <w:rsid w:val="00D56B61"/>
    <w:rsid w:val="00D572F7"/>
    <w:rsid w:val="00D60029"/>
    <w:rsid w:val="00D601FE"/>
    <w:rsid w:val="00D60744"/>
    <w:rsid w:val="00D61284"/>
    <w:rsid w:val="00D6165A"/>
    <w:rsid w:val="00D62BFD"/>
    <w:rsid w:val="00D63205"/>
    <w:rsid w:val="00D6321E"/>
    <w:rsid w:val="00D6481A"/>
    <w:rsid w:val="00D6578D"/>
    <w:rsid w:val="00D65973"/>
    <w:rsid w:val="00D65AA1"/>
    <w:rsid w:val="00D6697A"/>
    <w:rsid w:val="00D6738F"/>
    <w:rsid w:val="00D674F9"/>
    <w:rsid w:val="00D6781C"/>
    <w:rsid w:val="00D70371"/>
    <w:rsid w:val="00D71580"/>
    <w:rsid w:val="00D71769"/>
    <w:rsid w:val="00D71CDB"/>
    <w:rsid w:val="00D72218"/>
    <w:rsid w:val="00D724A8"/>
    <w:rsid w:val="00D72B76"/>
    <w:rsid w:val="00D72E8A"/>
    <w:rsid w:val="00D72F3C"/>
    <w:rsid w:val="00D73209"/>
    <w:rsid w:val="00D73866"/>
    <w:rsid w:val="00D7465C"/>
    <w:rsid w:val="00D7537A"/>
    <w:rsid w:val="00D75464"/>
    <w:rsid w:val="00D75965"/>
    <w:rsid w:val="00D75D36"/>
    <w:rsid w:val="00D760A1"/>
    <w:rsid w:val="00D76617"/>
    <w:rsid w:val="00D7671D"/>
    <w:rsid w:val="00D76847"/>
    <w:rsid w:val="00D76A2F"/>
    <w:rsid w:val="00D76A34"/>
    <w:rsid w:val="00D76A6F"/>
    <w:rsid w:val="00D7762B"/>
    <w:rsid w:val="00D804A3"/>
    <w:rsid w:val="00D80CE7"/>
    <w:rsid w:val="00D81B8F"/>
    <w:rsid w:val="00D8231F"/>
    <w:rsid w:val="00D827AF"/>
    <w:rsid w:val="00D82B8A"/>
    <w:rsid w:val="00D82ECE"/>
    <w:rsid w:val="00D836FE"/>
    <w:rsid w:val="00D8374D"/>
    <w:rsid w:val="00D83A67"/>
    <w:rsid w:val="00D83BDE"/>
    <w:rsid w:val="00D8441F"/>
    <w:rsid w:val="00D8604F"/>
    <w:rsid w:val="00D8645F"/>
    <w:rsid w:val="00D864E6"/>
    <w:rsid w:val="00D8717A"/>
    <w:rsid w:val="00D8765B"/>
    <w:rsid w:val="00D87C5B"/>
    <w:rsid w:val="00D907FD"/>
    <w:rsid w:val="00D90D1E"/>
    <w:rsid w:val="00D91D50"/>
    <w:rsid w:val="00D929C5"/>
    <w:rsid w:val="00D92A9A"/>
    <w:rsid w:val="00D92C4A"/>
    <w:rsid w:val="00D92CDC"/>
    <w:rsid w:val="00D92E52"/>
    <w:rsid w:val="00D9362D"/>
    <w:rsid w:val="00D93B20"/>
    <w:rsid w:val="00D944CB"/>
    <w:rsid w:val="00D94F96"/>
    <w:rsid w:val="00D95131"/>
    <w:rsid w:val="00D9547A"/>
    <w:rsid w:val="00D95AF8"/>
    <w:rsid w:val="00D95F43"/>
    <w:rsid w:val="00D9657A"/>
    <w:rsid w:val="00D96792"/>
    <w:rsid w:val="00D96FDF"/>
    <w:rsid w:val="00D971BF"/>
    <w:rsid w:val="00D972D8"/>
    <w:rsid w:val="00D973BF"/>
    <w:rsid w:val="00D97867"/>
    <w:rsid w:val="00D9789C"/>
    <w:rsid w:val="00D97B16"/>
    <w:rsid w:val="00D97C22"/>
    <w:rsid w:val="00DA035B"/>
    <w:rsid w:val="00DA0360"/>
    <w:rsid w:val="00DA04D4"/>
    <w:rsid w:val="00DA0817"/>
    <w:rsid w:val="00DA0905"/>
    <w:rsid w:val="00DA110E"/>
    <w:rsid w:val="00DA20BA"/>
    <w:rsid w:val="00DA262E"/>
    <w:rsid w:val="00DA26BA"/>
    <w:rsid w:val="00DA275F"/>
    <w:rsid w:val="00DA2B4B"/>
    <w:rsid w:val="00DA3618"/>
    <w:rsid w:val="00DA37C8"/>
    <w:rsid w:val="00DA4502"/>
    <w:rsid w:val="00DA4546"/>
    <w:rsid w:val="00DA4A2C"/>
    <w:rsid w:val="00DA4E8E"/>
    <w:rsid w:val="00DA53D2"/>
    <w:rsid w:val="00DA5506"/>
    <w:rsid w:val="00DA556C"/>
    <w:rsid w:val="00DA56AE"/>
    <w:rsid w:val="00DA59F1"/>
    <w:rsid w:val="00DA5A6F"/>
    <w:rsid w:val="00DA5D83"/>
    <w:rsid w:val="00DA5EC0"/>
    <w:rsid w:val="00DA7321"/>
    <w:rsid w:val="00DA7C4E"/>
    <w:rsid w:val="00DA7DE2"/>
    <w:rsid w:val="00DB0767"/>
    <w:rsid w:val="00DB0DAC"/>
    <w:rsid w:val="00DB11DA"/>
    <w:rsid w:val="00DB1A3D"/>
    <w:rsid w:val="00DB1F63"/>
    <w:rsid w:val="00DB2577"/>
    <w:rsid w:val="00DB3430"/>
    <w:rsid w:val="00DB3555"/>
    <w:rsid w:val="00DB4128"/>
    <w:rsid w:val="00DB41CE"/>
    <w:rsid w:val="00DB4CC0"/>
    <w:rsid w:val="00DB55DD"/>
    <w:rsid w:val="00DB5B2C"/>
    <w:rsid w:val="00DB6033"/>
    <w:rsid w:val="00DB62E8"/>
    <w:rsid w:val="00DB7501"/>
    <w:rsid w:val="00DB794A"/>
    <w:rsid w:val="00DB7991"/>
    <w:rsid w:val="00DB7CF5"/>
    <w:rsid w:val="00DB7FE7"/>
    <w:rsid w:val="00DC02D0"/>
    <w:rsid w:val="00DC0429"/>
    <w:rsid w:val="00DC05F3"/>
    <w:rsid w:val="00DC06F4"/>
    <w:rsid w:val="00DC0C1F"/>
    <w:rsid w:val="00DC1100"/>
    <w:rsid w:val="00DC1FD3"/>
    <w:rsid w:val="00DC2B2B"/>
    <w:rsid w:val="00DC2CCD"/>
    <w:rsid w:val="00DC2D96"/>
    <w:rsid w:val="00DC392F"/>
    <w:rsid w:val="00DC3F4A"/>
    <w:rsid w:val="00DC46BA"/>
    <w:rsid w:val="00DC4D00"/>
    <w:rsid w:val="00DC4F1E"/>
    <w:rsid w:val="00DC530F"/>
    <w:rsid w:val="00DC5492"/>
    <w:rsid w:val="00DC5CD3"/>
    <w:rsid w:val="00DC5DCD"/>
    <w:rsid w:val="00DC5FD7"/>
    <w:rsid w:val="00DC652A"/>
    <w:rsid w:val="00DC6B44"/>
    <w:rsid w:val="00DC6FDA"/>
    <w:rsid w:val="00DD11F7"/>
    <w:rsid w:val="00DD1267"/>
    <w:rsid w:val="00DD1552"/>
    <w:rsid w:val="00DD1CB2"/>
    <w:rsid w:val="00DD1FE1"/>
    <w:rsid w:val="00DD2060"/>
    <w:rsid w:val="00DD20F1"/>
    <w:rsid w:val="00DD36B3"/>
    <w:rsid w:val="00DD4E4C"/>
    <w:rsid w:val="00DD50C2"/>
    <w:rsid w:val="00DD5119"/>
    <w:rsid w:val="00DD5529"/>
    <w:rsid w:val="00DD58CD"/>
    <w:rsid w:val="00DD6140"/>
    <w:rsid w:val="00DD63A3"/>
    <w:rsid w:val="00DD659F"/>
    <w:rsid w:val="00DD6AE9"/>
    <w:rsid w:val="00DE047A"/>
    <w:rsid w:val="00DE174B"/>
    <w:rsid w:val="00DE1A0E"/>
    <w:rsid w:val="00DE27C4"/>
    <w:rsid w:val="00DE2BAA"/>
    <w:rsid w:val="00DE2DE9"/>
    <w:rsid w:val="00DE3017"/>
    <w:rsid w:val="00DE31F6"/>
    <w:rsid w:val="00DE4212"/>
    <w:rsid w:val="00DE5C08"/>
    <w:rsid w:val="00DE6308"/>
    <w:rsid w:val="00DE67D6"/>
    <w:rsid w:val="00DE6E95"/>
    <w:rsid w:val="00DE6F35"/>
    <w:rsid w:val="00DE71F1"/>
    <w:rsid w:val="00DE7912"/>
    <w:rsid w:val="00DE7AC1"/>
    <w:rsid w:val="00DE7F1A"/>
    <w:rsid w:val="00DF08B7"/>
    <w:rsid w:val="00DF0CDD"/>
    <w:rsid w:val="00DF0D73"/>
    <w:rsid w:val="00DF1279"/>
    <w:rsid w:val="00DF1718"/>
    <w:rsid w:val="00DF1887"/>
    <w:rsid w:val="00DF1C8A"/>
    <w:rsid w:val="00DF251F"/>
    <w:rsid w:val="00DF31AE"/>
    <w:rsid w:val="00DF33D1"/>
    <w:rsid w:val="00DF446D"/>
    <w:rsid w:val="00DF4EF3"/>
    <w:rsid w:val="00DF5452"/>
    <w:rsid w:val="00DF574F"/>
    <w:rsid w:val="00DF5A43"/>
    <w:rsid w:val="00DF5CAD"/>
    <w:rsid w:val="00DF6509"/>
    <w:rsid w:val="00DF6F25"/>
    <w:rsid w:val="00DF7CAB"/>
    <w:rsid w:val="00E006EB"/>
    <w:rsid w:val="00E0084A"/>
    <w:rsid w:val="00E012CB"/>
    <w:rsid w:val="00E0130F"/>
    <w:rsid w:val="00E02D08"/>
    <w:rsid w:val="00E02E97"/>
    <w:rsid w:val="00E0311B"/>
    <w:rsid w:val="00E035D2"/>
    <w:rsid w:val="00E03697"/>
    <w:rsid w:val="00E0379D"/>
    <w:rsid w:val="00E03C1A"/>
    <w:rsid w:val="00E03C29"/>
    <w:rsid w:val="00E042A9"/>
    <w:rsid w:val="00E049AE"/>
    <w:rsid w:val="00E04DF4"/>
    <w:rsid w:val="00E04F64"/>
    <w:rsid w:val="00E057BF"/>
    <w:rsid w:val="00E05806"/>
    <w:rsid w:val="00E05BB3"/>
    <w:rsid w:val="00E06EFC"/>
    <w:rsid w:val="00E101E6"/>
    <w:rsid w:val="00E1039D"/>
    <w:rsid w:val="00E1102D"/>
    <w:rsid w:val="00E11243"/>
    <w:rsid w:val="00E132DC"/>
    <w:rsid w:val="00E13438"/>
    <w:rsid w:val="00E1384B"/>
    <w:rsid w:val="00E13EB6"/>
    <w:rsid w:val="00E1408A"/>
    <w:rsid w:val="00E14867"/>
    <w:rsid w:val="00E149EA"/>
    <w:rsid w:val="00E14C1D"/>
    <w:rsid w:val="00E151E9"/>
    <w:rsid w:val="00E15AF2"/>
    <w:rsid w:val="00E15F11"/>
    <w:rsid w:val="00E16026"/>
    <w:rsid w:val="00E164AF"/>
    <w:rsid w:val="00E1710B"/>
    <w:rsid w:val="00E1793A"/>
    <w:rsid w:val="00E20323"/>
    <w:rsid w:val="00E207EF"/>
    <w:rsid w:val="00E20DED"/>
    <w:rsid w:val="00E21E6B"/>
    <w:rsid w:val="00E22037"/>
    <w:rsid w:val="00E22591"/>
    <w:rsid w:val="00E226C5"/>
    <w:rsid w:val="00E2309F"/>
    <w:rsid w:val="00E23303"/>
    <w:rsid w:val="00E235E7"/>
    <w:rsid w:val="00E23FED"/>
    <w:rsid w:val="00E245D5"/>
    <w:rsid w:val="00E24B4D"/>
    <w:rsid w:val="00E25876"/>
    <w:rsid w:val="00E25E5D"/>
    <w:rsid w:val="00E25EF5"/>
    <w:rsid w:val="00E25EF6"/>
    <w:rsid w:val="00E262FE"/>
    <w:rsid w:val="00E26592"/>
    <w:rsid w:val="00E27273"/>
    <w:rsid w:val="00E27655"/>
    <w:rsid w:val="00E27A2D"/>
    <w:rsid w:val="00E27BEA"/>
    <w:rsid w:val="00E300DB"/>
    <w:rsid w:val="00E30F5A"/>
    <w:rsid w:val="00E31433"/>
    <w:rsid w:val="00E318A7"/>
    <w:rsid w:val="00E31B90"/>
    <w:rsid w:val="00E31BCD"/>
    <w:rsid w:val="00E31BD9"/>
    <w:rsid w:val="00E32464"/>
    <w:rsid w:val="00E32DA7"/>
    <w:rsid w:val="00E331E4"/>
    <w:rsid w:val="00E33479"/>
    <w:rsid w:val="00E335F2"/>
    <w:rsid w:val="00E33F42"/>
    <w:rsid w:val="00E3446A"/>
    <w:rsid w:val="00E350FC"/>
    <w:rsid w:val="00E3603D"/>
    <w:rsid w:val="00E36D75"/>
    <w:rsid w:val="00E37807"/>
    <w:rsid w:val="00E37FA6"/>
    <w:rsid w:val="00E405E0"/>
    <w:rsid w:val="00E40763"/>
    <w:rsid w:val="00E40AD1"/>
    <w:rsid w:val="00E417E7"/>
    <w:rsid w:val="00E41B13"/>
    <w:rsid w:val="00E42027"/>
    <w:rsid w:val="00E42160"/>
    <w:rsid w:val="00E423AA"/>
    <w:rsid w:val="00E423D1"/>
    <w:rsid w:val="00E42461"/>
    <w:rsid w:val="00E42841"/>
    <w:rsid w:val="00E42ED9"/>
    <w:rsid w:val="00E42EDA"/>
    <w:rsid w:val="00E44795"/>
    <w:rsid w:val="00E44926"/>
    <w:rsid w:val="00E4518C"/>
    <w:rsid w:val="00E454B9"/>
    <w:rsid w:val="00E454D8"/>
    <w:rsid w:val="00E45B39"/>
    <w:rsid w:val="00E45D23"/>
    <w:rsid w:val="00E4613B"/>
    <w:rsid w:val="00E4616E"/>
    <w:rsid w:val="00E467C6"/>
    <w:rsid w:val="00E46A5E"/>
    <w:rsid w:val="00E46D0F"/>
    <w:rsid w:val="00E47049"/>
    <w:rsid w:val="00E47941"/>
    <w:rsid w:val="00E47DC9"/>
    <w:rsid w:val="00E47E96"/>
    <w:rsid w:val="00E510CA"/>
    <w:rsid w:val="00E51540"/>
    <w:rsid w:val="00E5160C"/>
    <w:rsid w:val="00E517FF"/>
    <w:rsid w:val="00E51DCC"/>
    <w:rsid w:val="00E5231B"/>
    <w:rsid w:val="00E52487"/>
    <w:rsid w:val="00E52F00"/>
    <w:rsid w:val="00E5332A"/>
    <w:rsid w:val="00E533C7"/>
    <w:rsid w:val="00E53C23"/>
    <w:rsid w:val="00E541E1"/>
    <w:rsid w:val="00E5433E"/>
    <w:rsid w:val="00E546BB"/>
    <w:rsid w:val="00E548D8"/>
    <w:rsid w:val="00E54AAD"/>
    <w:rsid w:val="00E54DCB"/>
    <w:rsid w:val="00E54F96"/>
    <w:rsid w:val="00E553BD"/>
    <w:rsid w:val="00E55B8F"/>
    <w:rsid w:val="00E55C53"/>
    <w:rsid w:val="00E56DBB"/>
    <w:rsid w:val="00E5703A"/>
    <w:rsid w:val="00E576EE"/>
    <w:rsid w:val="00E57774"/>
    <w:rsid w:val="00E5791A"/>
    <w:rsid w:val="00E606E4"/>
    <w:rsid w:val="00E60EC6"/>
    <w:rsid w:val="00E6136B"/>
    <w:rsid w:val="00E619F0"/>
    <w:rsid w:val="00E63005"/>
    <w:rsid w:val="00E6399D"/>
    <w:rsid w:val="00E63C61"/>
    <w:rsid w:val="00E6406B"/>
    <w:rsid w:val="00E646AC"/>
    <w:rsid w:val="00E64798"/>
    <w:rsid w:val="00E65406"/>
    <w:rsid w:val="00E66057"/>
    <w:rsid w:val="00E6610E"/>
    <w:rsid w:val="00E66F50"/>
    <w:rsid w:val="00E6703B"/>
    <w:rsid w:val="00E67611"/>
    <w:rsid w:val="00E67A73"/>
    <w:rsid w:val="00E67AA5"/>
    <w:rsid w:val="00E7036E"/>
    <w:rsid w:val="00E70DEB"/>
    <w:rsid w:val="00E7137A"/>
    <w:rsid w:val="00E7201B"/>
    <w:rsid w:val="00E722A8"/>
    <w:rsid w:val="00E725F1"/>
    <w:rsid w:val="00E731CE"/>
    <w:rsid w:val="00E731EE"/>
    <w:rsid w:val="00E73949"/>
    <w:rsid w:val="00E73C87"/>
    <w:rsid w:val="00E73FF2"/>
    <w:rsid w:val="00E744D3"/>
    <w:rsid w:val="00E746E9"/>
    <w:rsid w:val="00E74D70"/>
    <w:rsid w:val="00E74E80"/>
    <w:rsid w:val="00E74F7B"/>
    <w:rsid w:val="00E75178"/>
    <w:rsid w:val="00E75773"/>
    <w:rsid w:val="00E75806"/>
    <w:rsid w:val="00E75B75"/>
    <w:rsid w:val="00E75BC0"/>
    <w:rsid w:val="00E75EDF"/>
    <w:rsid w:val="00E763BF"/>
    <w:rsid w:val="00E767B7"/>
    <w:rsid w:val="00E77B79"/>
    <w:rsid w:val="00E80633"/>
    <w:rsid w:val="00E8063E"/>
    <w:rsid w:val="00E81EC9"/>
    <w:rsid w:val="00E82720"/>
    <w:rsid w:val="00E82A79"/>
    <w:rsid w:val="00E82C3D"/>
    <w:rsid w:val="00E830CB"/>
    <w:rsid w:val="00E84069"/>
    <w:rsid w:val="00E842E2"/>
    <w:rsid w:val="00E844EB"/>
    <w:rsid w:val="00E8493B"/>
    <w:rsid w:val="00E84B10"/>
    <w:rsid w:val="00E8516E"/>
    <w:rsid w:val="00E8539C"/>
    <w:rsid w:val="00E85EDC"/>
    <w:rsid w:val="00E86124"/>
    <w:rsid w:val="00E87397"/>
    <w:rsid w:val="00E87D1B"/>
    <w:rsid w:val="00E87F8B"/>
    <w:rsid w:val="00E90221"/>
    <w:rsid w:val="00E902A6"/>
    <w:rsid w:val="00E905D1"/>
    <w:rsid w:val="00E90DC0"/>
    <w:rsid w:val="00E913D5"/>
    <w:rsid w:val="00E913E8"/>
    <w:rsid w:val="00E916C0"/>
    <w:rsid w:val="00E92C94"/>
    <w:rsid w:val="00E92D65"/>
    <w:rsid w:val="00E93BF3"/>
    <w:rsid w:val="00E94E45"/>
    <w:rsid w:val="00E962FA"/>
    <w:rsid w:val="00E9630D"/>
    <w:rsid w:val="00E970A2"/>
    <w:rsid w:val="00E9715F"/>
    <w:rsid w:val="00E9729F"/>
    <w:rsid w:val="00E972D2"/>
    <w:rsid w:val="00E97C2E"/>
    <w:rsid w:val="00E97FDF"/>
    <w:rsid w:val="00EA0419"/>
    <w:rsid w:val="00EA0810"/>
    <w:rsid w:val="00EA0AB1"/>
    <w:rsid w:val="00EA0C0C"/>
    <w:rsid w:val="00EA0E96"/>
    <w:rsid w:val="00EA0F85"/>
    <w:rsid w:val="00EA123F"/>
    <w:rsid w:val="00EA146E"/>
    <w:rsid w:val="00EA1522"/>
    <w:rsid w:val="00EA1639"/>
    <w:rsid w:val="00EA2D2D"/>
    <w:rsid w:val="00EA3481"/>
    <w:rsid w:val="00EA4086"/>
    <w:rsid w:val="00EA47C4"/>
    <w:rsid w:val="00EA47CD"/>
    <w:rsid w:val="00EA4A8A"/>
    <w:rsid w:val="00EA4B33"/>
    <w:rsid w:val="00EA4F77"/>
    <w:rsid w:val="00EA50A5"/>
    <w:rsid w:val="00EA5483"/>
    <w:rsid w:val="00EA5BCB"/>
    <w:rsid w:val="00EA6AAA"/>
    <w:rsid w:val="00EA702C"/>
    <w:rsid w:val="00EA72F7"/>
    <w:rsid w:val="00EB0218"/>
    <w:rsid w:val="00EB08D8"/>
    <w:rsid w:val="00EB0A3E"/>
    <w:rsid w:val="00EB0D77"/>
    <w:rsid w:val="00EB16ED"/>
    <w:rsid w:val="00EB2155"/>
    <w:rsid w:val="00EB2AF8"/>
    <w:rsid w:val="00EB2DB5"/>
    <w:rsid w:val="00EB45AF"/>
    <w:rsid w:val="00EB464F"/>
    <w:rsid w:val="00EB4A5B"/>
    <w:rsid w:val="00EB4B66"/>
    <w:rsid w:val="00EB4C02"/>
    <w:rsid w:val="00EB5044"/>
    <w:rsid w:val="00EB621D"/>
    <w:rsid w:val="00EB74BB"/>
    <w:rsid w:val="00EB7B89"/>
    <w:rsid w:val="00EB7C06"/>
    <w:rsid w:val="00EB7F2D"/>
    <w:rsid w:val="00EC01B5"/>
    <w:rsid w:val="00EC03B3"/>
    <w:rsid w:val="00EC0617"/>
    <w:rsid w:val="00EC0C6A"/>
    <w:rsid w:val="00EC0D4C"/>
    <w:rsid w:val="00EC1640"/>
    <w:rsid w:val="00EC1B8E"/>
    <w:rsid w:val="00EC211A"/>
    <w:rsid w:val="00EC23CD"/>
    <w:rsid w:val="00EC2A40"/>
    <w:rsid w:val="00EC2A92"/>
    <w:rsid w:val="00EC33BE"/>
    <w:rsid w:val="00EC387E"/>
    <w:rsid w:val="00EC3881"/>
    <w:rsid w:val="00EC4A32"/>
    <w:rsid w:val="00EC4E0A"/>
    <w:rsid w:val="00EC5501"/>
    <w:rsid w:val="00EC5B04"/>
    <w:rsid w:val="00EC5B9C"/>
    <w:rsid w:val="00EC5F7F"/>
    <w:rsid w:val="00EC69BD"/>
    <w:rsid w:val="00EC6F05"/>
    <w:rsid w:val="00EC7423"/>
    <w:rsid w:val="00EC7A94"/>
    <w:rsid w:val="00ED0644"/>
    <w:rsid w:val="00ED09FA"/>
    <w:rsid w:val="00ED1F99"/>
    <w:rsid w:val="00ED206F"/>
    <w:rsid w:val="00ED45FC"/>
    <w:rsid w:val="00ED4835"/>
    <w:rsid w:val="00ED4CAB"/>
    <w:rsid w:val="00ED4F8E"/>
    <w:rsid w:val="00ED5942"/>
    <w:rsid w:val="00ED5CF7"/>
    <w:rsid w:val="00ED628B"/>
    <w:rsid w:val="00ED6925"/>
    <w:rsid w:val="00ED703D"/>
    <w:rsid w:val="00EE023D"/>
    <w:rsid w:val="00EE15EF"/>
    <w:rsid w:val="00EE18B1"/>
    <w:rsid w:val="00EE1BBF"/>
    <w:rsid w:val="00EE24B1"/>
    <w:rsid w:val="00EE3439"/>
    <w:rsid w:val="00EE34C1"/>
    <w:rsid w:val="00EE3CCE"/>
    <w:rsid w:val="00EE3D54"/>
    <w:rsid w:val="00EE4090"/>
    <w:rsid w:val="00EE425D"/>
    <w:rsid w:val="00EE42E5"/>
    <w:rsid w:val="00EE4529"/>
    <w:rsid w:val="00EE4899"/>
    <w:rsid w:val="00EE49CD"/>
    <w:rsid w:val="00EE5312"/>
    <w:rsid w:val="00EE6660"/>
    <w:rsid w:val="00EE6951"/>
    <w:rsid w:val="00EE7091"/>
    <w:rsid w:val="00EE7130"/>
    <w:rsid w:val="00EE77E1"/>
    <w:rsid w:val="00EE7BBC"/>
    <w:rsid w:val="00EE7BC7"/>
    <w:rsid w:val="00EE7E11"/>
    <w:rsid w:val="00EE7E15"/>
    <w:rsid w:val="00EE7F7F"/>
    <w:rsid w:val="00EF07AA"/>
    <w:rsid w:val="00EF0FFD"/>
    <w:rsid w:val="00EF144A"/>
    <w:rsid w:val="00EF1585"/>
    <w:rsid w:val="00EF4011"/>
    <w:rsid w:val="00EF4F28"/>
    <w:rsid w:val="00EF5A09"/>
    <w:rsid w:val="00EF5BB4"/>
    <w:rsid w:val="00EF5D85"/>
    <w:rsid w:val="00EF636B"/>
    <w:rsid w:val="00EF6473"/>
    <w:rsid w:val="00EF6570"/>
    <w:rsid w:val="00EF69FB"/>
    <w:rsid w:val="00EF6FD5"/>
    <w:rsid w:val="00EF755E"/>
    <w:rsid w:val="00EF75AE"/>
    <w:rsid w:val="00EF780B"/>
    <w:rsid w:val="00EF797D"/>
    <w:rsid w:val="00F00545"/>
    <w:rsid w:val="00F02016"/>
    <w:rsid w:val="00F02206"/>
    <w:rsid w:val="00F025F3"/>
    <w:rsid w:val="00F02AE9"/>
    <w:rsid w:val="00F02D2D"/>
    <w:rsid w:val="00F02EC1"/>
    <w:rsid w:val="00F03708"/>
    <w:rsid w:val="00F03CD0"/>
    <w:rsid w:val="00F057B8"/>
    <w:rsid w:val="00F05811"/>
    <w:rsid w:val="00F05A67"/>
    <w:rsid w:val="00F06590"/>
    <w:rsid w:val="00F0667B"/>
    <w:rsid w:val="00F06A28"/>
    <w:rsid w:val="00F073C8"/>
    <w:rsid w:val="00F10BBD"/>
    <w:rsid w:val="00F10DC2"/>
    <w:rsid w:val="00F1103F"/>
    <w:rsid w:val="00F1138A"/>
    <w:rsid w:val="00F11804"/>
    <w:rsid w:val="00F1291F"/>
    <w:rsid w:val="00F12925"/>
    <w:rsid w:val="00F12CE9"/>
    <w:rsid w:val="00F12FBC"/>
    <w:rsid w:val="00F13958"/>
    <w:rsid w:val="00F13A69"/>
    <w:rsid w:val="00F13AC4"/>
    <w:rsid w:val="00F146F9"/>
    <w:rsid w:val="00F150C7"/>
    <w:rsid w:val="00F15CFF"/>
    <w:rsid w:val="00F16368"/>
    <w:rsid w:val="00F166BB"/>
    <w:rsid w:val="00F1684D"/>
    <w:rsid w:val="00F1713C"/>
    <w:rsid w:val="00F17569"/>
    <w:rsid w:val="00F20750"/>
    <w:rsid w:val="00F20C87"/>
    <w:rsid w:val="00F2151A"/>
    <w:rsid w:val="00F21614"/>
    <w:rsid w:val="00F2252B"/>
    <w:rsid w:val="00F2317A"/>
    <w:rsid w:val="00F23CFA"/>
    <w:rsid w:val="00F24616"/>
    <w:rsid w:val="00F24708"/>
    <w:rsid w:val="00F2470F"/>
    <w:rsid w:val="00F247B2"/>
    <w:rsid w:val="00F24CA8"/>
    <w:rsid w:val="00F24DD6"/>
    <w:rsid w:val="00F25D68"/>
    <w:rsid w:val="00F25FD7"/>
    <w:rsid w:val="00F27626"/>
    <w:rsid w:val="00F27C0B"/>
    <w:rsid w:val="00F27C39"/>
    <w:rsid w:val="00F302A4"/>
    <w:rsid w:val="00F30381"/>
    <w:rsid w:val="00F30912"/>
    <w:rsid w:val="00F309E8"/>
    <w:rsid w:val="00F30E6A"/>
    <w:rsid w:val="00F31632"/>
    <w:rsid w:val="00F31961"/>
    <w:rsid w:val="00F31F09"/>
    <w:rsid w:val="00F33287"/>
    <w:rsid w:val="00F33D02"/>
    <w:rsid w:val="00F34577"/>
    <w:rsid w:val="00F3478B"/>
    <w:rsid w:val="00F34E6A"/>
    <w:rsid w:val="00F352FF"/>
    <w:rsid w:val="00F354A0"/>
    <w:rsid w:val="00F364EF"/>
    <w:rsid w:val="00F3666E"/>
    <w:rsid w:val="00F368F6"/>
    <w:rsid w:val="00F37398"/>
    <w:rsid w:val="00F37596"/>
    <w:rsid w:val="00F4009E"/>
    <w:rsid w:val="00F40258"/>
    <w:rsid w:val="00F404B9"/>
    <w:rsid w:val="00F40B87"/>
    <w:rsid w:val="00F41028"/>
    <w:rsid w:val="00F41061"/>
    <w:rsid w:val="00F41416"/>
    <w:rsid w:val="00F41793"/>
    <w:rsid w:val="00F418CD"/>
    <w:rsid w:val="00F41E71"/>
    <w:rsid w:val="00F427EE"/>
    <w:rsid w:val="00F430F1"/>
    <w:rsid w:val="00F43319"/>
    <w:rsid w:val="00F43426"/>
    <w:rsid w:val="00F43F13"/>
    <w:rsid w:val="00F4401F"/>
    <w:rsid w:val="00F441B4"/>
    <w:rsid w:val="00F446F4"/>
    <w:rsid w:val="00F448A1"/>
    <w:rsid w:val="00F4525B"/>
    <w:rsid w:val="00F45F60"/>
    <w:rsid w:val="00F462C2"/>
    <w:rsid w:val="00F466F1"/>
    <w:rsid w:val="00F46716"/>
    <w:rsid w:val="00F46D73"/>
    <w:rsid w:val="00F46ECA"/>
    <w:rsid w:val="00F4709B"/>
    <w:rsid w:val="00F476F5"/>
    <w:rsid w:val="00F47A2E"/>
    <w:rsid w:val="00F503AB"/>
    <w:rsid w:val="00F50782"/>
    <w:rsid w:val="00F507D7"/>
    <w:rsid w:val="00F517F2"/>
    <w:rsid w:val="00F51B29"/>
    <w:rsid w:val="00F52111"/>
    <w:rsid w:val="00F52210"/>
    <w:rsid w:val="00F52D2D"/>
    <w:rsid w:val="00F5349B"/>
    <w:rsid w:val="00F53F6A"/>
    <w:rsid w:val="00F5437D"/>
    <w:rsid w:val="00F5467B"/>
    <w:rsid w:val="00F5487C"/>
    <w:rsid w:val="00F54A22"/>
    <w:rsid w:val="00F54B28"/>
    <w:rsid w:val="00F54FAF"/>
    <w:rsid w:val="00F5580B"/>
    <w:rsid w:val="00F56156"/>
    <w:rsid w:val="00F565B1"/>
    <w:rsid w:val="00F57917"/>
    <w:rsid w:val="00F57ADC"/>
    <w:rsid w:val="00F57DA1"/>
    <w:rsid w:val="00F60087"/>
    <w:rsid w:val="00F60D79"/>
    <w:rsid w:val="00F61652"/>
    <w:rsid w:val="00F6244A"/>
    <w:rsid w:val="00F62AAA"/>
    <w:rsid w:val="00F637DA"/>
    <w:rsid w:val="00F63BE8"/>
    <w:rsid w:val="00F64289"/>
    <w:rsid w:val="00F64332"/>
    <w:rsid w:val="00F656B0"/>
    <w:rsid w:val="00F657FD"/>
    <w:rsid w:val="00F65F68"/>
    <w:rsid w:val="00F6601A"/>
    <w:rsid w:val="00F6605A"/>
    <w:rsid w:val="00F666CD"/>
    <w:rsid w:val="00F6699F"/>
    <w:rsid w:val="00F676A8"/>
    <w:rsid w:val="00F67B0D"/>
    <w:rsid w:val="00F67F2B"/>
    <w:rsid w:val="00F70347"/>
    <w:rsid w:val="00F7041B"/>
    <w:rsid w:val="00F70D8F"/>
    <w:rsid w:val="00F713ED"/>
    <w:rsid w:val="00F71863"/>
    <w:rsid w:val="00F71E6D"/>
    <w:rsid w:val="00F720E5"/>
    <w:rsid w:val="00F72FEE"/>
    <w:rsid w:val="00F73062"/>
    <w:rsid w:val="00F73622"/>
    <w:rsid w:val="00F738A5"/>
    <w:rsid w:val="00F73979"/>
    <w:rsid w:val="00F73CAE"/>
    <w:rsid w:val="00F73E47"/>
    <w:rsid w:val="00F7490C"/>
    <w:rsid w:val="00F749B8"/>
    <w:rsid w:val="00F749FB"/>
    <w:rsid w:val="00F75170"/>
    <w:rsid w:val="00F75382"/>
    <w:rsid w:val="00F755EA"/>
    <w:rsid w:val="00F7560C"/>
    <w:rsid w:val="00F758B6"/>
    <w:rsid w:val="00F75F02"/>
    <w:rsid w:val="00F75F97"/>
    <w:rsid w:val="00F77ECA"/>
    <w:rsid w:val="00F8008B"/>
    <w:rsid w:val="00F80793"/>
    <w:rsid w:val="00F81532"/>
    <w:rsid w:val="00F8164A"/>
    <w:rsid w:val="00F8181E"/>
    <w:rsid w:val="00F81A6F"/>
    <w:rsid w:val="00F82105"/>
    <w:rsid w:val="00F82291"/>
    <w:rsid w:val="00F82C9C"/>
    <w:rsid w:val="00F84922"/>
    <w:rsid w:val="00F857CE"/>
    <w:rsid w:val="00F85B31"/>
    <w:rsid w:val="00F85F60"/>
    <w:rsid w:val="00F8663D"/>
    <w:rsid w:val="00F86DA9"/>
    <w:rsid w:val="00F8713C"/>
    <w:rsid w:val="00F874BC"/>
    <w:rsid w:val="00F87FC6"/>
    <w:rsid w:val="00F9016C"/>
    <w:rsid w:val="00F90407"/>
    <w:rsid w:val="00F906E9"/>
    <w:rsid w:val="00F90B18"/>
    <w:rsid w:val="00F90CA9"/>
    <w:rsid w:val="00F916B9"/>
    <w:rsid w:val="00F916EE"/>
    <w:rsid w:val="00F925A5"/>
    <w:rsid w:val="00F92750"/>
    <w:rsid w:val="00F9362B"/>
    <w:rsid w:val="00F93738"/>
    <w:rsid w:val="00F9390F"/>
    <w:rsid w:val="00F9402A"/>
    <w:rsid w:val="00F946F0"/>
    <w:rsid w:val="00F94F74"/>
    <w:rsid w:val="00F95179"/>
    <w:rsid w:val="00F955BD"/>
    <w:rsid w:val="00F95821"/>
    <w:rsid w:val="00F965B1"/>
    <w:rsid w:val="00F9671C"/>
    <w:rsid w:val="00F96B3C"/>
    <w:rsid w:val="00F972AC"/>
    <w:rsid w:val="00F97B92"/>
    <w:rsid w:val="00FA02F1"/>
    <w:rsid w:val="00FA06D8"/>
    <w:rsid w:val="00FA13CB"/>
    <w:rsid w:val="00FA1DB6"/>
    <w:rsid w:val="00FA2332"/>
    <w:rsid w:val="00FA26FC"/>
    <w:rsid w:val="00FA2A3C"/>
    <w:rsid w:val="00FA3123"/>
    <w:rsid w:val="00FA355C"/>
    <w:rsid w:val="00FA39B9"/>
    <w:rsid w:val="00FA3F15"/>
    <w:rsid w:val="00FA3FBC"/>
    <w:rsid w:val="00FA44B0"/>
    <w:rsid w:val="00FA4647"/>
    <w:rsid w:val="00FA554F"/>
    <w:rsid w:val="00FA56E0"/>
    <w:rsid w:val="00FA57F4"/>
    <w:rsid w:val="00FA5F03"/>
    <w:rsid w:val="00FA63D9"/>
    <w:rsid w:val="00FA668F"/>
    <w:rsid w:val="00FA6915"/>
    <w:rsid w:val="00FA69A3"/>
    <w:rsid w:val="00FA6AA4"/>
    <w:rsid w:val="00FA6EF9"/>
    <w:rsid w:val="00FA741A"/>
    <w:rsid w:val="00FB0106"/>
    <w:rsid w:val="00FB07DF"/>
    <w:rsid w:val="00FB0C0F"/>
    <w:rsid w:val="00FB0E37"/>
    <w:rsid w:val="00FB1357"/>
    <w:rsid w:val="00FB15AA"/>
    <w:rsid w:val="00FB1685"/>
    <w:rsid w:val="00FB1AAE"/>
    <w:rsid w:val="00FB35F0"/>
    <w:rsid w:val="00FB3950"/>
    <w:rsid w:val="00FB3AF6"/>
    <w:rsid w:val="00FB3CAB"/>
    <w:rsid w:val="00FB4682"/>
    <w:rsid w:val="00FB4847"/>
    <w:rsid w:val="00FB4CF8"/>
    <w:rsid w:val="00FB5090"/>
    <w:rsid w:val="00FB5627"/>
    <w:rsid w:val="00FB597E"/>
    <w:rsid w:val="00FB5FA4"/>
    <w:rsid w:val="00FB6196"/>
    <w:rsid w:val="00FB67E1"/>
    <w:rsid w:val="00FB7652"/>
    <w:rsid w:val="00FB7C31"/>
    <w:rsid w:val="00FB7E52"/>
    <w:rsid w:val="00FC08D1"/>
    <w:rsid w:val="00FC0B9F"/>
    <w:rsid w:val="00FC13D9"/>
    <w:rsid w:val="00FC16A5"/>
    <w:rsid w:val="00FC2A98"/>
    <w:rsid w:val="00FC2B24"/>
    <w:rsid w:val="00FC2C59"/>
    <w:rsid w:val="00FC3952"/>
    <w:rsid w:val="00FC4ABC"/>
    <w:rsid w:val="00FC50E7"/>
    <w:rsid w:val="00FC5377"/>
    <w:rsid w:val="00FC53B5"/>
    <w:rsid w:val="00FC6385"/>
    <w:rsid w:val="00FC64BB"/>
    <w:rsid w:val="00FC70EC"/>
    <w:rsid w:val="00FC7456"/>
    <w:rsid w:val="00FC7B17"/>
    <w:rsid w:val="00FC7E38"/>
    <w:rsid w:val="00FD0833"/>
    <w:rsid w:val="00FD0D8A"/>
    <w:rsid w:val="00FD1246"/>
    <w:rsid w:val="00FD143C"/>
    <w:rsid w:val="00FD1FA9"/>
    <w:rsid w:val="00FD1FDA"/>
    <w:rsid w:val="00FD3619"/>
    <w:rsid w:val="00FD39C6"/>
    <w:rsid w:val="00FD39EB"/>
    <w:rsid w:val="00FD3FAB"/>
    <w:rsid w:val="00FD4244"/>
    <w:rsid w:val="00FD4360"/>
    <w:rsid w:val="00FD4BA5"/>
    <w:rsid w:val="00FD537F"/>
    <w:rsid w:val="00FD54BA"/>
    <w:rsid w:val="00FD5678"/>
    <w:rsid w:val="00FD577D"/>
    <w:rsid w:val="00FD57B4"/>
    <w:rsid w:val="00FD5829"/>
    <w:rsid w:val="00FD585F"/>
    <w:rsid w:val="00FD58BC"/>
    <w:rsid w:val="00FD5B32"/>
    <w:rsid w:val="00FD64D3"/>
    <w:rsid w:val="00FD7503"/>
    <w:rsid w:val="00FE12BA"/>
    <w:rsid w:val="00FE132C"/>
    <w:rsid w:val="00FE36A5"/>
    <w:rsid w:val="00FE3A86"/>
    <w:rsid w:val="00FE4589"/>
    <w:rsid w:val="00FE4D49"/>
    <w:rsid w:val="00FE4EA9"/>
    <w:rsid w:val="00FE568F"/>
    <w:rsid w:val="00FE5705"/>
    <w:rsid w:val="00FE59C0"/>
    <w:rsid w:val="00FE5DBE"/>
    <w:rsid w:val="00FE5E69"/>
    <w:rsid w:val="00FE6431"/>
    <w:rsid w:val="00FE6547"/>
    <w:rsid w:val="00FE6C9A"/>
    <w:rsid w:val="00FE704D"/>
    <w:rsid w:val="00FE748A"/>
    <w:rsid w:val="00FE79AF"/>
    <w:rsid w:val="00FE7E6E"/>
    <w:rsid w:val="00FF0C0F"/>
    <w:rsid w:val="00FF1271"/>
    <w:rsid w:val="00FF1752"/>
    <w:rsid w:val="00FF1AB2"/>
    <w:rsid w:val="00FF1BA8"/>
    <w:rsid w:val="00FF1E85"/>
    <w:rsid w:val="00FF1EDB"/>
    <w:rsid w:val="00FF2034"/>
    <w:rsid w:val="00FF2AB4"/>
    <w:rsid w:val="00FF3FB5"/>
    <w:rsid w:val="00FF415A"/>
    <w:rsid w:val="00FF4456"/>
    <w:rsid w:val="00FF44A4"/>
    <w:rsid w:val="00FF4535"/>
    <w:rsid w:val="00FF4A28"/>
    <w:rsid w:val="00FF5949"/>
    <w:rsid w:val="00FF59DE"/>
    <w:rsid w:val="00FF6444"/>
    <w:rsid w:val="00FF6D37"/>
    <w:rsid w:val="00FF7AD3"/>
    <w:rsid w:val="01137B7A"/>
    <w:rsid w:val="01141E0C"/>
    <w:rsid w:val="01286147"/>
    <w:rsid w:val="012E5092"/>
    <w:rsid w:val="013A6AA0"/>
    <w:rsid w:val="0159018C"/>
    <w:rsid w:val="0176597C"/>
    <w:rsid w:val="01866DDD"/>
    <w:rsid w:val="018D7812"/>
    <w:rsid w:val="01A131F9"/>
    <w:rsid w:val="01A328E7"/>
    <w:rsid w:val="01A45300"/>
    <w:rsid w:val="01C3088F"/>
    <w:rsid w:val="01C6078C"/>
    <w:rsid w:val="01CC575D"/>
    <w:rsid w:val="02016EF3"/>
    <w:rsid w:val="020C01C6"/>
    <w:rsid w:val="020F445B"/>
    <w:rsid w:val="021261B9"/>
    <w:rsid w:val="02275E54"/>
    <w:rsid w:val="022E2BFF"/>
    <w:rsid w:val="022F63C6"/>
    <w:rsid w:val="02396944"/>
    <w:rsid w:val="02433EBF"/>
    <w:rsid w:val="02644D51"/>
    <w:rsid w:val="029F691F"/>
    <w:rsid w:val="02BD0422"/>
    <w:rsid w:val="02DF007A"/>
    <w:rsid w:val="02EC5D31"/>
    <w:rsid w:val="02FA0BCA"/>
    <w:rsid w:val="03043B0D"/>
    <w:rsid w:val="031F49E0"/>
    <w:rsid w:val="033E6CB9"/>
    <w:rsid w:val="03450144"/>
    <w:rsid w:val="036678FB"/>
    <w:rsid w:val="03786FA2"/>
    <w:rsid w:val="0384410D"/>
    <w:rsid w:val="038D74FC"/>
    <w:rsid w:val="03906630"/>
    <w:rsid w:val="039614DE"/>
    <w:rsid w:val="03B33BAE"/>
    <w:rsid w:val="03C81760"/>
    <w:rsid w:val="03CF41B9"/>
    <w:rsid w:val="03E828E7"/>
    <w:rsid w:val="03E97DA1"/>
    <w:rsid w:val="03EC4650"/>
    <w:rsid w:val="04214B7B"/>
    <w:rsid w:val="04227BD6"/>
    <w:rsid w:val="04435524"/>
    <w:rsid w:val="044642C4"/>
    <w:rsid w:val="0450283F"/>
    <w:rsid w:val="04586844"/>
    <w:rsid w:val="04696876"/>
    <w:rsid w:val="049E1D3D"/>
    <w:rsid w:val="04A72456"/>
    <w:rsid w:val="04AC471C"/>
    <w:rsid w:val="04BF7295"/>
    <w:rsid w:val="04CE5388"/>
    <w:rsid w:val="04E16908"/>
    <w:rsid w:val="04E46AA5"/>
    <w:rsid w:val="04EA77F0"/>
    <w:rsid w:val="04EB6B0E"/>
    <w:rsid w:val="04F8328D"/>
    <w:rsid w:val="04FC4026"/>
    <w:rsid w:val="04FE5F81"/>
    <w:rsid w:val="05242307"/>
    <w:rsid w:val="05362BCB"/>
    <w:rsid w:val="05463B3E"/>
    <w:rsid w:val="0577342E"/>
    <w:rsid w:val="05873C5C"/>
    <w:rsid w:val="05A85A82"/>
    <w:rsid w:val="05AC2E48"/>
    <w:rsid w:val="05C8414F"/>
    <w:rsid w:val="05CD280D"/>
    <w:rsid w:val="05D16FB9"/>
    <w:rsid w:val="06183816"/>
    <w:rsid w:val="06381D15"/>
    <w:rsid w:val="063C1430"/>
    <w:rsid w:val="06414A9F"/>
    <w:rsid w:val="065706EB"/>
    <w:rsid w:val="066646E8"/>
    <w:rsid w:val="066A716B"/>
    <w:rsid w:val="067F0715"/>
    <w:rsid w:val="06AF5FB5"/>
    <w:rsid w:val="06B848B5"/>
    <w:rsid w:val="06BC0878"/>
    <w:rsid w:val="06CC494E"/>
    <w:rsid w:val="06CD36FE"/>
    <w:rsid w:val="06D179D4"/>
    <w:rsid w:val="06F260E0"/>
    <w:rsid w:val="06FE469C"/>
    <w:rsid w:val="070328A0"/>
    <w:rsid w:val="07281256"/>
    <w:rsid w:val="073101F8"/>
    <w:rsid w:val="073C39FE"/>
    <w:rsid w:val="0750592B"/>
    <w:rsid w:val="07535B86"/>
    <w:rsid w:val="076255E2"/>
    <w:rsid w:val="076505A4"/>
    <w:rsid w:val="07A64741"/>
    <w:rsid w:val="07B120A9"/>
    <w:rsid w:val="07C72049"/>
    <w:rsid w:val="07D146D0"/>
    <w:rsid w:val="07D61295"/>
    <w:rsid w:val="07E442DB"/>
    <w:rsid w:val="07F36FD0"/>
    <w:rsid w:val="07FE2A76"/>
    <w:rsid w:val="0800083D"/>
    <w:rsid w:val="081355C0"/>
    <w:rsid w:val="081B5749"/>
    <w:rsid w:val="083806D1"/>
    <w:rsid w:val="088C7F72"/>
    <w:rsid w:val="08907162"/>
    <w:rsid w:val="08B54210"/>
    <w:rsid w:val="08C43C5E"/>
    <w:rsid w:val="08CC008B"/>
    <w:rsid w:val="08D52A7E"/>
    <w:rsid w:val="08E13D47"/>
    <w:rsid w:val="09041009"/>
    <w:rsid w:val="090B35DE"/>
    <w:rsid w:val="09137B0D"/>
    <w:rsid w:val="09165BAA"/>
    <w:rsid w:val="091F128D"/>
    <w:rsid w:val="092E0B73"/>
    <w:rsid w:val="094E63B8"/>
    <w:rsid w:val="0961525E"/>
    <w:rsid w:val="09674AB6"/>
    <w:rsid w:val="09746409"/>
    <w:rsid w:val="097645A1"/>
    <w:rsid w:val="097A2519"/>
    <w:rsid w:val="0991635F"/>
    <w:rsid w:val="09960A7F"/>
    <w:rsid w:val="09A32E59"/>
    <w:rsid w:val="09B30950"/>
    <w:rsid w:val="09CB2766"/>
    <w:rsid w:val="09CD1434"/>
    <w:rsid w:val="09CE58D5"/>
    <w:rsid w:val="09D74800"/>
    <w:rsid w:val="0A4F1278"/>
    <w:rsid w:val="0A5B50CE"/>
    <w:rsid w:val="0A6A6B32"/>
    <w:rsid w:val="0A7614B6"/>
    <w:rsid w:val="0A867053"/>
    <w:rsid w:val="0AA3705D"/>
    <w:rsid w:val="0AC57AA9"/>
    <w:rsid w:val="0AC63FC3"/>
    <w:rsid w:val="0AE16EE5"/>
    <w:rsid w:val="0AE65928"/>
    <w:rsid w:val="0AED44BD"/>
    <w:rsid w:val="0AF03A51"/>
    <w:rsid w:val="0B317BD1"/>
    <w:rsid w:val="0B414DC2"/>
    <w:rsid w:val="0B5C3FAA"/>
    <w:rsid w:val="0B6D6A42"/>
    <w:rsid w:val="0B6F5E55"/>
    <w:rsid w:val="0B734DE4"/>
    <w:rsid w:val="0B870D40"/>
    <w:rsid w:val="0B8B4A42"/>
    <w:rsid w:val="0B93482E"/>
    <w:rsid w:val="0B973773"/>
    <w:rsid w:val="0B9D22E3"/>
    <w:rsid w:val="0BAB555F"/>
    <w:rsid w:val="0BCF4563"/>
    <w:rsid w:val="0BD51690"/>
    <w:rsid w:val="0BD54D2E"/>
    <w:rsid w:val="0BE05B65"/>
    <w:rsid w:val="0BE37FB0"/>
    <w:rsid w:val="0BED3507"/>
    <w:rsid w:val="0BF408CB"/>
    <w:rsid w:val="0C0E3BA0"/>
    <w:rsid w:val="0C127339"/>
    <w:rsid w:val="0C15583C"/>
    <w:rsid w:val="0C36032F"/>
    <w:rsid w:val="0C5D0DC4"/>
    <w:rsid w:val="0C830520"/>
    <w:rsid w:val="0C8D4A4E"/>
    <w:rsid w:val="0C9E0714"/>
    <w:rsid w:val="0CA233C3"/>
    <w:rsid w:val="0CA84364"/>
    <w:rsid w:val="0CAD6005"/>
    <w:rsid w:val="0CB542AC"/>
    <w:rsid w:val="0CCA3F09"/>
    <w:rsid w:val="0CCB349A"/>
    <w:rsid w:val="0CD169E5"/>
    <w:rsid w:val="0CE00EDA"/>
    <w:rsid w:val="0D210EAC"/>
    <w:rsid w:val="0D2C37A7"/>
    <w:rsid w:val="0D970714"/>
    <w:rsid w:val="0D9B296A"/>
    <w:rsid w:val="0DA26A64"/>
    <w:rsid w:val="0DAA25D6"/>
    <w:rsid w:val="0DB522D6"/>
    <w:rsid w:val="0DBA1FCB"/>
    <w:rsid w:val="0DE252CB"/>
    <w:rsid w:val="0DF97E8F"/>
    <w:rsid w:val="0E044DE6"/>
    <w:rsid w:val="0E324BB0"/>
    <w:rsid w:val="0E387EFF"/>
    <w:rsid w:val="0E4649B7"/>
    <w:rsid w:val="0E672CB4"/>
    <w:rsid w:val="0E7836AF"/>
    <w:rsid w:val="0E7F1958"/>
    <w:rsid w:val="0E8B2441"/>
    <w:rsid w:val="0E900941"/>
    <w:rsid w:val="0EAC69E8"/>
    <w:rsid w:val="0EE20F03"/>
    <w:rsid w:val="0EE90AB2"/>
    <w:rsid w:val="0EF747E8"/>
    <w:rsid w:val="0F024C15"/>
    <w:rsid w:val="0F135445"/>
    <w:rsid w:val="0F1B74A7"/>
    <w:rsid w:val="0F235DBF"/>
    <w:rsid w:val="0F2C6D1B"/>
    <w:rsid w:val="0F325E65"/>
    <w:rsid w:val="0F4D7FD8"/>
    <w:rsid w:val="0F872B99"/>
    <w:rsid w:val="0F8A192D"/>
    <w:rsid w:val="0FD32496"/>
    <w:rsid w:val="0FE507B2"/>
    <w:rsid w:val="10013BB9"/>
    <w:rsid w:val="10117B77"/>
    <w:rsid w:val="101E164D"/>
    <w:rsid w:val="102F150F"/>
    <w:rsid w:val="10343213"/>
    <w:rsid w:val="105F58FD"/>
    <w:rsid w:val="106A246F"/>
    <w:rsid w:val="106B51A1"/>
    <w:rsid w:val="107F2358"/>
    <w:rsid w:val="10910680"/>
    <w:rsid w:val="10950F3E"/>
    <w:rsid w:val="10BE16FB"/>
    <w:rsid w:val="10C50CE3"/>
    <w:rsid w:val="10C7685B"/>
    <w:rsid w:val="10EC08D2"/>
    <w:rsid w:val="114D34E6"/>
    <w:rsid w:val="11682F9E"/>
    <w:rsid w:val="11821B6C"/>
    <w:rsid w:val="119E2810"/>
    <w:rsid w:val="11AC612D"/>
    <w:rsid w:val="11BB6C08"/>
    <w:rsid w:val="11EA2A05"/>
    <w:rsid w:val="11EE33F4"/>
    <w:rsid w:val="12080F21"/>
    <w:rsid w:val="1259427B"/>
    <w:rsid w:val="12737D63"/>
    <w:rsid w:val="12795A17"/>
    <w:rsid w:val="1281439E"/>
    <w:rsid w:val="129945CC"/>
    <w:rsid w:val="129D56A4"/>
    <w:rsid w:val="13000A07"/>
    <w:rsid w:val="13081A54"/>
    <w:rsid w:val="13105F26"/>
    <w:rsid w:val="132C675C"/>
    <w:rsid w:val="13971527"/>
    <w:rsid w:val="13AB14F6"/>
    <w:rsid w:val="13C55BFA"/>
    <w:rsid w:val="13DB29B5"/>
    <w:rsid w:val="13DB5558"/>
    <w:rsid w:val="13E233BE"/>
    <w:rsid w:val="13FA298B"/>
    <w:rsid w:val="14107A72"/>
    <w:rsid w:val="141209AB"/>
    <w:rsid w:val="141C490A"/>
    <w:rsid w:val="1422243D"/>
    <w:rsid w:val="1428639A"/>
    <w:rsid w:val="142D3A8A"/>
    <w:rsid w:val="1439041F"/>
    <w:rsid w:val="145C28B8"/>
    <w:rsid w:val="145F1D06"/>
    <w:rsid w:val="14790E34"/>
    <w:rsid w:val="148E5FDE"/>
    <w:rsid w:val="14971D3F"/>
    <w:rsid w:val="14B45107"/>
    <w:rsid w:val="14BD6268"/>
    <w:rsid w:val="14D41580"/>
    <w:rsid w:val="14DA2292"/>
    <w:rsid w:val="14F83DA9"/>
    <w:rsid w:val="14FA0769"/>
    <w:rsid w:val="15037192"/>
    <w:rsid w:val="15190038"/>
    <w:rsid w:val="154E4F71"/>
    <w:rsid w:val="156612FE"/>
    <w:rsid w:val="156F16D7"/>
    <w:rsid w:val="15740AAB"/>
    <w:rsid w:val="157B30B2"/>
    <w:rsid w:val="15B23E28"/>
    <w:rsid w:val="15B91166"/>
    <w:rsid w:val="15BC44F5"/>
    <w:rsid w:val="15DA6357"/>
    <w:rsid w:val="15F441AC"/>
    <w:rsid w:val="16166FD8"/>
    <w:rsid w:val="161802E8"/>
    <w:rsid w:val="161C5EF6"/>
    <w:rsid w:val="16341782"/>
    <w:rsid w:val="165F22C7"/>
    <w:rsid w:val="166D46F4"/>
    <w:rsid w:val="16722A8A"/>
    <w:rsid w:val="16755BF4"/>
    <w:rsid w:val="167B4641"/>
    <w:rsid w:val="169827B3"/>
    <w:rsid w:val="16BE7783"/>
    <w:rsid w:val="16D117B1"/>
    <w:rsid w:val="16DB5001"/>
    <w:rsid w:val="16DD4681"/>
    <w:rsid w:val="16DE0B19"/>
    <w:rsid w:val="16E17B9B"/>
    <w:rsid w:val="16F62A14"/>
    <w:rsid w:val="16FD17D1"/>
    <w:rsid w:val="1706119C"/>
    <w:rsid w:val="170F6294"/>
    <w:rsid w:val="171D7096"/>
    <w:rsid w:val="17217991"/>
    <w:rsid w:val="173003B1"/>
    <w:rsid w:val="17346E63"/>
    <w:rsid w:val="174800ED"/>
    <w:rsid w:val="1767778E"/>
    <w:rsid w:val="177B0B38"/>
    <w:rsid w:val="178978E7"/>
    <w:rsid w:val="17EA77C5"/>
    <w:rsid w:val="17EF21A9"/>
    <w:rsid w:val="17F86B3B"/>
    <w:rsid w:val="180F4DE3"/>
    <w:rsid w:val="181334DD"/>
    <w:rsid w:val="18222F18"/>
    <w:rsid w:val="18452DD1"/>
    <w:rsid w:val="18502D35"/>
    <w:rsid w:val="185E3BD2"/>
    <w:rsid w:val="18756D64"/>
    <w:rsid w:val="187612A2"/>
    <w:rsid w:val="18CD7EC0"/>
    <w:rsid w:val="18E170EA"/>
    <w:rsid w:val="18EE2718"/>
    <w:rsid w:val="190322F1"/>
    <w:rsid w:val="192D0544"/>
    <w:rsid w:val="19323768"/>
    <w:rsid w:val="19335DF2"/>
    <w:rsid w:val="193F2738"/>
    <w:rsid w:val="193F36A3"/>
    <w:rsid w:val="195304EC"/>
    <w:rsid w:val="19B67632"/>
    <w:rsid w:val="19DE1DE2"/>
    <w:rsid w:val="1A1B229A"/>
    <w:rsid w:val="1A1E788C"/>
    <w:rsid w:val="1A542174"/>
    <w:rsid w:val="1A790650"/>
    <w:rsid w:val="1A8C2769"/>
    <w:rsid w:val="1A9333CB"/>
    <w:rsid w:val="1AA2797F"/>
    <w:rsid w:val="1AA81445"/>
    <w:rsid w:val="1AC21A83"/>
    <w:rsid w:val="1ACB1E8A"/>
    <w:rsid w:val="1AE84610"/>
    <w:rsid w:val="1AF07B8E"/>
    <w:rsid w:val="1B0E0045"/>
    <w:rsid w:val="1B1D5A4B"/>
    <w:rsid w:val="1B2422B2"/>
    <w:rsid w:val="1B307310"/>
    <w:rsid w:val="1B33036A"/>
    <w:rsid w:val="1B3B2499"/>
    <w:rsid w:val="1B43794B"/>
    <w:rsid w:val="1B55546A"/>
    <w:rsid w:val="1B765A54"/>
    <w:rsid w:val="1B7E612F"/>
    <w:rsid w:val="1B856DCC"/>
    <w:rsid w:val="1B8D4514"/>
    <w:rsid w:val="1B8F1237"/>
    <w:rsid w:val="1B973D91"/>
    <w:rsid w:val="1BDB006D"/>
    <w:rsid w:val="1BE17BD2"/>
    <w:rsid w:val="1BEC5A4F"/>
    <w:rsid w:val="1BEF77D9"/>
    <w:rsid w:val="1C1438E5"/>
    <w:rsid w:val="1C182505"/>
    <w:rsid w:val="1C1B25B3"/>
    <w:rsid w:val="1C412925"/>
    <w:rsid w:val="1C4C66C2"/>
    <w:rsid w:val="1CB36BBD"/>
    <w:rsid w:val="1CB67426"/>
    <w:rsid w:val="1CC3671E"/>
    <w:rsid w:val="1CCB7E26"/>
    <w:rsid w:val="1CE37DE4"/>
    <w:rsid w:val="1CEF0137"/>
    <w:rsid w:val="1CF44AF4"/>
    <w:rsid w:val="1CFA7112"/>
    <w:rsid w:val="1D0F279A"/>
    <w:rsid w:val="1D135DA0"/>
    <w:rsid w:val="1D1E2F73"/>
    <w:rsid w:val="1D3F7B9A"/>
    <w:rsid w:val="1D605312"/>
    <w:rsid w:val="1D6C5A39"/>
    <w:rsid w:val="1D942EC8"/>
    <w:rsid w:val="1DB27B59"/>
    <w:rsid w:val="1DC2769A"/>
    <w:rsid w:val="1DD0200E"/>
    <w:rsid w:val="1DF10008"/>
    <w:rsid w:val="1E565309"/>
    <w:rsid w:val="1EA35569"/>
    <w:rsid w:val="1EAC78F6"/>
    <w:rsid w:val="1EC86523"/>
    <w:rsid w:val="1ECF1FB6"/>
    <w:rsid w:val="1ED42D4A"/>
    <w:rsid w:val="1EE640C3"/>
    <w:rsid w:val="1EF11DD5"/>
    <w:rsid w:val="1EF42CC8"/>
    <w:rsid w:val="1F0C2AB5"/>
    <w:rsid w:val="1F0F7103"/>
    <w:rsid w:val="1F191301"/>
    <w:rsid w:val="1F1F2995"/>
    <w:rsid w:val="1F601A9B"/>
    <w:rsid w:val="1F684A89"/>
    <w:rsid w:val="1F6F47EC"/>
    <w:rsid w:val="1F7E5783"/>
    <w:rsid w:val="1F9D5838"/>
    <w:rsid w:val="1FA525D0"/>
    <w:rsid w:val="1FD27355"/>
    <w:rsid w:val="1FD92331"/>
    <w:rsid w:val="1FEA7F36"/>
    <w:rsid w:val="1FF15187"/>
    <w:rsid w:val="2005243E"/>
    <w:rsid w:val="200A142F"/>
    <w:rsid w:val="202C4AD9"/>
    <w:rsid w:val="20327EE6"/>
    <w:rsid w:val="20602B25"/>
    <w:rsid w:val="20685A18"/>
    <w:rsid w:val="20751C6B"/>
    <w:rsid w:val="207C1A5B"/>
    <w:rsid w:val="2093528B"/>
    <w:rsid w:val="20A32B0F"/>
    <w:rsid w:val="20D8553B"/>
    <w:rsid w:val="20DA576B"/>
    <w:rsid w:val="20EA014F"/>
    <w:rsid w:val="21034A27"/>
    <w:rsid w:val="213677EF"/>
    <w:rsid w:val="213C0AE2"/>
    <w:rsid w:val="213F2031"/>
    <w:rsid w:val="21524406"/>
    <w:rsid w:val="215327C5"/>
    <w:rsid w:val="215B6BF4"/>
    <w:rsid w:val="217D72E5"/>
    <w:rsid w:val="21950272"/>
    <w:rsid w:val="21A0453A"/>
    <w:rsid w:val="21A124FD"/>
    <w:rsid w:val="21A14996"/>
    <w:rsid w:val="21C60473"/>
    <w:rsid w:val="21CA79DE"/>
    <w:rsid w:val="21D671C3"/>
    <w:rsid w:val="220528AB"/>
    <w:rsid w:val="220A765C"/>
    <w:rsid w:val="222027BF"/>
    <w:rsid w:val="223A523B"/>
    <w:rsid w:val="2246442B"/>
    <w:rsid w:val="224C6C75"/>
    <w:rsid w:val="22597093"/>
    <w:rsid w:val="22772844"/>
    <w:rsid w:val="22933245"/>
    <w:rsid w:val="22C42035"/>
    <w:rsid w:val="22C71975"/>
    <w:rsid w:val="22F4659E"/>
    <w:rsid w:val="22FF3755"/>
    <w:rsid w:val="230166D6"/>
    <w:rsid w:val="232B572C"/>
    <w:rsid w:val="2339019D"/>
    <w:rsid w:val="23665953"/>
    <w:rsid w:val="237F4DDA"/>
    <w:rsid w:val="238C3EA9"/>
    <w:rsid w:val="238D6111"/>
    <w:rsid w:val="239A110A"/>
    <w:rsid w:val="23A37150"/>
    <w:rsid w:val="23D76EAA"/>
    <w:rsid w:val="23E90A6D"/>
    <w:rsid w:val="23F14070"/>
    <w:rsid w:val="240838DE"/>
    <w:rsid w:val="24264299"/>
    <w:rsid w:val="24285CD9"/>
    <w:rsid w:val="243663DA"/>
    <w:rsid w:val="243B44B3"/>
    <w:rsid w:val="24403118"/>
    <w:rsid w:val="24463D4E"/>
    <w:rsid w:val="24551B0C"/>
    <w:rsid w:val="248F3070"/>
    <w:rsid w:val="24BE644E"/>
    <w:rsid w:val="24BE6F6F"/>
    <w:rsid w:val="24CB5390"/>
    <w:rsid w:val="24D633A6"/>
    <w:rsid w:val="24D947DC"/>
    <w:rsid w:val="24DD0FEE"/>
    <w:rsid w:val="250310A8"/>
    <w:rsid w:val="25295740"/>
    <w:rsid w:val="2536269B"/>
    <w:rsid w:val="253C70E9"/>
    <w:rsid w:val="25560653"/>
    <w:rsid w:val="25595770"/>
    <w:rsid w:val="25A029DA"/>
    <w:rsid w:val="25B8144C"/>
    <w:rsid w:val="25C613E6"/>
    <w:rsid w:val="25CA32A5"/>
    <w:rsid w:val="25CC2CEC"/>
    <w:rsid w:val="25D2170B"/>
    <w:rsid w:val="25EB5C04"/>
    <w:rsid w:val="25F70700"/>
    <w:rsid w:val="25FD20F8"/>
    <w:rsid w:val="262D4E0D"/>
    <w:rsid w:val="26391F51"/>
    <w:rsid w:val="264D0C92"/>
    <w:rsid w:val="26583932"/>
    <w:rsid w:val="26601760"/>
    <w:rsid w:val="267269F0"/>
    <w:rsid w:val="26762207"/>
    <w:rsid w:val="268158F5"/>
    <w:rsid w:val="26966383"/>
    <w:rsid w:val="26B03B43"/>
    <w:rsid w:val="26ED45E0"/>
    <w:rsid w:val="27237FC4"/>
    <w:rsid w:val="27335F42"/>
    <w:rsid w:val="273E203B"/>
    <w:rsid w:val="274021D1"/>
    <w:rsid w:val="277C513C"/>
    <w:rsid w:val="27812951"/>
    <w:rsid w:val="27A63E6C"/>
    <w:rsid w:val="27AB6E7E"/>
    <w:rsid w:val="27AF4416"/>
    <w:rsid w:val="27B63292"/>
    <w:rsid w:val="27D12E4F"/>
    <w:rsid w:val="27E70586"/>
    <w:rsid w:val="28091607"/>
    <w:rsid w:val="282A3B51"/>
    <w:rsid w:val="282D33F9"/>
    <w:rsid w:val="285C05F3"/>
    <w:rsid w:val="285E70E3"/>
    <w:rsid w:val="286E273A"/>
    <w:rsid w:val="28743BC6"/>
    <w:rsid w:val="28822CA1"/>
    <w:rsid w:val="28B07A9E"/>
    <w:rsid w:val="28C7594A"/>
    <w:rsid w:val="28C766C3"/>
    <w:rsid w:val="29114684"/>
    <w:rsid w:val="292F620B"/>
    <w:rsid w:val="29437189"/>
    <w:rsid w:val="296926FF"/>
    <w:rsid w:val="299202A2"/>
    <w:rsid w:val="29AB54DD"/>
    <w:rsid w:val="29B82977"/>
    <w:rsid w:val="29B90AEB"/>
    <w:rsid w:val="29C132A8"/>
    <w:rsid w:val="29C91F3A"/>
    <w:rsid w:val="29CE50F4"/>
    <w:rsid w:val="29D30F12"/>
    <w:rsid w:val="29D52DAD"/>
    <w:rsid w:val="29E22B7E"/>
    <w:rsid w:val="29F228B5"/>
    <w:rsid w:val="2A252D66"/>
    <w:rsid w:val="2A3B3FF0"/>
    <w:rsid w:val="2A404EC6"/>
    <w:rsid w:val="2A412CD5"/>
    <w:rsid w:val="2A472F17"/>
    <w:rsid w:val="2A513DD2"/>
    <w:rsid w:val="2A62282D"/>
    <w:rsid w:val="2A6531F8"/>
    <w:rsid w:val="2A660730"/>
    <w:rsid w:val="2A866426"/>
    <w:rsid w:val="2AA87D25"/>
    <w:rsid w:val="2AC81D68"/>
    <w:rsid w:val="2ACA3199"/>
    <w:rsid w:val="2AEF7224"/>
    <w:rsid w:val="2B044CE8"/>
    <w:rsid w:val="2B0B1D85"/>
    <w:rsid w:val="2B394DA4"/>
    <w:rsid w:val="2B463444"/>
    <w:rsid w:val="2B4A37F4"/>
    <w:rsid w:val="2B524E29"/>
    <w:rsid w:val="2B6232F4"/>
    <w:rsid w:val="2B6437CE"/>
    <w:rsid w:val="2B9B4355"/>
    <w:rsid w:val="2BB661F9"/>
    <w:rsid w:val="2BB8116A"/>
    <w:rsid w:val="2BB8175E"/>
    <w:rsid w:val="2BC97B15"/>
    <w:rsid w:val="2BD832E7"/>
    <w:rsid w:val="2BFC5514"/>
    <w:rsid w:val="2C0D3D51"/>
    <w:rsid w:val="2C17091F"/>
    <w:rsid w:val="2C1B6C68"/>
    <w:rsid w:val="2C1D7DF5"/>
    <w:rsid w:val="2C4D2595"/>
    <w:rsid w:val="2C502225"/>
    <w:rsid w:val="2C53393B"/>
    <w:rsid w:val="2C920CAE"/>
    <w:rsid w:val="2C94615B"/>
    <w:rsid w:val="2CA46786"/>
    <w:rsid w:val="2CC36319"/>
    <w:rsid w:val="2CC7587A"/>
    <w:rsid w:val="2CD85907"/>
    <w:rsid w:val="2D011097"/>
    <w:rsid w:val="2D0D14BB"/>
    <w:rsid w:val="2D3B5364"/>
    <w:rsid w:val="2D3B66B3"/>
    <w:rsid w:val="2D823A09"/>
    <w:rsid w:val="2D8535B9"/>
    <w:rsid w:val="2D8E3ABA"/>
    <w:rsid w:val="2D8F66E6"/>
    <w:rsid w:val="2D9E2B7A"/>
    <w:rsid w:val="2DA32D77"/>
    <w:rsid w:val="2DBA2648"/>
    <w:rsid w:val="2DBA5CC2"/>
    <w:rsid w:val="2DC93416"/>
    <w:rsid w:val="2DD215B0"/>
    <w:rsid w:val="2DE33477"/>
    <w:rsid w:val="2DF65A14"/>
    <w:rsid w:val="2DF6698C"/>
    <w:rsid w:val="2E1924B3"/>
    <w:rsid w:val="2E214558"/>
    <w:rsid w:val="2E253759"/>
    <w:rsid w:val="2E2B56B7"/>
    <w:rsid w:val="2E374B5F"/>
    <w:rsid w:val="2E4C0B9C"/>
    <w:rsid w:val="2E7039EB"/>
    <w:rsid w:val="2E7A6D19"/>
    <w:rsid w:val="2E8520AC"/>
    <w:rsid w:val="2E9B0F89"/>
    <w:rsid w:val="2EB2727C"/>
    <w:rsid w:val="2EC8279A"/>
    <w:rsid w:val="2EED2890"/>
    <w:rsid w:val="2F056DC3"/>
    <w:rsid w:val="2F196393"/>
    <w:rsid w:val="2F200BC0"/>
    <w:rsid w:val="2F36454B"/>
    <w:rsid w:val="2F3B0280"/>
    <w:rsid w:val="2F6F1D35"/>
    <w:rsid w:val="2F777DA1"/>
    <w:rsid w:val="2F7F31BD"/>
    <w:rsid w:val="2F9F5DB6"/>
    <w:rsid w:val="2FB355E3"/>
    <w:rsid w:val="2FCE6AD4"/>
    <w:rsid w:val="2FD612A6"/>
    <w:rsid w:val="2FE86C34"/>
    <w:rsid w:val="30141A2D"/>
    <w:rsid w:val="3032115A"/>
    <w:rsid w:val="303D35BB"/>
    <w:rsid w:val="3060482B"/>
    <w:rsid w:val="306F26D9"/>
    <w:rsid w:val="307040FD"/>
    <w:rsid w:val="307813BC"/>
    <w:rsid w:val="308B05AD"/>
    <w:rsid w:val="3092227C"/>
    <w:rsid w:val="30960D40"/>
    <w:rsid w:val="30A9740C"/>
    <w:rsid w:val="30AD1C35"/>
    <w:rsid w:val="30AF2E9C"/>
    <w:rsid w:val="30B33AF1"/>
    <w:rsid w:val="30BD1956"/>
    <w:rsid w:val="30D17605"/>
    <w:rsid w:val="30DF1932"/>
    <w:rsid w:val="30DF1B72"/>
    <w:rsid w:val="312C293D"/>
    <w:rsid w:val="312C3F14"/>
    <w:rsid w:val="31370297"/>
    <w:rsid w:val="316C227C"/>
    <w:rsid w:val="318C2971"/>
    <w:rsid w:val="318C60E5"/>
    <w:rsid w:val="31A46EC5"/>
    <w:rsid w:val="31A7365C"/>
    <w:rsid w:val="31C06B3D"/>
    <w:rsid w:val="31C70BC4"/>
    <w:rsid w:val="31DA5E2F"/>
    <w:rsid w:val="31E7578D"/>
    <w:rsid w:val="31EF4C52"/>
    <w:rsid w:val="31FF2E9C"/>
    <w:rsid w:val="321110BF"/>
    <w:rsid w:val="322220F7"/>
    <w:rsid w:val="32227705"/>
    <w:rsid w:val="323B11D5"/>
    <w:rsid w:val="32425102"/>
    <w:rsid w:val="32706BD0"/>
    <w:rsid w:val="32802161"/>
    <w:rsid w:val="32844EBD"/>
    <w:rsid w:val="329B7D7C"/>
    <w:rsid w:val="32AA629A"/>
    <w:rsid w:val="32C92411"/>
    <w:rsid w:val="32D91335"/>
    <w:rsid w:val="333076C9"/>
    <w:rsid w:val="33326EB8"/>
    <w:rsid w:val="33347570"/>
    <w:rsid w:val="334B027F"/>
    <w:rsid w:val="334F6007"/>
    <w:rsid w:val="33520996"/>
    <w:rsid w:val="33553389"/>
    <w:rsid w:val="335C388E"/>
    <w:rsid w:val="336F199F"/>
    <w:rsid w:val="337D068A"/>
    <w:rsid w:val="338A221E"/>
    <w:rsid w:val="33963E6A"/>
    <w:rsid w:val="339D1C4E"/>
    <w:rsid w:val="33A338EF"/>
    <w:rsid w:val="33A36E98"/>
    <w:rsid w:val="33A57B55"/>
    <w:rsid w:val="33A977CC"/>
    <w:rsid w:val="33C25E71"/>
    <w:rsid w:val="33F40DDC"/>
    <w:rsid w:val="33FA7DF4"/>
    <w:rsid w:val="33FB52BD"/>
    <w:rsid w:val="340E2CF9"/>
    <w:rsid w:val="34132797"/>
    <w:rsid w:val="34250234"/>
    <w:rsid w:val="344F6DB4"/>
    <w:rsid w:val="34540DDD"/>
    <w:rsid w:val="34650982"/>
    <w:rsid w:val="348116B9"/>
    <w:rsid w:val="34962BA6"/>
    <w:rsid w:val="349B4C3D"/>
    <w:rsid w:val="34B847F3"/>
    <w:rsid w:val="35117680"/>
    <w:rsid w:val="3539061E"/>
    <w:rsid w:val="35433394"/>
    <w:rsid w:val="3584309B"/>
    <w:rsid w:val="35B430B3"/>
    <w:rsid w:val="35BF6479"/>
    <w:rsid w:val="35D12254"/>
    <w:rsid w:val="35DC319A"/>
    <w:rsid w:val="35E9671C"/>
    <w:rsid w:val="35F02023"/>
    <w:rsid w:val="36080C36"/>
    <w:rsid w:val="362A7968"/>
    <w:rsid w:val="365F5594"/>
    <w:rsid w:val="366235CA"/>
    <w:rsid w:val="366C0DC9"/>
    <w:rsid w:val="36702DFF"/>
    <w:rsid w:val="36837D4A"/>
    <w:rsid w:val="368A2F49"/>
    <w:rsid w:val="369406BA"/>
    <w:rsid w:val="36B36146"/>
    <w:rsid w:val="36B86AD6"/>
    <w:rsid w:val="36DE2516"/>
    <w:rsid w:val="36E63530"/>
    <w:rsid w:val="36EB3720"/>
    <w:rsid w:val="370C4CFF"/>
    <w:rsid w:val="371B46F3"/>
    <w:rsid w:val="3728695B"/>
    <w:rsid w:val="374A2F93"/>
    <w:rsid w:val="37645CDF"/>
    <w:rsid w:val="37667FF7"/>
    <w:rsid w:val="37712F91"/>
    <w:rsid w:val="378629BE"/>
    <w:rsid w:val="3788197B"/>
    <w:rsid w:val="37963B5F"/>
    <w:rsid w:val="379B196F"/>
    <w:rsid w:val="37A34E9A"/>
    <w:rsid w:val="37C359CC"/>
    <w:rsid w:val="37D4150E"/>
    <w:rsid w:val="37D46091"/>
    <w:rsid w:val="37D83F31"/>
    <w:rsid w:val="37E8522A"/>
    <w:rsid w:val="3807526B"/>
    <w:rsid w:val="38247D3B"/>
    <w:rsid w:val="383F1B5A"/>
    <w:rsid w:val="38601849"/>
    <w:rsid w:val="38614AF5"/>
    <w:rsid w:val="386470C8"/>
    <w:rsid w:val="386D20E7"/>
    <w:rsid w:val="38945B2D"/>
    <w:rsid w:val="389C0FD5"/>
    <w:rsid w:val="389F0627"/>
    <w:rsid w:val="38B82167"/>
    <w:rsid w:val="392A4C44"/>
    <w:rsid w:val="39334517"/>
    <w:rsid w:val="393441C8"/>
    <w:rsid w:val="39481CEF"/>
    <w:rsid w:val="395605F2"/>
    <w:rsid w:val="396C3B7B"/>
    <w:rsid w:val="39723BDA"/>
    <w:rsid w:val="397972CE"/>
    <w:rsid w:val="398E66D9"/>
    <w:rsid w:val="39916A36"/>
    <w:rsid w:val="39A41E32"/>
    <w:rsid w:val="39BB2722"/>
    <w:rsid w:val="39BC1061"/>
    <w:rsid w:val="39D34D00"/>
    <w:rsid w:val="39E15058"/>
    <w:rsid w:val="39EF2AD3"/>
    <w:rsid w:val="3A071ADA"/>
    <w:rsid w:val="3A135890"/>
    <w:rsid w:val="3A171BE7"/>
    <w:rsid w:val="3A3D426D"/>
    <w:rsid w:val="3A73506C"/>
    <w:rsid w:val="3A932027"/>
    <w:rsid w:val="3AB216AD"/>
    <w:rsid w:val="3ADD18B7"/>
    <w:rsid w:val="3AF54C05"/>
    <w:rsid w:val="3AFA084D"/>
    <w:rsid w:val="3B6A4419"/>
    <w:rsid w:val="3B72768C"/>
    <w:rsid w:val="3B88315D"/>
    <w:rsid w:val="3BB471A0"/>
    <w:rsid w:val="3BC335F3"/>
    <w:rsid w:val="3BEF56C4"/>
    <w:rsid w:val="3C022F0E"/>
    <w:rsid w:val="3C0F0010"/>
    <w:rsid w:val="3C1A4AF5"/>
    <w:rsid w:val="3C1C2592"/>
    <w:rsid w:val="3C545F06"/>
    <w:rsid w:val="3C6A1FD5"/>
    <w:rsid w:val="3C764DE5"/>
    <w:rsid w:val="3CA00347"/>
    <w:rsid w:val="3CC15C10"/>
    <w:rsid w:val="3CC274C3"/>
    <w:rsid w:val="3CDC23C8"/>
    <w:rsid w:val="3CED46BC"/>
    <w:rsid w:val="3D253429"/>
    <w:rsid w:val="3D441186"/>
    <w:rsid w:val="3D441931"/>
    <w:rsid w:val="3D694B52"/>
    <w:rsid w:val="3D6E1622"/>
    <w:rsid w:val="3D767517"/>
    <w:rsid w:val="3DA1008A"/>
    <w:rsid w:val="3DA14C1E"/>
    <w:rsid w:val="3DAB42F2"/>
    <w:rsid w:val="3DC008D3"/>
    <w:rsid w:val="3DD11250"/>
    <w:rsid w:val="3DDB3630"/>
    <w:rsid w:val="3E10264E"/>
    <w:rsid w:val="3E1C7F2A"/>
    <w:rsid w:val="3E2433BE"/>
    <w:rsid w:val="3E26249F"/>
    <w:rsid w:val="3E2E6C77"/>
    <w:rsid w:val="3E2F7B02"/>
    <w:rsid w:val="3E3B10B8"/>
    <w:rsid w:val="3E4D790C"/>
    <w:rsid w:val="3E642267"/>
    <w:rsid w:val="3E6B43BF"/>
    <w:rsid w:val="3E7E594B"/>
    <w:rsid w:val="3EA465D8"/>
    <w:rsid w:val="3EBB38BD"/>
    <w:rsid w:val="3EC31338"/>
    <w:rsid w:val="3ED03885"/>
    <w:rsid w:val="3ED347F5"/>
    <w:rsid w:val="3EE930E1"/>
    <w:rsid w:val="3EF86529"/>
    <w:rsid w:val="3F0C777D"/>
    <w:rsid w:val="3F272120"/>
    <w:rsid w:val="3F335DD0"/>
    <w:rsid w:val="3F722153"/>
    <w:rsid w:val="3F7E1591"/>
    <w:rsid w:val="3F932724"/>
    <w:rsid w:val="3FA13E4B"/>
    <w:rsid w:val="3FB2387F"/>
    <w:rsid w:val="3FF66AF8"/>
    <w:rsid w:val="401662DE"/>
    <w:rsid w:val="40622EEE"/>
    <w:rsid w:val="407B4F04"/>
    <w:rsid w:val="40D017FC"/>
    <w:rsid w:val="40DA4F40"/>
    <w:rsid w:val="40E81A99"/>
    <w:rsid w:val="40F07F4F"/>
    <w:rsid w:val="40F845CC"/>
    <w:rsid w:val="40FD5083"/>
    <w:rsid w:val="414304F1"/>
    <w:rsid w:val="414C140A"/>
    <w:rsid w:val="41650C38"/>
    <w:rsid w:val="41783283"/>
    <w:rsid w:val="418C37EF"/>
    <w:rsid w:val="4193386E"/>
    <w:rsid w:val="41AF5EBB"/>
    <w:rsid w:val="41AF798E"/>
    <w:rsid w:val="41B1686B"/>
    <w:rsid w:val="41C75031"/>
    <w:rsid w:val="41D545B6"/>
    <w:rsid w:val="42041D14"/>
    <w:rsid w:val="420D565B"/>
    <w:rsid w:val="42416BE8"/>
    <w:rsid w:val="42493CB2"/>
    <w:rsid w:val="424B7FDC"/>
    <w:rsid w:val="424C6B7D"/>
    <w:rsid w:val="425E43B4"/>
    <w:rsid w:val="42653078"/>
    <w:rsid w:val="426735C1"/>
    <w:rsid w:val="426B77FB"/>
    <w:rsid w:val="427020B4"/>
    <w:rsid w:val="42777CCE"/>
    <w:rsid w:val="428D3026"/>
    <w:rsid w:val="42902611"/>
    <w:rsid w:val="42B86C51"/>
    <w:rsid w:val="42EF5564"/>
    <w:rsid w:val="42F02527"/>
    <w:rsid w:val="43230C76"/>
    <w:rsid w:val="43321467"/>
    <w:rsid w:val="433B10BA"/>
    <w:rsid w:val="434240BD"/>
    <w:rsid w:val="43455610"/>
    <w:rsid w:val="434F021F"/>
    <w:rsid w:val="43843EA4"/>
    <w:rsid w:val="438717CC"/>
    <w:rsid w:val="43C34380"/>
    <w:rsid w:val="44121661"/>
    <w:rsid w:val="44134BD5"/>
    <w:rsid w:val="441F20EF"/>
    <w:rsid w:val="447D7BD6"/>
    <w:rsid w:val="448F506F"/>
    <w:rsid w:val="44E36F8C"/>
    <w:rsid w:val="44F42183"/>
    <w:rsid w:val="4507365A"/>
    <w:rsid w:val="4537451E"/>
    <w:rsid w:val="453E7ADB"/>
    <w:rsid w:val="456202E7"/>
    <w:rsid w:val="45663954"/>
    <w:rsid w:val="45704E13"/>
    <w:rsid w:val="45712C4A"/>
    <w:rsid w:val="458E2941"/>
    <w:rsid w:val="45A4106F"/>
    <w:rsid w:val="45D435E6"/>
    <w:rsid w:val="45DA1C38"/>
    <w:rsid w:val="45F057B3"/>
    <w:rsid w:val="45FE3198"/>
    <w:rsid w:val="460C6605"/>
    <w:rsid w:val="460E0CC9"/>
    <w:rsid w:val="461A1076"/>
    <w:rsid w:val="462D2BFE"/>
    <w:rsid w:val="462E1F3C"/>
    <w:rsid w:val="46372C3B"/>
    <w:rsid w:val="464C1E00"/>
    <w:rsid w:val="465D1B89"/>
    <w:rsid w:val="466D17CE"/>
    <w:rsid w:val="466F68B7"/>
    <w:rsid w:val="467631C1"/>
    <w:rsid w:val="46874055"/>
    <w:rsid w:val="46B16496"/>
    <w:rsid w:val="46C631A4"/>
    <w:rsid w:val="46D2228A"/>
    <w:rsid w:val="46F534FC"/>
    <w:rsid w:val="47251CD1"/>
    <w:rsid w:val="47257FC6"/>
    <w:rsid w:val="47271D95"/>
    <w:rsid w:val="472B119F"/>
    <w:rsid w:val="47416F9D"/>
    <w:rsid w:val="47421C2C"/>
    <w:rsid w:val="474D114F"/>
    <w:rsid w:val="476A7ECD"/>
    <w:rsid w:val="4772649E"/>
    <w:rsid w:val="478428D8"/>
    <w:rsid w:val="478E1E3F"/>
    <w:rsid w:val="479F7A4C"/>
    <w:rsid w:val="47D10EB0"/>
    <w:rsid w:val="47DA6175"/>
    <w:rsid w:val="47DE7852"/>
    <w:rsid w:val="47E24E9F"/>
    <w:rsid w:val="47E6636E"/>
    <w:rsid w:val="47E81270"/>
    <w:rsid w:val="47EF4A8B"/>
    <w:rsid w:val="480C53E9"/>
    <w:rsid w:val="48416A34"/>
    <w:rsid w:val="486216BE"/>
    <w:rsid w:val="486362B8"/>
    <w:rsid w:val="486E66F1"/>
    <w:rsid w:val="486F4E28"/>
    <w:rsid w:val="48802092"/>
    <w:rsid w:val="488A32F6"/>
    <w:rsid w:val="48B40BB5"/>
    <w:rsid w:val="48C71A49"/>
    <w:rsid w:val="48D976AA"/>
    <w:rsid w:val="48F55A8F"/>
    <w:rsid w:val="48FE5F8D"/>
    <w:rsid w:val="491F0A96"/>
    <w:rsid w:val="492122CA"/>
    <w:rsid w:val="492C02E0"/>
    <w:rsid w:val="495E0542"/>
    <w:rsid w:val="495F6491"/>
    <w:rsid w:val="49632EF1"/>
    <w:rsid w:val="49660616"/>
    <w:rsid w:val="496B0388"/>
    <w:rsid w:val="496B655A"/>
    <w:rsid w:val="49765F1C"/>
    <w:rsid w:val="499F26E2"/>
    <w:rsid w:val="49A04A10"/>
    <w:rsid w:val="49A913C4"/>
    <w:rsid w:val="49D149F8"/>
    <w:rsid w:val="49E741A1"/>
    <w:rsid w:val="49FE2A39"/>
    <w:rsid w:val="4A044323"/>
    <w:rsid w:val="4A1511C7"/>
    <w:rsid w:val="4A2E4992"/>
    <w:rsid w:val="4A43397D"/>
    <w:rsid w:val="4A6E6DB0"/>
    <w:rsid w:val="4A91544E"/>
    <w:rsid w:val="4A9721E2"/>
    <w:rsid w:val="4A9934FF"/>
    <w:rsid w:val="4AAE054E"/>
    <w:rsid w:val="4AB11FC5"/>
    <w:rsid w:val="4ABF5A66"/>
    <w:rsid w:val="4ACF22CE"/>
    <w:rsid w:val="4AEA75FF"/>
    <w:rsid w:val="4B292BD4"/>
    <w:rsid w:val="4B351A91"/>
    <w:rsid w:val="4B3E4DBE"/>
    <w:rsid w:val="4B454148"/>
    <w:rsid w:val="4B596461"/>
    <w:rsid w:val="4B6B1421"/>
    <w:rsid w:val="4B856FD4"/>
    <w:rsid w:val="4B927F08"/>
    <w:rsid w:val="4B9C677B"/>
    <w:rsid w:val="4BA05763"/>
    <w:rsid w:val="4BA705E2"/>
    <w:rsid w:val="4BCF600F"/>
    <w:rsid w:val="4BD44F80"/>
    <w:rsid w:val="4BD80CD7"/>
    <w:rsid w:val="4BE06E1E"/>
    <w:rsid w:val="4C004791"/>
    <w:rsid w:val="4C006845"/>
    <w:rsid w:val="4C165CA7"/>
    <w:rsid w:val="4C1733BC"/>
    <w:rsid w:val="4C423E3C"/>
    <w:rsid w:val="4C456892"/>
    <w:rsid w:val="4C542964"/>
    <w:rsid w:val="4C5667C5"/>
    <w:rsid w:val="4C816D31"/>
    <w:rsid w:val="4C886E66"/>
    <w:rsid w:val="4C9277D3"/>
    <w:rsid w:val="4C961DD5"/>
    <w:rsid w:val="4C9D5ABA"/>
    <w:rsid w:val="4CA74262"/>
    <w:rsid w:val="4CD24962"/>
    <w:rsid w:val="4CE53A6F"/>
    <w:rsid w:val="4CEC16B8"/>
    <w:rsid w:val="4CEC455F"/>
    <w:rsid w:val="4CFA4CFB"/>
    <w:rsid w:val="4D0203C8"/>
    <w:rsid w:val="4D041D41"/>
    <w:rsid w:val="4D1B12A5"/>
    <w:rsid w:val="4D2A5BE8"/>
    <w:rsid w:val="4D3B1B58"/>
    <w:rsid w:val="4D4950B2"/>
    <w:rsid w:val="4D555E79"/>
    <w:rsid w:val="4D63471F"/>
    <w:rsid w:val="4D8703F9"/>
    <w:rsid w:val="4D896E52"/>
    <w:rsid w:val="4D996C57"/>
    <w:rsid w:val="4DE50320"/>
    <w:rsid w:val="4DED183A"/>
    <w:rsid w:val="4E463431"/>
    <w:rsid w:val="4E82053C"/>
    <w:rsid w:val="4E881C55"/>
    <w:rsid w:val="4E9C3672"/>
    <w:rsid w:val="4EAE1E4B"/>
    <w:rsid w:val="4EC91BF5"/>
    <w:rsid w:val="4ECE37A7"/>
    <w:rsid w:val="4ED35B2F"/>
    <w:rsid w:val="4ED634C3"/>
    <w:rsid w:val="4EDF4F57"/>
    <w:rsid w:val="4EF44DAF"/>
    <w:rsid w:val="4F0367C1"/>
    <w:rsid w:val="4F0E4A28"/>
    <w:rsid w:val="4F11134C"/>
    <w:rsid w:val="4F32162F"/>
    <w:rsid w:val="4F403F3E"/>
    <w:rsid w:val="4F696AAC"/>
    <w:rsid w:val="4F88604B"/>
    <w:rsid w:val="4F8A31C1"/>
    <w:rsid w:val="4F8D2CF6"/>
    <w:rsid w:val="4FD25C8F"/>
    <w:rsid w:val="4FE34005"/>
    <w:rsid w:val="4FED6CB8"/>
    <w:rsid w:val="500820F0"/>
    <w:rsid w:val="500C4084"/>
    <w:rsid w:val="500E2ACA"/>
    <w:rsid w:val="5010285E"/>
    <w:rsid w:val="501150EE"/>
    <w:rsid w:val="501B4A63"/>
    <w:rsid w:val="50265DD7"/>
    <w:rsid w:val="5031487B"/>
    <w:rsid w:val="506662CE"/>
    <w:rsid w:val="506D21AF"/>
    <w:rsid w:val="508A4CF3"/>
    <w:rsid w:val="50AF6757"/>
    <w:rsid w:val="50D47988"/>
    <w:rsid w:val="50E53171"/>
    <w:rsid w:val="50E62F76"/>
    <w:rsid w:val="50F20217"/>
    <w:rsid w:val="50F61048"/>
    <w:rsid w:val="50FB25DA"/>
    <w:rsid w:val="51134CB0"/>
    <w:rsid w:val="512B1F26"/>
    <w:rsid w:val="514077F3"/>
    <w:rsid w:val="51495646"/>
    <w:rsid w:val="51504249"/>
    <w:rsid w:val="51706346"/>
    <w:rsid w:val="519038CE"/>
    <w:rsid w:val="519F1A93"/>
    <w:rsid w:val="51D57A8F"/>
    <w:rsid w:val="51FC1A10"/>
    <w:rsid w:val="520E73A6"/>
    <w:rsid w:val="52163618"/>
    <w:rsid w:val="52320CB4"/>
    <w:rsid w:val="5247607F"/>
    <w:rsid w:val="52635218"/>
    <w:rsid w:val="5281236E"/>
    <w:rsid w:val="52A13D59"/>
    <w:rsid w:val="52C05C2D"/>
    <w:rsid w:val="52D73E13"/>
    <w:rsid w:val="52DF3558"/>
    <w:rsid w:val="52E72329"/>
    <w:rsid w:val="52EB2B90"/>
    <w:rsid w:val="52EF333B"/>
    <w:rsid w:val="53281363"/>
    <w:rsid w:val="53417080"/>
    <w:rsid w:val="534E45C6"/>
    <w:rsid w:val="53604111"/>
    <w:rsid w:val="53620D3A"/>
    <w:rsid w:val="536E1E30"/>
    <w:rsid w:val="536F5658"/>
    <w:rsid w:val="53852EA1"/>
    <w:rsid w:val="538639FF"/>
    <w:rsid w:val="539516EE"/>
    <w:rsid w:val="53967524"/>
    <w:rsid w:val="539E7240"/>
    <w:rsid w:val="53A541B2"/>
    <w:rsid w:val="53A55A79"/>
    <w:rsid w:val="53AD11CE"/>
    <w:rsid w:val="53DD751C"/>
    <w:rsid w:val="5401499B"/>
    <w:rsid w:val="540215D9"/>
    <w:rsid w:val="541967C0"/>
    <w:rsid w:val="5431472F"/>
    <w:rsid w:val="546527A6"/>
    <w:rsid w:val="547028FB"/>
    <w:rsid w:val="5471291B"/>
    <w:rsid w:val="547573D4"/>
    <w:rsid w:val="54B525BD"/>
    <w:rsid w:val="54C86E5F"/>
    <w:rsid w:val="54DC44DC"/>
    <w:rsid w:val="54F07ED5"/>
    <w:rsid w:val="55031EDB"/>
    <w:rsid w:val="550C7B31"/>
    <w:rsid w:val="55153549"/>
    <w:rsid w:val="551751BC"/>
    <w:rsid w:val="55180317"/>
    <w:rsid w:val="551B638F"/>
    <w:rsid w:val="55243794"/>
    <w:rsid w:val="552616C7"/>
    <w:rsid w:val="552C0BC5"/>
    <w:rsid w:val="552D0939"/>
    <w:rsid w:val="55462075"/>
    <w:rsid w:val="55743B75"/>
    <w:rsid w:val="55926936"/>
    <w:rsid w:val="559D1EC2"/>
    <w:rsid w:val="55B21C99"/>
    <w:rsid w:val="55CA5A09"/>
    <w:rsid w:val="56006F31"/>
    <w:rsid w:val="560A51E3"/>
    <w:rsid w:val="561178E5"/>
    <w:rsid w:val="56231546"/>
    <w:rsid w:val="562D6C91"/>
    <w:rsid w:val="563C6894"/>
    <w:rsid w:val="56440C83"/>
    <w:rsid w:val="5655704B"/>
    <w:rsid w:val="567B499D"/>
    <w:rsid w:val="56847255"/>
    <w:rsid w:val="569B1D61"/>
    <w:rsid w:val="56E5239C"/>
    <w:rsid w:val="57162E5B"/>
    <w:rsid w:val="57362525"/>
    <w:rsid w:val="57625444"/>
    <w:rsid w:val="577F7F0E"/>
    <w:rsid w:val="57863810"/>
    <w:rsid w:val="57983B85"/>
    <w:rsid w:val="57B54684"/>
    <w:rsid w:val="57BE2226"/>
    <w:rsid w:val="57DE2289"/>
    <w:rsid w:val="57EE6A87"/>
    <w:rsid w:val="57F86F69"/>
    <w:rsid w:val="57FB2DA2"/>
    <w:rsid w:val="57FD0139"/>
    <w:rsid w:val="58204BB6"/>
    <w:rsid w:val="582829D3"/>
    <w:rsid w:val="58390D47"/>
    <w:rsid w:val="584038F8"/>
    <w:rsid w:val="58482201"/>
    <w:rsid w:val="5849116A"/>
    <w:rsid w:val="58564466"/>
    <w:rsid w:val="58644F75"/>
    <w:rsid w:val="586E1034"/>
    <w:rsid w:val="587D311C"/>
    <w:rsid w:val="589C7F7B"/>
    <w:rsid w:val="58AB0138"/>
    <w:rsid w:val="58B222F3"/>
    <w:rsid w:val="58B42175"/>
    <w:rsid w:val="58EC6279"/>
    <w:rsid w:val="592C6904"/>
    <w:rsid w:val="59353BC3"/>
    <w:rsid w:val="5938610E"/>
    <w:rsid w:val="593D4820"/>
    <w:rsid w:val="59427B95"/>
    <w:rsid w:val="5971093D"/>
    <w:rsid w:val="597A5AA3"/>
    <w:rsid w:val="5992272C"/>
    <w:rsid w:val="59925219"/>
    <w:rsid w:val="59961C7C"/>
    <w:rsid w:val="59A3206A"/>
    <w:rsid w:val="59B7165F"/>
    <w:rsid w:val="59C14701"/>
    <w:rsid w:val="59D66535"/>
    <w:rsid w:val="59E75837"/>
    <w:rsid w:val="59F402FA"/>
    <w:rsid w:val="59FE2F8C"/>
    <w:rsid w:val="5A1800DB"/>
    <w:rsid w:val="5A256253"/>
    <w:rsid w:val="5A3C4EEA"/>
    <w:rsid w:val="5A4305A3"/>
    <w:rsid w:val="5A561DF5"/>
    <w:rsid w:val="5A6F630F"/>
    <w:rsid w:val="5A7876A0"/>
    <w:rsid w:val="5AAB5788"/>
    <w:rsid w:val="5AC33725"/>
    <w:rsid w:val="5AC70B78"/>
    <w:rsid w:val="5AE65C14"/>
    <w:rsid w:val="5AE879F2"/>
    <w:rsid w:val="5AEE00F0"/>
    <w:rsid w:val="5AF24741"/>
    <w:rsid w:val="5B0702D8"/>
    <w:rsid w:val="5B1321F6"/>
    <w:rsid w:val="5B151386"/>
    <w:rsid w:val="5B154B4D"/>
    <w:rsid w:val="5B183B71"/>
    <w:rsid w:val="5B2F044E"/>
    <w:rsid w:val="5B3770B4"/>
    <w:rsid w:val="5B5156A9"/>
    <w:rsid w:val="5B55520E"/>
    <w:rsid w:val="5B5831FD"/>
    <w:rsid w:val="5B5D5C64"/>
    <w:rsid w:val="5B704613"/>
    <w:rsid w:val="5B911E40"/>
    <w:rsid w:val="5BA36083"/>
    <w:rsid w:val="5BA44F8E"/>
    <w:rsid w:val="5BE20640"/>
    <w:rsid w:val="5BEB64F1"/>
    <w:rsid w:val="5BF61570"/>
    <w:rsid w:val="5BF80F9C"/>
    <w:rsid w:val="5BFC6360"/>
    <w:rsid w:val="5C285ADF"/>
    <w:rsid w:val="5C2D7223"/>
    <w:rsid w:val="5C461399"/>
    <w:rsid w:val="5C895323"/>
    <w:rsid w:val="5C8A2035"/>
    <w:rsid w:val="5C8F0ED6"/>
    <w:rsid w:val="5C9A3425"/>
    <w:rsid w:val="5C9A7E57"/>
    <w:rsid w:val="5CBB3E94"/>
    <w:rsid w:val="5CBD74BE"/>
    <w:rsid w:val="5CD040EF"/>
    <w:rsid w:val="5CD35F15"/>
    <w:rsid w:val="5CEF7492"/>
    <w:rsid w:val="5D3A71AF"/>
    <w:rsid w:val="5D543F6F"/>
    <w:rsid w:val="5D592DE4"/>
    <w:rsid w:val="5D5B4213"/>
    <w:rsid w:val="5D8D4267"/>
    <w:rsid w:val="5D935B2F"/>
    <w:rsid w:val="5DBF0B4D"/>
    <w:rsid w:val="5DCB064E"/>
    <w:rsid w:val="5DDA281B"/>
    <w:rsid w:val="5DE710B0"/>
    <w:rsid w:val="5DED1324"/>
    <w:rsid w:val="5DEE0418"/>
    <w:rsid w:val="5E002CA0"/>
    <w:rsid w:val="5E140E90"/>
    <w:rsid w:val="5E2E78FF"/>
    <w:rsid w:val="5E41349D"/>
    <w:rsid w:val="5E925370"/>
    <w:rsid w:val="5E9F4617"/>
    <w:rsid w:val="5EA0220B"/>
    <w:rsid w:val="5EA044AC"/>
    <w:rsid w:val="5EE22C0E"/>
    <w:rsid w:val="5F01547C"/>
    <w:rsid w:val="5F13269B"/>
    <w:rsid w:val="5F1C18D6"/>
    <w:rsid w:val="5F2B27D9"/>
    <w:rsid w:val="5F3C2A8E"/>
    <w:rsid w:val="5F5620D3"/>
    <w:rsid w:val="5F587C60"/>
    <w:rsid w:val="5F7B3B7D"/>
    <w:rsid w:val="5F8D5AF9"/>
    <w:rsid w:val="5F8F2BD3"/>
    <w:rsid w:val="5FA652E4"/>
    <w:rsid w:val="6007073F"/>
    <w:rsid w:val="60220CDB"/>
    <w:rsid w:val="603374DF"/>
    <w:rsid w:val="605B253B"/>
    <w:rsid w:val="60761144"/>
    <w:rsid w:val="607B1BA3"/>
    <w:rsid w:val="607F4DC3"/>
    <w:rsid w:val="608F32AB"/>
    <w:rsid w:val="609545D7"/>
    <w:rsid w:val="60A45536"/>
    <w:rsid w:val="60A9717F"/>
    <w:rsid w:val="60B27545"/>
    <w:rsid w:val="60B91EAF"/>
    <w:rsid w:val="60CB79E0"/>
    <w:rsid w:val="60CC73D3"/>
    <w:rsid w:val="60D20472"/>
    <w:rsid w:val="60F122F5"/>
    <w:rsid w:val="610E0FCB"/>
    <w:rsid w:val="610F6315"/>
    <w:rsid w:val="61216D27"/>
    <w:rsid w:val="614E1A40"/>
    <w:rsid w:val="616540C4"/>
    <w:rsid w:val="617473F1"/>
    <w:rsid w:val="617F10B9"/>
    <w:rsid w:val="618B37A2"/>
    <w:rsid w:val="619C20BC"/>
    <w:rsid w:val="61AC3B9B"/>
    <w:rsid w:val="61CC55A4"/>
    <w:rsid w:val="61DE6916"/>
    <w:rsid w:val="61F36F98"/>
    <w:rsid w:val="623177D3"/>
    <w:rsid w:val="62401A7E"/>
    <w:rsid w:val="624B6D57"/>
    <w:rsid w:val="62502C1A"/>
    <w:rsid w:val="625E3306"/>
    <w:rsid w:val="626A7EF2"/>
    <w:rsid w:val="626B35C0"/>
    <w:rsid w:val="62932061"/>
    <w:rsid w:val="62AB6022"/>
    <w:rsid w:val="62B2796E"/>
    <w:rsid w:val="62D67C74"/>
    <w:rsid w:val="62DA775D"/>
    <w:rsid w:val="62E930C9"/>
    <w:rsid w:val="62EA6C61"/>
    <w:rsid w:val="63227AA7"/>
    <w:rsid w:val="63396FDF"/>
    <w:rsid w:val="63463C21"/>
    <w:rsid w:val="63833631"/>
    <w:rsid w:val="638604AC"/>
    <w:rsid w:val="639A3869"/>
    <w:rsid w:val="63AC30A7"/>
    <w:rsid w:val="63B307EE"/>
    <w:rsid w:val="63C26A9F"/>
    <w:rsid w:val="63C80D37"/>
    <w:rsid w:val="63D21323"/>
    <w:rsid w:val="63D7201A"/>
    <w:rsid w:val="63DD2821"/>
    <w:rsid w:val="63E6548A"/>
    <w:rsid w:val="63FB12E7"/>
    <w:rsid w:val="64000950"/>
    <w:rsid w:val="644C0397"/>
    <w:rsid w:val="645E6B31"/>
    <w:rsid w:val="646144FC"/>
    <w:rsid w:val="646B77AA"/>
    <w:rsid w:val="646E7DCC"/>
    <w:rsid w:val="648A2653"/>
    <w:rsid w:val="648D30CD"/>
    <w:rsid w:val="64980ADB"/>
    <w:rsid w:val="64B34B75"/>
    <w:rsid w:val="64B93A00"/>
    <w:rsid w:val="64BF6FF4"/>
    <w:rsid w:val="64C0759D"/>
    <w:rsid w:val="64C93785"/>
    <w:rsid w:val="64D32D3D"/>
    <w:rsid w:val="65056B81"/>
    <w:rsid w:val="651D099E"/>
    <w:rsid w:val="653D1AD1"/>
    <w:rsid w:val="653D6849"/>
    <w:rsid w:val="65426AC4"/>
    <w:rsid w:val="65455054"/>
    <w:rsid w:val="65580CC2"/>
    <w:rsid w:val="65A963A0"/>
    <w:rsid w:val="65BD15BD"/>
    <w:rsid w:val="65EB735E"/>
    <w:rsid w:val="65EE5C3B"/>
    <w:rsid w:val="6627495F"/>
    <w:rsid w:val="6638417E"/>
    <w:rsid w:val="665E4856"/>
    <w:rsid w:val="66640CD3"/>
    <w:rsid w:val="666F623D"/>
    <w:rsid w:val="667873B5"/>
    <w:rsid w:val="668928EB"/>
    <w:rsid w:val="669C7A69"/>
    <w:rsid w:val="66A71F93"/>
    <w:rsid w:val="66AC2ABD"/>
    <w:rsid w:val="66CA5008"/>
    <w:rsid w:val="66D87885"/>
    <w:rsid w:val="66EB2372"/>
    <w:rsid w:val="66EF7B8A"/>
    <w:rsid w:val="670C32D8"/>
    <w:rsid w:val="671A7B1A"/>
    <w:rsid w:val="67474E23"/>
    <w:rsid w:val="678220AF"/>
    <w:rsid w:val="678F2056"/>
    <w:rsid w:val="67A42064"/>
    <w:rsid w:val="67F36613"/>
    <w:rsid w:val="68101DA3"/>
    <w:rsid w:val="68234F04"/>
    <w:rsid w:val="68355FFB"/>
    <w:rsid w:val="683668DC"/>
    <w:rsid w:val="683B4854"/>
    <w:rsid w:val="685E7511"/>
    <w:rsid w:val="6868163A"/>
    <w:rsid w:val="68857429"/>
    <w:rsid w:val="68BC3726"/>
    <w:rsid w:val="68C678C1"/>
    <w:rsid w:val="68E57E69"/>
    <w:rsid w:val="68EB7C75"/>
    <w:rsid w:val="68F01F9D"/>
    <w:rsid w:val="690D4498"/>
    <w:rsid w:val="692F1887"/>
    <w:rsid w:val="6942219E"/>
    <w:rsid w:val="69874980"/>
    <w:rsid w:val="69911464"/>
    <w:rsid w:val="69967439"/>
    <w:rsid w:val="69A577BE"/>
    <w:rsid w:val="69AC5087"/>
    <w:rsid w:val="69C3355F"/>
    <w:rsid w:val="69CC3386"/>
    <w:rsid w:val="69D80594"/>
    <w:rsid w:val="6A1554EA"/>
    <w:rsid w:val="6A197406"/>
    <w:rsid w:val="6A3773F4"/>
    <w:rsid w:val="6A3830A7"/>
    <w:rsid w:val="6A407D5D"/>
    <w:rsid w:val="6A466B6F"/>
    <w:rsid w:val="6A4809D0"/>
    <w:rsid w:val="6A697482"/>
    <w:rsid w:val="6A9C7E2A"/>
    <w:rsid w:val="6AB04CE9"/>
    <w:rsid w:val="6AC001CE"/>
    <w:rsid w:val="6AC07954"/>
    <w:rsid w:val="6AC41383"/>
    <w:rsid w:val="6AE775B9"/>
    <w:rsid w:val="6AF92F8B"/>
    <w:rsid w:val="6B227C41"/>
    <w:rsid w:val="6B4D758F"/>
    <w:rsid w:val="6B520DED"/>
    <w:rsid w:val="6B902D3F"/>
    <w:rsid w:val="6B9A5DA3"/>
    <w:rsid w:val="6BA46D77"/>
    <w:rsid w:val="6BB05D6C"/>
    <w:rsid w:val="6BBC78FE"/>
    <w:rsid w:val="6BC522F8"/>
    <w:rsid w:val="6BD94FFA"/>
    <w:rsid w:val="6BEB696C"/>
    <w:rsid w:val="6C1A7175"/>
    <w:rsid w:val="6C1C3585"/>
    <w:rsid w:val="6C290156"/>
    <w:rsid w:val="6C2B56B3"/>
    <w:rsid w:val="6C5D4A6F"/>
    <w:rsid w:val="6C693273"/>
    <w:rsid w:val="6C81377A"/>
    <w:rsid w:val="6CE37E0E"/>
    <w:rsid w:val="6CE51F16"/>
    <w:rsid w:val="6CF064CB"/>
    <w:rsid w:val="6CF074A0"/>
    <w:rsid w:val="6D14573E"/>
    <w:rsid w:val="6D292E14"/>
    <w:rsid w:val="6D3256E6"/>
    <w:rsid w:val="6D4F53F3"/>
    <w:rsid w:val="6D6C0CDB"/>
    <w:rsid w:val="6D8A1458"/>
    <w:rsid w:val="6D8B6C83"/>
    <w:rsid w:val="6D927F37"/>
    <w:rsid w:val="6D9C6B75"/>
    <w:rsid w:val="6DB84CFB"/>
    <w:rsid w:val="6DE43720"/>
    <w:rsid w:val="6DF364EB"/>
    <w:rsid w:val="6DFB26D3"/>
    <w:rsid w:val="6E1F5EAD"/>
    <w:rsid w:val="6E290CB2"/>
    <w:rsid w:val="6E32242B"/>
    <w:rsid w:val="6E542B0C"/>
    <w:rsid w:val="6E547099"/>
    <w:rsid w:val="6E6D2EFD"/>
    <w:rsid w:val="6E8D2137"/>
    <w:rsid w:val="6E9E4D66"/>
    <w:rsid w:val="6EA45F87"/>
    <w:rsid w:val="6EA53812"/>
    <w:rsid w:val="6EBA22E8"/>
    <w:rsid w:val="6ECC5655"/>
    <w:rsid w:val="6EDC4A71"/>
    <w:rsid w:val="6EDD3ABE"/>
    <w:rsid w:val="6EDF0424"/>
    <w:rsid w:val="6EE30AD4"/>
    <w:rsid w:val="6EF52D8A"/>
    <w:rsid w:val="6F2729DD"/>
    <w:rsid w:val="6F463BF7"/>
    <w:rsid w:val="6F6C12EA"/>
    <w:rsid w:val="6F6F64AE"/>
    <w:rsid w:val="6F843575"/>
    <w:rsid w:val="6F8E5447"/>
    <w:rsid w:val="6F9845BD"/>
    <w:rsid w:val="6FA626C5"/>
    <w:rsid w:val="6FAF4776"/>
    <w:rsid w:val="6FB4579B"/>
    <w:rsid w:val="6FCA2804"/>
    <w:rsid w:val="6FCE0517"/>
    <w:rsid w:val="6FE8402D"/>
    <w:rsid w:val="6FF54764"/>
    <w:rsid w:val="70012724"/>
    <w:rsid w:val="70280C7D"/>
    <w:rsid w:val="702E0C85"/>
    <w:rsid w:val="703A55FD"/>
    <w:rsid w:val="70453927"/>
    <w:rsid w:val="70531440"/>
    <w:rsid w:val="708C14B5"/>
    <w:rsid w:val="70E93EB7"/>
    <w:rsid w:val="71030586"/>
    <w:rsid w:val="71142B2B"/>
    <w:rsid w:val="711C7C76"/>
    <w:rsid w:val="713C2533"/>
    <w:rsid w:val="713D7B88"/>
    <w:rsid w:val="71583238"/>
    <w:rsid w:val="71677DF0"/>
    <w:rsid w:val="719106AA"/>
    <w:rsid w:val="719976F3"/>
    <w:rsid w:val="71C12515"/>
    <w:rsid w:val="71CA1863"/>
    <w:rsid w:val="71D1142C"/>
    <w:rsid w:val="71E1411D"/>
    <w:rsid w:val="71F443F6"/>
    <w:rsid w:val="71F579DA"/>
    <w:rsid w:val="7208775D"/>
    <w:rsid w:val="720B2C57"/>
    <w:rsid w:val="725064C3"/>
    <w:rsid w:val="72672986"/>
    <w:rsid w:val="726B011C"/>
    <w:rsid w:val="726D5102"/>
    <w:rsid w:val="727D3BF1"/>
    <w:rsid w:val="728B654F"/>
    <w:rsid w:val="72971F53"/>
    <w:rsid w:val="72C02473"/>
    <w:rsid w:val="72CD1C61"/>
    <w:rsid w:val="72FA2F9E"/>
    <w:rsid w:val="73016343"/>
    <w:rsid w:val="73330036"/>
    <w:rsid w:val="733B54A0"/>
    <w:rsid w:val="73743042"/>
    <w:rsid w:val="73A91301"/>
    <w:rsid w:val="73B56FC4"/>
    <w:rsid w:val="73B922B4"/>
    <w:rsid w:val="73F10C72"/>
    <w:rsid w:val="74002978"/>
    <w:rsid w:val="7464018C"/>
    <w:rsid w:val="747421F1"/>
    <w:rsid w:val="747859E9"/>
    <w:rsid w:val="748C6C58"/>
    <w:rsid w:val="749A44CF"/>
    <w:rsid w:val="74B96CFE"/>
    <w:rsid w:val="74EA4970"/>
    <w:rsid w:val="74EE0096"/>
    <w:rsid w:val="752416AE"/>
    <w:rsid w:val="753731DA"/>
    <w:rsid w:val="756248A9"/>
    <w:rsid w:val="75663134"/>
    <w:rsid w:val="75783C14"/>
    <w:rsid w:val="7581622F"/>
    <w:rsid w:val="75D32B07"/>
    <w:rsid w:val="75F055A3"/>
    <w:rsid w:val="75F77506"/>
    <w:rsid w:val="75FE5617"/>
    <w:rsid w:val="760E0426"/>
    <w:rsid w:val="76506DDA"/>
    <w:rsid w:val="766C2F4D"/>
    <w:rsid w:val="76757A4D"/>
    <w:rsid w:val="76BE6285"/>
    <w:rsid w:val="76C04E8B"/>
    <w:rsid w:val="76D7036B"/>
    <w:rsid w:val="76D80E2A"/>
    <w:rsid w:val="76F8839F"/>
    <w:rsid w:val="770C40A0"/>
    <w:rsid w:val="772B7FC4"/>
    <w:rsid w:val="774146F6"/>
    <w:rsid w:val="774C5DDF"/>
    <w:rsid w:val="77700289"/>
    <w:rsid w:val="77A46D41"/>
    <w:rsid w:val="77B73F1F"/>
    <w:rsid w:val="77DF60A5"/>
    <w:rsid w:val="77EF11DE"/>
    <w:rsid w:val="782F182F"/>
    <w:rsid w:val="783E139F"/>
    <w:rsid w:val="78540B2C"/>
    <w:rsid w:val="785A7543"/>
    <w:rsid w:val="78653FD3"/>
    <w:rsid w:val="78773711"/>
    <w:rsid w:val="787E7883"/>
    <w:rsid w:val="788872D3"/>
    <w:rsid w:val="78B036D8"/>
    <w:rsid w:val="78BB7073"/>
    <w:rsid w:val="790E761B"/>
    <w:rsid w:val="792A54C4"/>
    <w:rsid w:val="79336357"/>
    <w:rsid w:val="7949146D"/>
    <w:rsid w:val="79534871"/>
    <w:rsid w:val="796331F3"/>
    <w:rsid w:val="79686679"/>
    <w:rsid w:val="796A1184"/>
    <w:rsid w:val="797029AB"/>
    <w:rsid w:val="797937F8"/>
    <w:rsid w:val="79A70ED0"/>
    <w:rsid w:val="79B069E7"/>
    <w:rsid w:val="79B73EB6"/>
    <w:rsid w:val="79C1668B"/>
    <w:rsid w:val="7A062E20"/>
    <w:rsid w:val="7A0A07DE"/>
    <w:rsid w:val="7A0C1DF8"/>
    <w:rsid w:val="7A3B2A68"/>
    <w:rsid w:val="7A4C3BBE"/>
    <w:rsid w:val="7A521796"/>
    <w:rsid w:val="7A626FB9"/>
    <w:rsid w:val="7A641E90"/>
    <w:rsid w:val="7A7B7EEE"/>
    <w:rsid w:val="7A7D7696"/>
    <w:rsid w:val="7A8C6BF5"/>
    <w:rsid w:val="7A93752C"/>
    <w:rsid w:val="7ADF2E26"/>
    <w:rsid w:val="7B034A9F"/>
    <w:rsid w:val="7B2E4ECF"/>
    <w:rsid w:val="7B3E1306"/>
    <w:rsid w:val="7B555DB7"/>
    <w:rsid w:val="7B6A27BE"/>
    <w:rsid w:val="7B777CC6"/>
    <w:rsid w:val="7B824188"/>
    <w:rsid w:val="7BAD3D40"/>
    <w:rsid w:val="7BB7166C"/>
    <w:rsid w:val="7BCD5D99"/>
    <w:rsid w:val="7BF55A4A"/>
    <w:rsid w:val="7BFC5DB5"/>
    <w:rsid w:val="7C45371C"/>
    <w:rsid w:val="7C48516A"/>
    <w:rsid w:val="7C4D18AD"/>
    <w:rsid w:val="7C5908A2"/>
    <w:rsid w:val="7C7768DC"/>
    <w:rsid w:val="7C8A2F25"/>
    <w:rsid w:val="7C8B1796"/>
    <w:rsid w:val="7C9A65A3"/>
    <w:rsid w:val="7CAC38C6"/>
    <w:rsid w:val="7CB93F80"/>
    <w:rsid w:val="7CBA0E63"/>
    <w:rsid w:val="7CBF0135"/>
    <w:rsid w:val="7CBF081F"/>
    <w:rsid w:val="7CD464A0"/>
    <w:rsid w:val="7CE113AD"/>
    <w:rsid w:val="7CE571A7"/>
    <w:rsid w:val="7CF07ABD"/>
    <w:rsid w:val="7D306D7F"/>
    <w:rsid w:val="7D3E0B0C"/>
    <w:rsid w:val="7D7A7F29"/>
    <w:rsid w:val="7D7B18F5"/>
    <w:rsid w:val="7D80106E"/>
    <w:rsid w:val="7D8548CC"/>
    <w:rsid w:val="7D8577EE"/>
    <w:rsid w:val="7D8E29A9"/>
    <w:rsid w:val="7DA609AE"/>
    <w:rsid w:val="7DBB21F6"/>
    <w:rsid w:val="7DC87069"/>
    <w:rsid w:val="7DC97ECD"/>
    <w:rsid w:val="7DED6AD8"/>
    <w:rsid w:val="7DF54A8D"/>
    <w:rsid w:val="7E0C46E5"/>
    <w:rsid w:val="7E0D309B"/>
    <w:rsid w:val="7E273C56"/>
    <w:rsid w:val="7E3228D1"/>
    <w:rsid w:val="7E3D785B"/>
    <w:rsid w:val="7E615D86"/>
    <w:rsid w:val="7E6D2074"/>
    <w:rsid w:val="7E772012"/>
    <w:rsid w:val="7E77755E"/>
    <w:rsid w:val="7E7E0D88"/>
    <w:rsid w:val="7E843E77"/>
    <w:rsid w:val="7E8F18E2"/>
    <w:rsid w:val="7E981B5D"/>
    <w:rsid w:val="7EA92B21"/>
    <w:rsid w:val="7ED476FC"/>
    <w:rsid w:val="7ED65A6F"/>
    <w:rsid w:val="7EEA136A"/>
    <w:rsid w:val="7F0664B4"/>
    <w:rsid w:val="7F070922"/>
    <w:rsid w:val="7F34197F"/>
    <w:rsid w:val="7F424ABC"/>
    <w:rsid w:val="7F485927"/>
    <w:rsid w:val="7F5314BD"/>
    <w:rsid w:val="7F545AB3"/>
    <w:rsid w:val="7F6235E7"/>
    <w:rsid w:val="7F7079D0"/>
    <w:rsid w:val="7F784333"/>
    <w:rsid w:val="7FBC1440"/>
    <w:rsid w:val="7FC21E40"/>
    <w:rsid w:val="7FE001B8"/>
    <w:rsid w:val="7FE52F58"/>
    <w:rsid w:val="7FEB48A9"/>
    <w:rsid w:val="7FFA73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1" w:semiHidden="0" w:name="header"/>
    <w:lsdException w:qFormat="1" w:unhideWhenUsed="0" w:uiPriority="1"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1"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1"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8"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37"/>
    <w:qFormat/>
    <w:uiPriority w:val="2"/>
    <w:pPr>
      <w:keepNext/>
      <w:keepLines/>
      <w:tabs>
        <w:tab w:val="left" w:pos="425"/>
      </w:tabs>
      <w:spacing w:before="340" w:after="330" w:line="576" w:lineRule="auto"/>
      <w:ind w:left="425" w:hanging="425"/>
      <w:outlineLvl w:val="0"/>
    </w:pPr>
    <w:rPr>
      <w:b/>
      <w:kern w:val="44"/>
      <w:sz w:val="44"/>
    </w:rPr>
  </w:style>
  <w:style w:type="paragraph" w:styleId="3">
    <w:name w:val="heading 2"/>
    <w:basedOn w:val="1"/>
    <w:next w:val="1"/>
    <w:link w:val="38"/>
    <w:qFormat/>
    <w:uiPriority w:val="2"/>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6"/>
    <w:qFormat/>
    <w:uiPriority w:val="2"/>
    <w:pPr>
      <w:keepNext/>
      <w:keepLines/>
      <w:numPr>
        <w:ilvl w:val="2"/>
        <w:numId w:val="1"/>
      </w:numPr>
      <w:ind w:firstLine="0" w:firstLineChars="0"/>
      <w:outlineLvl w:val="2"/>
    </w:pPr>
    <w:rPr>
      <w:rFonts w:eastAsiaTheme="minorEastAsia"/>
      <w:bCs/>
      <w:szCs w:val="24"/>
      <w:lang w:val="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260"/>
      <w:jc w:val="left"/>
    </w:pPr>
    <w:rPr>
      <w:sz w:val="18"/>
      <w:szCs w:val="18"/>
    </w:rPr>
  </w:style>
  <w:style w:type="paragraph" w:styleId="6">
    <w:name w:val="caption"/>
    <w:basedOn w:val="1"/>
    <w:next w:val="1"/>
    <w:link w:val="69"/>
    <w:unhideWhenUsed/>
    <w:qFormat/>
    <w:uiPriority w:val="0"/>
    <w:rPr>
      <w:rFonts w:eastAsia="黑体" w:asciiTheme="majorHAnsi" w:hAnsiTheme="majorHAnsi" w:cstheme="majorBidi"/>
      <w:sz w:val="20"/>
    </w:rPr>
  </w:style>
  <w:style w:type="paragraph" w:styleId="7">
    <w:name w:val="Document Map"/>
    <w:basedOn w:val="1"/>
    <w:link w:val="125"/>
    <w:semiHidden/>
    <w:qFormat/>
    <w:uiPriority w:val="0"/>
    <w:pPr>
      <w:shd w:val="clear" w:color="auto" w:fill="000080"/>
    </w:pPr>
  </w:style>
  <w:style w:type="paragraph" w:styleId="8">
    <w:name w:val="annotation text"/>
    <w:basedOn w:val="1"/>
    <w:link w:val="56"/>
    <w:qFormat/>
    <w:uiPriority w:val="0"/>
    <w:pPr>
      <w:jc w:val="left"/>
    </w:pPr>
    <w:rPr>
      <w:lang w:val="zh-CN"/>
    </w:rPr>
  </w:style>
  <w:style w:type="paragraph" w:styleId="9">
    <w:name w:val="Body Text"/>
    <w:basedOn w:val="1"/>
    <w:link w:val="67"/>
    <w:qFormat/>
    <w:uiPriority w:val="0"/>
    <w:pPr>
      <w:spacing w:after="120"/>
    </w:pPr>
  </w:style>
  <w:style w:type="paragraph" w:styleId="10">
    <w:name w:val="Body Text Indent"/>
    <w:basedOn w:val="1"/>
    <w:link w:val="144"/>
    <w:qFormat/>
    <w:uiPriority w:val="0"/>
    <w:pPr>
      <w:ind w:firstLine="420"/>
    </w:pPr>
    <w:rPr>
      <w:rFonts w:eastAsia="楷体_GB2312"/>
    </w:rPr>
  </w:style>
  <w:style w:type="paragraph" w:styleId="11">
    <w:name w:val="toc 5"/>
    <w:basedOn w:val="1"/>
    <w:next w:val="1"/>
    <w:qFormat/>
    <w:uiPriority w:val="39"/>
    <w:pPr>
      <w:ind w:left="840"/>
      <w:jc w:val="left"/>
    </w:pPr>
    <w:rPr>
      <w:sz w:val="18"/>
      <w:szCs w:val="18"/>
    </w:rPr>
  </w:style>
  <w:style w:type="paragraph" w:styleId="12">
    <w:name w:val="toc 3"/>
    <w:basedOn w:val="1"/>
    <w:next w:val="1"/>
    <w:qFormat/>
    <w:uiPriority w:val="39"/>
    <w:pPr>
      <w:ind w:left="420"/>
      <w:jc w:val="left"/>
    </w:pPr>
    <w:rPr>
      <w:i/>
      <w:iCs/>
      <w:sz w:val="20"/>
    </w:rPr>
  </w:style>
  <w:style w:type="paragraph" w:styleId="13">
    <w:name w:val="Plain Text"/>
    <w:basedOn w:val="1"/>
    <w:link w:val="103"/>
    <w:qFormat/>
    <w:uiPriority w:val="0"/>
    <w:rPr>
      <w:rFonts w:ascii="宋体" w:hAnsi="Courier New"/>
    </w:rPr>
  </w:style>
  <w:style w:type="paragraph" w:styleId="14">
    <w:name w:val="toc 8"/>
    <w:basedOn w:val="1"/>
    <w:next w:val="1"/>
    <w:qFormat/>
    <w:uiPriority w:val="39"/>
    <w:pPr>
      <w:ind w:left="1470"/>
      <w:jc w:val="left"/>
    </w:pPr>
    <w:rPr>
      <w:sz w:val="18"/>
      <w:szCs w:val="18"/>
    </w:rPr>
  </w:style>
  <w:style w:type="paragraph" w:styleId="15">
    <w:name w:val="Date"/>
    <w:basedOn w:val="1"/>
    <w:next w:val="1"/>
    <w:link w:val="60"/>
    <w:qFormat/>
    <w:uiPriority w:val="0"/>
    <w:rPr>
      <w:rFonts w:ascii="黑体"/>
      <w:b/>
    </w:rPr>
  </w:style>
  <w:style w:type="paragraph" w:styleId="16">
    <w:name w:val="Body Text Indent 2"/>
    <w:basedOn w:val="1"/>
    <w:link w:val="145"/>
    <w:qFormat/>
    <w:uiPriority w:val="0"/>
    <w:pPr>
      <w:spacing w:after="120" w:line="480" w:lineRule="auto"/>
      <w:ind w:left="420" w:leftChars="200"/>
    </w:pPr>
  </w:style>
  <w:style w:type="paragraph" w:styleId="17">
    <w:name w:val="Balloon Text"/>
    <w:basedOn w:val="1"/>
    <w:link w:val="115"/>
    <w:semiHidden/>
    <w:qFormat/>
    <w:uiPriority w:val="0"/>
    <w:rPr>
      <w:sz w:val="18"/>
      <w:szCs w:val="18"/>
    </w:rPr>
  </w:style>
  <w:style w:type="paragraph" w:styleId="18">
    <w:name w:val="footer"/>
    <w:basedOn w:val="1"/>
    <w:link w:val="51"/>
    <w:qFormat/>
    <w:uiPriority w:val="1"/>
    <w:pPr>
      <w:tabs>
        <w:tab w:val="center" w:pos="4153"/>
        <w:tab w:val="right" w:pos="8306"/>
      </w:tabs>
      <w:jc w:val="left"/>
    </w:pPr>
    <w:rPr>
      <w:sz w:val="18"/>
    </w:rPr>
  </w:style>
  <w:style w:type="paragraph" w:styleId="19">
    <w:name w:val="header"/>
    <w:basedOn w:val="1"/>
    <w:link w:val="137"/>
    <w:qFormat/>
    <w:uiPriority w:val="1"/>
    <w:pPr>
      <w:tabs>
        <w:tab w:val="center" w:pos="4153"/>
        <w:tab w:val="right" w:pos="8306"/>
      </w:tabs>
      <w:jc w:val="center"/>
    </w:pPr>
    <w:rPr>
      <w:sz w:val="18"/>
      <w:szCs w:val="18"/>
    </w:rPr>
  </w:style>
  <w:style w:type="paragraph" w:styleId="20">
    <w:name w:val="toc 1"/>
    <w:basedOn w:val="1"/>
    <w:next w:val="1"/>
    <w:qFormat/>
    <w:uiPriority w:val="39"/>
    <w:pPr>
      <w:tabs>
        <w:tab w:val="left" w:pos="420"/>
        <w:tab w:val="right" w:leader="dot" w:pos="8296"/>
      </w:tabs>
      <w:ind w:firstLine="0" w:firstLineChars="0"/>
      <w:jc w:val="left"/>
    </w:pPr>
    <w:rPr>
      <w:rFonts w:eastAsiaTheme="minorEastAsia"/>
      <w:bCs/>
      <w:szCs w:val="24"/>
    </w:rPr>
  </w:style>
  <w:style w:type="paragraph" w:styleId="21">
    <w:name w:val="toc 4"/>
    <w:basedOn w:val="1"/>
    <w:next w:val="1"/>
    <w:qFormat/>
    <w:uiPriority w:val="39"/>
    <w:pPr>
      <w:ind w:left="630"/>
      <w:jc w:val="left"/>
    </w:pPr>
    <w:rPr>
      <w:sz w:val="18"/>
      <w:szCs w:val="18"/>
    </w:rPr>
  </w:style>
  <w:style w:type="paragraph" w:styleId="22">
    <w:name w:val="toc 6"/>
    <w:basedOn w:val="1"/>
    <w:next w:val="1"/>
    <w:qFormat/>
    <w:uiPriority w:val="39"/>
    <w:pPr>
      <w:ind w:left="1050"/>
      <w:jc w:val="left"/>
    </w:pPr>
    <w:rPr>
      <w:sz w:val="18"/>
      <w:szCs w:val="18"/>
    </w:rPr>
  </w:style>
  <w:style w:type="paragraph" w:styleId="23">
    <w:name w:val="Body Text Indent 3"/>
    <w:basedOn w:val="1"/>
    <w:link w:val="146"/>
    <w:qFormat/>
    <w:uiPriority w:val="0"/>
    <w:pPr>
      <w:spacing w:line="300" w:lineRule="auto"/>
      <w:ind w:firstLine="435"/>
    </w:pPr>
    <w:rPr>
      <w:rFonts w:ascii="楷体_GB2312" w:eastAsia="仿宋_GB2312"/>
    </w:rPr>
  </w:style>
  <w:style w:type="paragraph" w:styleId="24">
    <w:name w:val="toc 2"/>
    <w:basedOn w:val="1"/>
    <w:next w:val="1"/>
    <w:qFormat/>
    <w:uiPriority w:val="39"/>
    <w:pPr>
      <w:jc w:val="left"/>
    </w:pPr>
    <w:rPr>
      <w:sz w:val="20"/>
    </w:rPr>
  </w:style>
  <w:style w:type="paragraph" w:styleId="25">
    <w:name w:val="toc 9"/>
    <w:basedOn w:val="1"/>
    <w:next w:val="1"/>
    <w:qFormat/>
    <w:uiPriority w:val="39"/>
    <w:pPr>
      <w:ind w:left="1680"/>
      <w:jc w:val="left"/>
    </w:pPr>
    <w:rPr>
      <w:sz w:val="18"/>
      <w:szCs w:val="18"/>
    </w:rPr>
  </w:style>
  <w:style w:type="paragraph" w:styleId="26">
    <w:name w:val="HTML Preformatted"/>
    <w:basedOn w:val="1"/>
    <w:link w:val="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hAnsi="Lucida Console" w:cs="宋体"/>
      <w:kern w:val="0"/>
      <w:szCs w:val="24"/>
    </w:rPr>
  </w:style>
  <w:style w:type="paragraph" w:styleId="27">
    <w:name w:val="Normal (Web)"/>
    <w:basedOn w:val="1"/>
    <w:qFormat/>
    <w:uiPriority w:val="99"/>
    <w:pPr>
      <w:widowControl/>
      <w:spacing w:before="100" w:beforeAutospacing="1" w:after="100" w:afterAutospacing="1" w:line="314" w:lineRule="atLeast"/>
      <w:jc w:val="left"/>
    </w:pPr>
    <w:rPr>
      <w:rFonts w:ascii="宋体" w:hAnsi="宋体" w:cs="宋体"/>
      <w:kern w:val="0"/>
      <w:sz w:val="22"/>
      <w:szCs w:val="22"/>
    </w:rPr>
  </w:style>
  <w:style w:type="paragraph" w:styleId="28">
    <w:name w:val="annotation subject"/>
    <w:basedOn w:val="8"/>
    <w:next w:val="8"/>
    <w:link w:val="61"/>
    <w:semiHidden/>
    <w:qFormat/>
    <w:uiPriority w:val="0"/>
    <w:rPr>
      <w:b/>
      <w:bCs/>
    </w:rPr>
  </w:style>
  <w:style w:type="paragraph" w:styleId="29">
    <w:name w:val="Body Text First Indent"/>
    <w:basedOn w:val="9"/>
    <w:link w:val="140"/>
    <w:qFormat/>
    <w:uiPriority w:val="0"/>
    <w:pPr>
      <w:ind w:firstLine="420" w:firstLineChars="100"/>
    </w:pPr>
    <w:rPr>
      <w:szCs w:val="24"/>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1"/>
    <w:rPr>
      <w:b/>
    </w:rPr>
  </w:style>
  <w:style w:type="character" w:styleId="34">
    <w:name w:val="page number"/>
    <w:basedOn w:val="32"/>
    <w:qFormat/>
    <w:uiPriority w:val="1"/>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标题 1 Char"/>
    <w:basedOn w:val="32"/>
    <w:link w:val="2"/>
    <w:qFormat/>
    <w:uiPriority w:val="2"/>
    <w:rPr>
      <w:b/>
      <w:kern w:val="44"/>
      <w:sz w:val="44"/>
    </w:rPr>
  </w:style>
  <w:style w:type="character" w:customStyle="1" w:styleId="38">
    <w:name w:val="标题 2 Char"/>
    <w:link w:val="3"/>
    <w:qFormat/>
    <w:uiPriority w:val="2"/>
    <w:rPr>
      <w:rFonts w:ascii="Arial" w:hAnsi="Arial" w:eastAsia="黑体"/>
      <w:b/>
      <w:bCs/>
      <w:kern w:val="2"/>
      <w:sz w:val="32"/>
      <w:szCs w:val="32"/>
    </w:rPr>
  </w:style>
  <w:style w:type="paragraph" w:customStyle="1" w:styleId="39">
    <w:name w:val="章"/>
    <w:basedOn w:val="1"/>
    <w:link w:val="40"/>
    <w:qFormat/>
    <w:uiPriority w:val="0"/>
    <w:pPr>
      <w:pageBreakBefore/>
      <w:numPr>
        <w:ilvl w:val="0"/>
        <w:numId w:val="2"/>
      </w:numPr>
      <w:tabs>
        <w:tab w:val="left" w:pos="0"/>
      </w:tabs>
      <w:spacing w:before="100" w:beforeLines="100" w:after="100" w:afterLines="100"/>
      <w:ind w:firstLineChars="0"/>
      <w:jc w:val="center"/>
      <w:outlineLvl w:val="0"/>
    </w:pPr>
    <w:rPr>
      <w:b/>
      <w:sz w:val="28"/>
    </w:rPr>
  </w:style>
  <w:style w:type="character" w:customStyle="1" w:styleId="40">
    <w:name w:val="章 Char"/>
    <w:link w:val="39"/>
    <w:qFormat/>
    <w:uiPriority w:val="0"/>
    <w:rPr>
      <w:b/>
      <w:kern w:val="2"/>
      <w:sz w:val="28"/>
    </w:rPr>
  </w:style>
  <w:style w:type="paragraph" w:customStyle="1" w:styleId="41">
    <w:name w:val="节"/>
    <w:basedOn w:val="1"/>
    <w:link w:val="158"/>
    <w:qFormat/>
    <w:uiPriority w:val="0"/>
    <w:pPr>
      <w:numPr>
        <w:ilvl w:val="1"/>
        <w:numId w:val="2"/>
      </w:numPr>
      <w:tabs>
        <w:tab w:val="left" w:pos="0"/>
      </w:tabs>
      <w:spacing w:before="100" w:beforeLines="100" w:after="100" w:afterLines="100" w:line="300" w:lineRule="auto"/>
      <w:ind w:firstLineChars="0"/>
      <w:jc w:val="center"/>
      <w:outlineLvl w:val="1"/>
    </w:pPr>
    <w:rPr>
      <w:b/>
      <w:szCs w:val="24"/>
    </w:rPr>
  </w:style>
  <w:style w:type="paragraph" w:customStyle="1" w:styleId="42">
    <w:name w:val="条文"/>
    <w:basedOn w:val="1"/>
    <w:link w:val="44"/>
    <w:qFormat/>
    <w:uiPriority w:val="0"/>
    <w:pPr>
      <w:numPr>
        <w:ilvl w:val="2"/>
        <w:numId w:val="2"/>
      </w:numPr>
      <w:ind w:firstLineChars="0"/>
      <w:outlineLvl w:val="2"/>
    </w:pPr>
  </w:style>
  <w:style w:type="paragraph" w:customStyle="1" w:styleId="43">
    <w:name w:val="款"/>
    <w:basedOn w:val="1"/>
    <w:link w:val="77"/>
    <w:qFormat/>
    <w:uiPriority w:val="0"/>
    <w:pPr>
      <w:numPr>
        <w:ilvl w:val="3"/>
        <w:numId w:val="2"/>
      </w:numPr>
      <w:tabs>
        <w:tab w:val="left" w:pos="0"/>
      </w:tabs>
      <w:ind w:firstLine="0" w:firstLineChars="0"/>
    </w:pPr>
  </w:style>
  <w:style w:type="character" w:customStyle="1" w:styleId="44">
    <w:name w:val="条文 Char"/>
    <w:link w:val="42"/>
    <w:qFormat/>
    <w:locked/>
    <w:uiPriority w:val="0"/>
    <w:rPr>
      <w:rFonts w:eastAsia="宋体"/>
      <w:kern w:val="2"/>
      <w:sz w:val="24"/>
    </w:rPr>
  </w:style>
  <w:style w:type="paragraph" w:customStyle="1" w:styleId="45">
    <w:name w:val="图表名"/>
    <w:basedOn w:val="1"/>
    <w:link w:val="46"/>
    <w:qFormat/>
    <w:uiPriority w:val="0"/>
    <w:pPr>
      <w:ind w:firstLine="0" w:firstLineChars="0"/>
      <w:jc w:val="center"/>
    </w:pPr>
    <w:rPr>
      <w:rFonts w:eastAsia="黑体"/>
      <w:sz w:val="21"/>
      <w:szCs w:val="21"/>
    </w:rPr>
  </w:style>
  <w:style w:type="character" w:customStyle="1" w:styleId="46">
    <w:name w:val="图表名 Char"/>
    <w:basedOn w:val="32"/>
    <w:link w:val="45"/>
    <w:qFormat/>
    <w:uiPriority w:val="0"/>
    <w:rPr>
      <w:rFonts w:eastAsia="黑体"/>
      <w:kern w:val="2"/>
      <w:sz w:val="21"/>
      <w:szCs w:val="21"/>
    </w:rPr>
  </w:style>
  <w:style w:type="paragraph" w:customStyle="1" w:styleId="47">
    <w:name w:val="表"/>
    <w:basedOn w:val="1"/>
    <w:qFormat/>
    <w:uiPriority w:val="1"/>
    <w:pPr>
      <w:spacing w:before="60" w:after="60" w:line="240" w:lineRule="auto"/>
      <w:ind w:firstLine="0" w:firstLineChars="0"/>
      <w:jc w:val="center"/>
    </w:pPr>
    <w:rPr>
      <w:sz w:val="21"/>
    </w:rPr>
  </w:style>
  <w:style w:type="paragraph" w:customStyle="1" w:styleId="48">
    <w:name w:val="1 Char Char Char Char Char Char Char"/>
    <w:basedOn w:val="1"/>
    <w:qFormat/>
    <w:uiPriority w:val="0"/>
    <w:pPr>
      <w:widowControl/>
      <w:spacing w:after="160" w:line="240" w:lineRule="exact"/>
      <w:jc w:val="left"/>
    </w:pPr>
    <w:rPr>
      <w:rFonts w:ascii="Verdana" w:hAnsi="Verdana" w:eastAsia="仿宋_GB2312"/>
      <w:kern w:val="0"/>
      <w:lang w:eastAsia="en-US"/>
    </w:rPr>
  </w:style>
  <w:style w:type="paragraph" w:customStyle="1" w:styleId="49">
    <w:name w:val="Char Char Char Char Char Char Char"/>
    <w:basedOn w:val="1"/>
    <w:qFormat/>
    <w:uiPriority w:val="0"/>
    <w:pPr>
      <w:widowControl/>
      <w:spacing w:after="160" w:line="240" w:lineRule="exact"/>
      <w:jc w:val="left"/>
    </w:pPr>
    <w:rPr>
      <w:rFonts w:ascii="Arial" w:hAnsi="Arial" w:eastAsia="Times New Roman" w:cs="Verdana"/>
      <w:b/>
      <w:kern w:val="0"/>
      <w:szCs w:val="24"/>
      <w:lang w:eastAsia="en-US"/>
    </w:rPr>
  </w:style>
  <w:style w:type="paragraph" w:customStyle="1" w:styleId="50">
    <w:name w:val="默认段落字体 Para Char Char Char Char"/>
    <w:basedOn w:val="1"/>
    <w:qFormat/>
    <w:uiPriority w:val="0"/>
  </w:style>
  <w:style w:type="character" w:customStyle="1" w:styleId="51">
    <w:name w:val="页脚 Char"/>
    <w:link w:val="18"/>
    <w:qFormat/>
    <w:uiPriority w:val="1"/>
    <w:rPr>
      <w:kern w:val="2"/>
      <w:sz w:val="18"/>
    </w:rPr>
  </w:style>
  <w:style w:type="paragraph" w:customStyle="1" w:styleId="52">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3">
    <w:name w:val="列出段落1"/>
    <w:basedOn w:val="1"/>
    <w:qFormat/>
    <w:uiPriority w:val="33"/>
    <w:pPr>
      <w:ind w:firstLine="420"/>
    </w:pPr>
    <w:rPr>
      <w:rFonts w:ascii="Calibri" w:hAnsi="Calibri"/>
      <w:szCs w:val="22"/>
    </w:rPr>
  </w:style>
  <w:style w:type="paragraph" w:styleId="54">
    <w:name w:val="List Paragraph"/>
    <w:basedOn w:val="1"/>
    <w:link w:val="80"/>
    <w:qFormat/>
    <w:uiPriority w:val="34"/>
    <w:pPr>
      <w:numPr>
        <w:ilvl w:val="0"/>
        <w:numId w:val="3"/>
      </w:numPr>
      <w:spacing w:line="300" w:lineRule="auto"/>
      <w:ind w:firstLine="0" w:firstLineChars="0"/>
    </w:pPr>
    <w:rPr>
      <w:color w:val="0D0D0D" w:themeColor="text1" w:themeTint="F2"/>
      <w:szCs w:val="22"/>
      <w14:textFill>
        <w14:solidFill>
          <w14:schemeClr w14:val="tx1">
            <w14:lumMod w14:val="95000"/>
            <w14:lumOff w14:val="5000"/>
          </w14:schemeClr>
        </w14:solidFill>
      </w14:textFill>
    </w:rPr>
  </w:style>
  <w:style w:type="paragraph" w:customStyle="1" w:styleId="5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56">
    <w:name w:val="批注文字 Char"/>
    <w:link w:val="8"/>
    <w:qFormat/>
    <w:uiPriority w:val="0"/>
    <w:rPr>
      <w:kern w:val="2"/>
      <w:sz w:val="24"/>
      <w:lang w:val="zh-CN" w:eastAsia="zh-CN"/>
    </w:rPr>
  </w:style>
  <w:style w:type="paragraph" w:customStyle="1" w:styleId="57">
    <w:name w:val="分条"/>
    <w:basedOn w:val="1"/>
    <w:link w:val="58"/>
    <w:qFormat/>
    <w:uiPriority w:val="0"/>
  </w:style>
  <w:style w:type="character" w:customStyle="1" w:styleId="58">
    <w:name w:val="分条 Char"/>
    <w:link w:val="57"/>
    <w:qFormat/>
    <w:uiPriority w:val="0"/>
    <w:rPr>
      <w:kern w:val="2"/>
      <w:sz w:val="24"/>
      <w:szCs w:val="24"/>
    </w:rPr>
  </w:style>
  <w:style w:type="paragraph" w:styleId="59">
    <w:name w:val="No Spacing"/>
    <w:basedOn w:val="1"/>
    <w:link w:val="126"/>
    <w:qFormat/>
    <w:uiPriority w:val="1"/>
    <w:pPr>
      <w:widowControl/>
      <w:jc w:val="left"/>
    </w:pPr>
    <w:rPr>
      <w:rFonts w:ascii="Calibri" w:hAnsi="Calibri"/>
      <w:kern w:val="0"/>
      <w:szCs w:val="32"/>
      <w:lang w:eastAsia="en-US" w:bidi="en-US"/>
    </w:rPr>
  </w:style>
  <w:style w:type="character" w:customStyle="1" w:styleId="60">
    <w:name w:val="日期 Char"/>
    <w:basedOn w:val="32"/>
    <w:link w:val="15"/>
    <w:qFormat/>
    <w:uiPriority w:val="0"/>
    <w:rPr>
      <w:rFonts w:ascii="黑体"/>
      <w:b/>
      <w:kern w:val="2"/>
      <w:sz w:val="24"/>
    </w:rPr>
  </w:style>
  <w:style w:type="character" w:customStyle="1" w:styleId="61">
    <w:name w:val="批注主题 Char"/>
    <w:basedOn w:val="56"/>
    <w:link w:val="28"/>
    <w:semiHidden/>
    <w:qFormat/>
    <w:uiPriority w:val="0"/>
    <w:rPr>
      <w:b/>
      <w:bCs/>
      <w:kern w:val="2"/>
      <w:sz w:val="24"/>
      <w:lang w:val="zh-CN" w:eastAsia="zh-CN"/>
    </w:rPr>
  </w:style>
  <w:style w:type="paragraph" w:customStyle="1" w:styleId="6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列出段落2"/>
    <w:basedOn w:val="1"/>
    <w:qFormat/>
    <w:uiPriority w:val="0"/>
    <w:pPr>
      <w:ind w:firstLine="420"/>
    </w:pPr>
  </w:style>
  <w:style w:type="paragraph" w:customStyle="1" w:styleId="6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条文说明"/>
    <w:basedOn w:val="9"/>
    <w:link w:val="66"/>
    <w:qFormat/>
    <w:uiPriority w:val="0"/>
    <w:pPr>
      <w:spacing w:after="0"/>
      <w:ind w:firstLine="0" w:firstLineChars="0"/>
    </w:pPr>
    <w:rPr>
      <w:rFonts w:eastAsia="楷体"/>
      <w:color w:val="0070C0"/>
      <w:szCs w:val="24"/>
    </w:rPr>
  </w:style>
  <w:style w:type="character" w:customStyle="1" w:styleId="66">
    <w:name w:val="条文说明 Char"/>
    <w:basedOn w:val="67"/>
    <w:link w:val="65"/>
    <w:qFormat/>
    <w:locked/>
    <w:uiPriority w:val="0"/>
    <w:rPr>
      <w:rFonts w:eastAsia="楷体"/>
      <w:color w:val="0070C0"/>
      <w:kern w:val="2"/>
      <w:sz w:val="24"/>
      <w:szCs w:val="24"/>
    </w:rPr>
  </w:style>
  <w:style w:type="character" w:customStyle="1" w:styleId="67">
    <w:name w:val="正文文本 Char"/>
    <w:basedOn w:val="32"/>
    <w:link w:val="9"/>
    <w:qFormat/>
    <w:uiPriority w:val="0"/>
    <w:rPr>
      <w:kern w:val="2"/>
      <w:sz w:val="24"/>
    </w:rPr>
  </w:style>
  <w:style w:type="paragraph" w:customStyle="1" w:styleId="68">
    <w:name w:val="正文3"/>
    <w:basedOn w:val="1"/>
    <w:qFormat/>
    <w:uiPriority w:val="0"/>
    <w:pPr>
      <w:ind w:firstLine="480"/>
    </w:pPr>
    <w:rPr>
      <w:rFonts w:cs="宋体"/>
    </w:rPr>
  </w:style>
  <w:style w:type="character" w:customStyle="1" w:styleId="69">
    <w:name w:val="题注 Char"/>
    <w:link w:val="6"/>
    <w:qFormat/>
    <w:uiPriority w:val="0"/>
    <w:rPr>
      <w:rFonts w:eastAsia="黑体" w:asciiTheme="majorHAnsi" w:hAnsiTheme="majorHAnsi" w:cstheme="majorBidi"/>
      <w:kern w:val="2"/>
    </w:rPr>
  </w:style>
  <w:style w:type="paragraph" w:customStyle="1" w:styleId="70">
    <w:name w:val="图"/>
    <w:basedOn w:val="65"/>
    <w:link w:val="75"/>
    <w:qFormat/>
    <w:uiPriority w:val="0"/>
    <w:pPr>
      <w:spacing w:line="240" w:lineRule="auto"/>
      <w:jc w:val="center"/>
    </w:pPr>
    <w:rPr>
      <w:rFonts w:eastAsia="宋体"/>
    </w:rPr>
  </w:style>
  <w:style w:type="character" w:customStyle="1" w:styleId="71">
    <w:name w:val="fontstyle01"/>
    <w:basedOn w:val="32"/>
    <w:qFormat/>
    <w:uiPriority w:val="0"/>
    <w:rPr>
      <w:rFonts w:hint="default" w:ascii="HiddenHorzOCR-Identity-H" w:hAnsi="HiddenHorzOCR-Identity-H"/>
      <w:color w:val="3F3F3F"/>
      <w:sz w:val="18"/>
      <w:szCs w:val="18"/>
    </w:rPr>
  </w:style>
  <w:style w:type="character" w:customStyle="1" w:styleId="72">
    <w:name w:val="fontstyle21"/>
    <w:basedOn w:val="32"/>
    <w:qFormat/>
    <w:uiPriority w:val="0"/>
    <w:rPr>
      <w:rFonts w:hint="eastAsia" w:ascii="仿宋" w:hAnsi="仿宋" w:eastAsia="仿宋"/>
      <w:color w:val="000000"/>
      <w:sz w:val="28"/>
      <w:szCs w:val="28"/>
    </w:rPr>
  </w:style>
  <w:style w:type="character" w:customStyle="1" w:styleId="73">
    <w:name w:val="fontstyle31"/>
    <w:basedOn w:val="32"/>
    <w:qFormat/>
    <w:uiPriority w:val="0"/>
    <w:rPr>
      <w:rFonts w:hint="default" w:ascii="Times-Italic" w:hAnsi="Times-Italic"/>
      <w:i/>
      <w:iCs/>
      <w:color w:val="000000"/>
      <w:sz w:val="20"/>
      <w:szCs w:val="20"/>
    </w:rPr>
  </w:style>
  <w:style w:type="character" w:styleId="74">
    <w:name w:val="Placeholder Text"/>
    <w:basedOn w:val="32"/>
    <w:semiHidden/>
    <w:qFormat/>
    <w:uiPriority w:val="98"/>
    <w:rPr>
      <w:color w:val="808080"/>
    </w:rPr>
  </w:style>
  <w:style w:type="character" w:customStyle="1" w:styleId="75">
    <w:name w:val="图 Char"/>
    <w:basedOn w:val="66"/>
    <w:link w:val="70"/>
    <w:qFormat/>
    <w:uiPriority w:val="0"/>
    <w:rPr>
      <w:rFonts w:eastAsia="宋体"/>
      <w:color w:val="0070C0"/>
      <w:kern w:val="2"/>
      <w:sz w:val="24"/>
      <w:szCs w:val="24"/>
    </w:rPr>
  </w:style>
  <w:style w:type="character" w:customStyle="1" w:styleId="76">
    <w:name w:val="fontstyle11"/>
    <w:basedOn w:val="32"/>
    <w:qFormat/>
    <w:uiPriority w:val="0"/>
    <w:rPr>
      <w:rFonts w:ascii="ArialMT" w:hAnsi="ArialMT" w:eastAsia="ArialMT" w:cs="ArialMT"/>
      <w:color w:val="000000"/>
      <w:sz w:val="18"/>
      <w:szCs w:val="18"/>
    </w:rPr>
  </w:style>
  <w:style w:type="character" w:customStyle="1" w:styleId="77">
    <w:name w:val="款 Char"/>
    <w:basedOn w:val="32"/>
    <w:link w:val="43"/>
    <w:qFormat/>
    <w:uiPriority w:val="0"/>
    <w:rPr>
      <w:rFonts w:eastAsia="宋体"/>
      <w:kern w:val="2"/>
      <w:sz w:val="24"/>
    </w:rPr>
  </w:style>
  <w:style w:type="character" w:customStyle="1" w:styleId="78">
    <w:name w:val="fontstyle41"/>
    <w:basedOn w:val="32"/>
    <w:qFormat/>
    <w:uiPriority w:val="0"/>
    <w:rPr>
      <w:rFonts w:hint="default" w:ascii="TimesNewRoman" w:hAnsi="TimesNewRoman"/>
      <w:color w:val="000000"/>
      <w:sz w:val="24"/>
      <w:szCs w:val="24"/>
    </w:rPr>
  </w:style>
  <w:style w:type="character" w:customStyle="1" w:styleId="79">
    <w:name w:val="keyword"/>
    <w:basedOn w:val="32"/>
    <w:qFormat/>
    <w:uiPriority w:val="0"/>
  </w:style>
  <w:style w:type="character" w:customStyle="1" w:styleId="80">
    <w:name w:val="列出段落 Char"/>
    <w:link w:val="54"/>
    <w:qFormat/>
    <w:locked/>
    <w:uiPriority w:val="34"/>
    <w:rPr>
      <w:color w:val="0D0D0D" w:themeColor="text1" w:themeTint="F2"/>
      <w:kern w:val="2"/>
      <w:sz w:val="24"/>
      <w:szCs w:val="22"/>
      <w14:textFill>
        <w14:solidFill>
          <w14:schemeClr w14:val="tx1">
            <w14:lumMod w14:val="95000"/>
            <w14:lumOff w14:val="5000"/>
          </w14:schemeClr>
        </w14:solidFill>
      </w14:textFill>
    </w:rPr>
  </w:style>
  <w:style w:type="paragraph" w:customStyle="1" w:styleId="81">
    <w:name w:val="Char"/>
    <w:basedOn w:val="1"/>
    <w:qFormat/>
    <w:uiPriority w:val="0"/>
    <w:rPr>
      <w:sz w:val="28"/>
      <w:szCs w:val="28"/>
    </w:rPr>
  </w:style>
  <w:style w:type="paragraph" w:customStyle="1" w:styleId="82">
    <w:name w:val="Char Char Char Char"/>
    <w:basedOn w:val="1"/>
    <w:qFormat/>
    <w:uiPriority w:val="0"/>
    <w:rPr>
      <w:rFonts w:ascii="Tahoma" w:hAnsi="Tahoma"/>
    </w:rPr>
  </w:style>
  <w:style w:type="paragraph" w:customStyle="1" w:styleId="83">
    <w:name w:val="Char Char Char Char Char Char"/>
    <w:basedOn w:val="1"/>
    <w:qFormat/>
    <w:uiPriority w:val="0"/>
    <w:pPr>
      <w:widowControl/>
      <w:spacing w:after="160" w:line="240" w:lineRule="exact"/>
      <w:jc w:val="left"/>
    </w:pPr>
  </w:style>
  <w:style w:type="paragraph" w:customStyle="1" w:styleId="84">
    <w:name w:val="Char Char Char Char Char Char Char Char Char Char Char Char Char Char Char"/>
    <w:basedOn w:val="1"/>
    <w:qFormat/>
    <w:uiPriority w:val="0"/>
    <w:pPr>
      <w:widowControl/>
      <w:spacing w:after="160" w:line="240" w:lineRule="exact"/>
      <w:jc w:val="left"/>
    </w:pPr>
  </w:style>
  <w:style w:type="paragraph" w:customStyle="1" w:styleId="85">
    <w:name w:val="Char Char Char Char Char Char Char Char Char Char Char Char Char Char Char Char Char Char Char Char Char Char Char Char Char"/>
    <w:basedOn w:val="1"/>
    <w:qFormat/>
    <w:uiPriority w:val="94"/>
    <w:pPr>
      <w:widowControl/>
      <w:spacing w:after="160" w:line="240" w:lineRule="exact"/>
      <w:jc w:val="left"/>
    </w:pPr>
  </w:style>
  <w:style w:type="paragraph" w:customStyle="1" w:styleId="86">
    <w:name w:val="Char Char Char Char Char Char Char1"/>
    <w:basedOn w:val="1"/>
    <w:qFormat/>
    <w:uiPriority w:val="0"/>
    <w:pPr>
      <w:widowControl/>
      <w:spacing w:after="160" w:line="240" w:lineRule="exact"/>
      <w:jc w:val="left"/>
    </w:pPr>
    <w:rPr>
      <w:rFonts w:ascii="Arial" w:hAnsi="Arial" w:eastAsia="Times New Roman" w:cs="Verdana"/>
      <w:b/>
      <w:kern w:val="0"/>
      <w:szCs w:val="21"/>
      <w:lang w:eastAsia="en-US"/>
    </w:rPr>
  </w:style>
  <w:style w:type="paragraph" w:customStyle="1" w:styleId="87">
    <w:name w:val="Char Char Char Char Char Char Char2"/>
    <w:basedOn w:val="1"/>
    <w:qFormat/>
    <w:uiPriority w:val="0"/>
    <w:pPr>
      <w:widowControl/>
      <w:topLinePunct/>
      <w:spacing w:after="160" w:line="240" w:lineRule="exact"/>
      <w:jc w:val="left"/>
    </w:pPr>
    <w:rPr>
      <w:rFonts w:ascii="Arial" w:hAnsi="Arial" w:eastAsia="Times New Roman" w:cs="Verdana"/>
      <w:b/>
      <w:kern w:val="0"/>
      <w:szCs w:val="24"/>
      <w:lang w:eastAsia="en-US"/>
    </w:rPr>
  </w:style>
  <w:style w:type="paragraph" w:customStyle="1" w:styleId="88">
    <w:name w:val="Char1"/>
    <w:basedOn w:val="1"/>
    <w:qFormat/>
    <w:uiPriority w:val="0"/>
    <w:rPr>
      <w:szCs w:val="24"/>
    </w:rPr>
  </w:style>
  <w:style w:type="paragraph" w:customStyle="1" w:styleId="89">
    <w:name w:val="Char1 Char Char Char"/>
    <w:basedOn w:val="1"/>
    <w:qFormat/>
    <w:uiPriority w:val="0"/>
    <w:pPr>
      <w:widowControl/>
      <w:spacing w:after="160" w:line="240" w:lineRule="exact"/>
      <w:jc w:val="left"/>
    </w:pPr>
  </w:style>
  <w:style w:type="paragraph" w:customStyle="1" w:styleId="90">
    <w:name w:val="Char4"/>
    <w:basedOn w:val="1"/>
    <w:qFormat/>
    <w:uiPriority w:val="0"/>
    <w:rPr>
      <w:rFonts w:ascii="Tahoma" w:hAnsi="Tahoma"/>
    </w:rPr>
  </w:style>
  <w:style w:type="paragraph" w:customStyle="1" w:styleId="91">
    <w:name w:val="Char41"/>
    <w:basedOn w:val="1"/>
    <w:qFormat/>
    <w:uiPriority w:val="0"/>
    <w:rPr>
      <w:rFonts w:ascii="Tahoma" w:hAnsi="Tahoma"/>
    </w:rPr>
  </w:style>
  <w:style w:type="character" w:customStyle="1" w:styleId="92">
    <w:name w:val="def"/>
    <w:basedOn w:val="32"/>
    <w:qFormat/>
    <w:uiPriority w:val="0"/>
  </w:style>
  <w:style w:type="character" w:customStyle="1" w:styleId="93">
    <w:name w:val="HTML 预设格式 Char"/>
    <w:basedOn w:val="32"/>
    <w:link w:val="26"/>
    <w:qFormat/>
    <w:uiPriority w:val="0"/>
    <w:rPr>
      <w:rFonts w:ascii="Lucida Console" w:hAnsi="Lucida Console" w:cs="宋体"/>
      <w:sz w:val="24"/>
      <w:szCs w:val="24"/>
    </w:rPr>
  </w:style>
  <w:style w:type="paragraph" w:customStyle="1" w:styleId="94">
    <w:name w:val="reader-word-layer"/>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5">
    <w:name w:val="报告正文"/>
    <w:basedOn w:val="1"/>
    <w:qFormat/>
    <w:uiPriority w:val="1"/>
    <w:pPr>
      <w:spacing w:line="400" w:lineRule="exact"/>
      <w:ind w:firstLine="482"/>
    </w:pPr>
  </w:style>
  <w:style w:type="character" w:customStyle="1" w:styleId="96">
    <w:name w:val="标题 3 Char"/>
    <w:link w:val="4"/>
    <w:qFormat/>
    <w:uiPriority w:val="2"/>
    <w:rPr>
      <w:rFonts w:eastAsiaTheme="minorEastAsia"/>
      <w:bCs/>
      <w:kern w:val="2"/>
      <w:sz w:val="24"/>
      <w:szCs w:val="24"/>
      <w:lang w:val="zh-CN"/>
    </w:rPr>
  </w:style>
  <w:style w:type="paragraph" w:customStyle="1" w:styleId="97">
    <w:name w:val="标题3"/>
    <w:basedOn w:val="1"/>
    <w:qFormat/>
    <w:uiPriority w:val="2"/>
    <w:pPr>
      <w:spacing w:before="120" w:after="120"/>
      <w:jc w:val="center"/>
      <w:textAlignment w:val="baseline"/>
    </w:pPr>
    <w:rPr>
      <w:b/>
      <w:kern w:val="0"/>
      <w:sz w:val="18"/>
    </w:rPr>
  </w:style>
  <w:style w:type="paragraph" w:customStyle="1" w:styleId="98">
    <w:name w:val="标准正文"/>
    <w:basedOn w:val="1"/>
    <w:link w:val="99"/>
    <w:qFormat/>
    <w:uiPriority w:val="2"/>
    <w:pPr>
      <w:tabs>
        <w:tab w:val="left" w:pos="540"/>
        <w:tab w:val="left" w:pos="720"/>
        <w:tab w:val="left" w:pos="900"/>
        <w:tab w:val="left" w:pos="1080"/>
      </w:tabs>
      <w:spacing w:line="288" w:lineRule="auto"/>
    </w:pPr>
    <w:rPr>
      <w:rFonts w:ascii="宋体" w:hAnsi="宋体"/>
      <w:color w:val="000000"/>
      <w:kern w:val="0"/>
      <w:sz w:val="20"/>
      <w:szCs w:val="21"/>
    </w:rPr>
  </w:style>
  <w:style w:type="character" w:customStyle="1" w:styleId="99">
    <w:name w:val="标准正文 Char"/>
    <w:link w:val="98"/>
    <w:qFormat/>
    <w:uiPriority w:val="2"/>
    <w:rPr>
      <w:rFonts w:ascii="宋体" w:hAnsi="宋体"/>
      <w:color w:val="000000"/>
      <w:szCs w:val="21"/>
    </w:rPr>
  </w:style>
  <w:style w:type="paragraph" w:customStyle="1" w:styleId="100">
    <w:name w:val="表格中的文字"/>
    <w:basedOn w:val="1"/>
    <w:qFormat/>
    <w:uiPriority w:val="1"/>
    <w:pPr>
      <w:autoSpaceDE w:val="0"/>
      <w:autoSpaceDN w:val="0"/>
      <w:spacing w:line="288" w:lineRule="auto"/>
      <w:jc w:val="center"/>
    </w:pPr>
    <w:rPr>
      <w:rFonts w:ascii="宋体" w:hAnsi="宋体"/>
      <w:color w:val="000000"/>
      <w:kern w:val="0"/>
      <w:sz w:val="15"/>
      <w:szCs w:val="15"/>
    </w:rPr>
  </w:style>
  <w:style w:type="paragraph" w:customStyle="1" w:styleId="101">
    <w:name w:val="表题及表序号"/>
    <w:basedOn w:val="1"/>
    <w:qFormat/>
    <w:uiPriority w:val="1"/>
    <w:pPr>
      <w:widowControl/>
      <w:autoSpaceDE w:val="0"/>
      <w:autoSpaceDN w:val="0"/>
      <w:spacing w:line="288" w:lineRule="auto"/>
      <w:ind w:firstLine="180" w:firstLineChars="100"/>
      <w:jc w:val="center"/>
    </w:pPr>
    <w:rPr>
      <w:rFonts w:ascii="黑体" w:eastAsia="黑体"/>
      <w:kern w:val="0"/>
      <w:sz w:val="18"/>
      <w:szCs w:val="18"/>
    </w:rPr>
  </w:style>
  <w:style w:type="paragraph" w:customStyle="1" w:styleId="102">
    <w:name w:val="表头"/>
    <w:basedOn w:val="1"/>
    <w:qFormat/>
    <w:uiPriority w:val="1"/>
    <w:pPr>
      <w:spacing w:beforeLines="50" w:afterLines="50" w:line="300" w:lineRule="auto"/>
      <w:jc w:val="center"/>
    </w:pPr>
    <w:rPr>
      <w:b/>
    </w:rPr>
  </w:style>
  <w:style w:type="character" w:customStyle="1" w:styleId="103">
    <w:name w:val="纯文本 Char"/>
    <w:basedOn w:val="32"/>
    <w:link w:val="13"/>
    <w:qFormat/>
    <w:uiPriority w:val="0"/>
    <w:rPr>
      <w:rFonts w:ascii="宋体" w:hAnsi="Courier New"/>
      <w:kern w:val="2"/>
      <w:sz w:val="24"/>
    </w:rPr>
  </w:style>
  <w:style w:type="paragraph" w:customStyle="1" w:styleId="104">
    <w:name w:val="单独标题3"/>
    <w:basedOn w:val="1"/>
    <w:link w:val="105"/>
    <w:qFormat/>
    <w:uiPriority w:val="0"/>
    <w:pPr>
      <w:keepNext/>
      <w:keepLines/>
      <w:spacing w:before="260" w:after="260" w:line="413" w:lineRule="auto"/>
      <w:jc w:val="center"/>
      <w:outlineLvl w:val="1"/>
    </w:pPr>
    <w:rPr>
      <w:rFonts w:ascii="Arial" w:hAnsi="Arial" w:eastAsia="黑体" w:cs="宋体"/>
      <w:b/>
      <w:bCs/>
      <w:sz w:val="28"/>
      <w:szCs w:val="32"/>
    </w:rPr>
  </w:style>
  <w:style w:type="character" w:customStyle="1" w:styleId="105">
    <w:name w:val="单独标题3 Char"/>
    <w:link w:val="104"/>
    <w:qFormat/>
    <w:uiPriority w:val="0"/>
    <w:rPr>
      <w:rFonts w:ascii="Arial" w:hAnsi="Arial" w:eastAsia="黑体" w:cs="宋体"/>
      <w:b/>
      <w:bCs/>
      <w:kern w:val="2"/>
      <w:sz w:val="28"/>
      <w:szCs w:val="32"/>
    </w:rPr>
  </w:style>
  <w:style w:type="paragraph" w:customStyle="1" w:styleId="106">
    <w:name w:val="段"/>
    <w:link w:val="10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7">
    <w:name w:val="段 Char"/>
    <w:link w:val="106"/>
    <w:qFormat/>
    <w:uiPriority w:val="0"/>
    <w:rPr>
      <w:rFonts w:ascii="宋体"/>
      <w:sz w:val="21"/>
    </w:rPr>
  </w:style>
  <w:style w:type="paragraph" w:customStyle="1" w:styleId="108">
    <w:name w:val="段落样式"/>
    <w:basedOn w:val="1"/>
    <w:link w:val="109"/>
    <w:qFormat/>
    <w:uiPriority w:val="0"/>
    <w:pPr>
      <w:spacing w:line="400" w:lineRule="exact"/>
      <w:ind w:firstLine="480"/>
    </w:pPr>
  </w:style>
  <w:style w:type="character" w:customStyle="1" w:styleId="109">
    <w:name w:val="段落样式 Char"/>
    <w:link w:val="108"/>
    <w:qFormat/>
    <w:uiPriority w:val="0"/>
    <w:rPr>
      <w:kern w:val="2"/>
      <w:sz w:val="24"/>
    </w:rPr>
  </w:style>
  <w:style w:type="paragraph" w:customStyle="1" w:styleId="110">
    <w:name w:val="公式"/>
    <w:basedOn w:val="1"/>
    <w:link w:val="111"/>
    <w:qFormat/>
    <w:uiPriority w:val="0"/>
    <w:pPr>
      <w:jc w:val="right"/>
    </w:pPr>
  </w:style>
  <w:style w:type="character" w:customStyle="1" w:styleId="111">
    <w:name w:val="公式 Char"/>
    <w:link w:val="110"/>
    <w:qFormat/>
    <w:uiPriority w:val="0"/>
    <w:rPr>
      <w:kern w:val="2"/>
      <w:sz w:val="24"/>
    </w:rPr>
  </w:style>
  <w:style w:type="paragraph" w:customStyle="1" w:styleId="112">
    <w:name w:val="样式 正文首行缩进:  2 字符 + 宋体 首行缩进:  2 字符"/>
    <w:basedOn w:val="1"/>
    <w:qFormat/>
    <w:uiPriority w:val="1"/>
    <w:pPr>
      <w:spacing w:line="400" w:lineRule="exact"/>
    </w:pPr>
    <w:rPr>
      <w:szCs w:val="24"/>
    </w:rPr>
  </w:style>
  <w:style w:type="paragraph" w:customStyle="1" w:styleId="113">
    <w:name w:val="规范正文"/>
    <w:basedOn w:val="112"/>
    <w:link w:val="114"/>
    <w:qFormat/>
    <w:uiPriority w:val="0"/>
    <w:rPr>
      <w:sz w:val="28"/>
      <w:szCs w:val="21"/>
    </w:rPr>
  </w:style>
  <w:style w:type="character" w:customStyle="1" w:styleId="114">
    <w:name w:val="规范正文 Char"/>
    <w:link w:val="113"/>
    <w:qFormat/>
    <w:uiPriority w:val="0"/>
    <w:rPr>
      <w:kern w:val="2"/>
      <w:sz w:val="28"/>
      <w:szCs w:val="21"/>
    </w:rPr>
  </w:style>
  <w:style w:type="character" w:customStyle="1" w:styleId="115">
    <w:name w:val="批注框文本 Char"/>
    <w:basedOn w:val="32"/>
    <w:link w:val="17"/>
    <w:semiHidden/>
    <w:qFormat/>
    <w:uiPriority w:val="0"/>
    <w:rPr>
      <w:kern w:val="2"/>
      <w:sz w:val="18"/>
      <w:szCs w:val="18"/>
    </w:rPr>
  </w:style>
  <w:style w:type="paragraph" w:customStyle="1" w:styleId="116">
    <w:name w:val="三级标题"/>
    <w:basedOn w:val="4"/>
    <w:link w:val="117"/>
    <w:qFormat/>
    <w:uiPriority w:val="1"/>
    <w:pPr>
      <w:spacing w:line="360" w:lineRule="exact"/>
    </w:pPr>
    <w:rPr>
      <w:sz w:val="21"/>
      <w:szCs w:val="21"/>
    </w:rPr>
  </w:style>
  <w:style w:type="character" w:customStyle="1" w:styleId="117">
    <w:name w:val="三级标题 Char"/>
    <w:link w:val="116"/>
    <w:qFormat/>
    <w:uiPriority w:val="1"/>
    <w:rPr>
      <w:rFonts w:eastAsiaTheme="minorEastAsia"/>
      <w:bCs/>
      <w:kern w:val="2"/>
      <w:sz w:val="21"/>
      <w:szCs w:val="21"/>
      <w:lang w:val="zh-CN"/>
    </w:rPr>
  </w:style>
  <w:style w:type="paragraph" w:customStyle="1" w:styleId="118">
    <w:name w:val="三级标题标题无缩进"/>
    <w:basedOn w:val="1"/>
    <w:link w:val="119"/>
    <w:qFormat/>
    <w:uiPriority w:val="1"/>
    <w:pPr>
      <w:spacing w:line="400" w:lineRule="exact"/>
    </w:pPr>
    <w:rPr>
      <w:sz w:val="28"/>
      <w:szCs w:val="24"/>
    </w:rPr>
  </w:style>
  <w:style w:type="character" w:customStyle="1" w:styleId="119">
    <w:name w:val="三级标题标题无缩进 Char"/>
    <w:link w:val="118"/>
    <w:qFormat/>
    <w:uiPriority w:val="1"/>
    <w:rPr>
      <w:kern w:val="2"/>
      <w:sz w:val="28"/>
      <w:szCs w:val="24"/>
    </w:rPr>
  </w:style>
  <w:style w:type="character" w:customStyle="1" w:styleId="120">
    <w:name w:val="三级标题标题无缩进 Char Char"/>
    <w:qFormat/>
    <w:locked/>
    <w:uiPriority w:val="1"/>
    <w:rPr>
      <w:rFonts w:cs="Calibri"/>
      <w:sz w:val="24"/>
    </w:rPr>
  </w:style>
  <w:style w:type="paragraph" w:customStyle="1" w:styleId="121">
    <w:name w:val="说明"/>
    <w:basedOn w:val="1"/>
    <w:link w:val="122"/>
    <w:qFormat/>
    <w:uiPriority w:val="1"/>
    <w:pPr>
      <w:spacing w:line="400" w:lineRule="atLeast"/>
    </w:pPr>
    <w:rPr>
      <w:rFonts w:ascii="楷体_GB2312" w:eastAsia="楷体_GB2312"/>
    </w:rPr>
  </w:style>
  <w:style w:type="character" w:customStyle="1" w:styleId="122">
    <w:name w:val="说明 Char1"/>
    <w:link w:val="121"/>
    <w:qFormat/>
    <w:uiPriority w:val="1"/>
    <w:rPr>
      <w:rFonts w:ascii="楷体_GB2312" w:eastAsia="楷体_GB2312"/>
      <w:kern w:val="2"/>
      <w:sz w:val="24"/>
    </w:rPr>
  </w:style>
  <w:style w:type="paragraph" w:customStyle="1" w:styleId="123">
    <w:name w:val="图片文字"/>
    <w:next w:val="1"/>
    <w:qFormat/>
    <w:uiPriority w:val="98"/>
    <w:pPr>
      <w:spacing w:line="360" w:lineRule="auto"/>
      <w:jc w:val="center"/>
    </w:pPr>
    <w:rPr>
      <w:rFonts w:ascii="Times New Roman" w:hAnsi="Times New Roman" w:eastAsia="宋体" w:cs="Times New Roman"/>
      <w:lang w:val="en-US" w:eastAsia="zh-CN" w:bidi="ar-SA"/>
    </w:rPr>
  </w:style>
  <w:style w:type="table" w:customStyle="1" w:styleId="124">
    <w:name w:val="网格型1"/>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tblHeader/>
    </w:trPr>
  </w:style>
  <w:style w:type="character" w:customStyle="1" w:styleId="125">
    <w:name w:val="文档结构图 Char"/>
    <w:basedOn w:val="32"/>
    <w:link w:val="7"/>
    <w:semiHidden/>
    <w:qFormat/>
    <w:uiPriority w:val="0"/>
    <w:rPr>
      <w:kern w:val="2"/>
      <w:sz w:val="24"/>
      <w:shd w:val="clear" w:color="auto" w:fill="000080"/>
    </w:rPr>
  </w:style>
  <w:style w:type="character" w:customStyle="1" w:styleId="126">
    <w:name w:val="无间隔 Char"/>
    <w:link w:val="59"/>
    <w:qFormat/>
    <w:uiPriority w:val="1"/>
    <w:rPr>
      <w:rFonts w:ascii="Calibri" w:hAnsi="Calibri"/>
      <w:sz w:val="24"/>
      <w:szCs w:val="32"/>
      <w:lang w:eastAsia="en-US" w:bidi="en-US"/>
    </w:rPr>
  </w:style>
  <w:style w:type="paragraph" w:customStyle="1" w:styleId="127">
    <w:name w:val="新条文"/>
    <w:link w:val="128"/>
    <w:qFormat/>
    <w:uiPriority w:val="1"/>
    <w:pPr>
      <w:tabs>
        <w:tab w:val="left" w:pos="432"/>
        <w:tab w:val="left" w:pos="735"/>
      </w:tabs>
      <w:spacing w:line="400" w:lineRule="atLeast"/>
      <w:ind w:left="735" w:hanging="735"/>
    </w:pPr>
    <w:rPr>
      <w:rFonts w:ascii="Times New Roman" w:hAnsi="Times New Roman" w:eastAsia="宋体" w:cs="Times New Roman"/>
      <w:kern w:val="2"/>
      <w:sz w:val="24"/>
      <w:lang w:val="en-US" w:eastAsia="zh-CN" w:bidi="ar-SA"/>
    </w:rPr>
  </w:style>
  <w:style w:type="character" w:customStyle="1" w:styleId="128">
    <w:name w:val="新条文 Char"/>
    <w:link w:val="127"/>
    <w:qFormat/>
    <w:uiPriority w:val="1"/>
    <w:rPr>
      <w:kern w:val="2"/>
      <w:sz w:val="24"/>
    </w:rPr>
  </w:style>
  <w:style w:type="paragraph" w:customStyle="1" w:styleId="129">
    <w:name w:val="样式 标题 1 + 二号 居中"/>
    <w:basedOn w:val="2"/>
    <w:qFormat/>
    <w:uiPriority w:val="1"/>
    <w:pPr>
      <w:tabs>
        <w:tab w:val="clear" w:pos="425"/>
      </w:tabs>
      <w:ind w:left="0" w:firstLine="0"/>
      <w:jc w:val="center"/>
    </w:pPr>
    <w:rPr>
      <w:rFonts w:cs="宋体"/>
      <w:bCs/>
    </w:rPr>
  </w:style>
  <w:style w:type="paragraph" w:customStyle="1" w:styleId="130">
    <w:name w:val="样式 标题 2 + 居中"/>
    <w:basedOn w:val="3"/>
    <w:link w:val="131"/>
    <w:qFormat/>
    <w:uiPriority w:val="1"/>
    <w:pPr>
      <w:spacing w:line="413" w:lineRule="auto"/>
      <w:jc w:val="center"/>
    </w:pPr>
    <w:rPr>
      <w:rFonts w:cs="宋体"/>
      <w:sz w:val="28"/>
    </w:rPr>
  </w:style>
  <w:style w:type="character" w:customStyle="1" w:styleId="131">
    <w:name w:val="样式 标题 2 + 居中 Char"/>
    <w:link w:val="130"/>
    <w:qFormat/>
    <w:uiPriority w:val="1"/>
    <w:rPr>
      <w:rFonts w:ascii="Arial" w:hAnsi="Arial" w:eastAsia="黑体" w:cs="宋体"/>
      <w:b/>
      <w:bCs/>
      <w:kern w:val="2"/>
      <w:sz w:val="28"/>
      <w:szCs w:val="32"/>
    </w:rPr>
  </w:style>
  <w:style w:type="paragraph" w:customStyle="1" w:styleId="132">
    <w:name w:val="样式 小四 首行缩进:  0.85 厘米 行距: 固定值 20 磅"/>
    <w:basedOn w:val="1"/>
    <w:qFormat/>
    <w:uiPriority w:val="1"/>
    <w:pPr>
      <w:ind w:firstLine="482"/>
    </w:pPr>
  </w:style>
  <w:style w:type="paragraph" w:customStyle="1" w:styleId="133">
    <w:name w:val="样式 正文首行缩进:  2 字符 + 首行缩进:  2 字符"/>
    <w:basedOn w:val="1"/>
    <w:qFormat/>
    <w:uiPriority w:val="1"/>
    <w:pPr>
      <w:spacing w:line="400" w:lineRule="exact"/>
    </w:pPr>
  </w:style>
  <w:style w:type="paragraph" w:customStyle="1" w:styleId="134">
    <w:name w:val="样式3"/>
    <w:basedOn w:val="1"/>
    <w:link w:val="135"/>
    <w:qFormat/>
    <w:uiPriority w:val="1"/>
    <w:pPr>
      <w:ind w:firstLine="420"/>
      <w:jc w:val="left"/>
    </w:pPr>
    <w:rPr>
      <w:rFonts w:ascii="宋体" w:hAnsi="宋体"/>
    </w:rPr>
  </w:style>
  <w:style w:type="character" w:customStyle="1" w:styleId="135">
    <w:name w:val="样式3 Char"/>
    <w:link w:val="134"/>
    <w:qFormat/>
    <w:uiPriority w:val="1"/>
    <w:rPr>
      <w:rFonts w:ascii="宋体" w:hAnsi="宋体"/>
      <w:kern w:val="2"/>
      <w:sz w:val="24"/>
    </w:rPr>
  </w:style>
  <w:style w:type="paragraph" w:customStyle="1" w:styleId="136">
    <w:name w:val="样式7"/>
    <w:basedOn w:val="1"/>
    <w:qFormat/>
    <w:uiPriority w:val="1"/>
    <w:pPr>
      <w:ind w:firstLine="420"/>
    </w:pPr>
  </w:style>
  <w:style w:type="character" w:customStyle="1" w:styleId="137">
    <w:name w:val="页眉 Char"/>
    <w:link w:val="19"/>
    <w:qFormat/>
    <w:uiPriority w:val="1"/>
    <w:rPr>
      <w:kern w:val="2"/>
      <w:sz w:val="18"/>
      <w:szCs w:val="18"/>
    </w:rPr>
  </w:style>
  <w:style w:type="paragraph" w:customStyle="1" w:styleId="138">
    <w:name w:val="一级条标题"/>
    <w:next w:val="106"/>
    <w:qFormat/>
    <w:uiPriority w:val="1"/>
    <w:pPr>
      <w:tabs>
        <w:tab w:val="left" w:pos="1680"/>
      </w:tabs>
      <w:spacing w:beforeLines="50" w:afterLines="50"/>
      <w:ind w:left="1260" w:hanging="420"/>
      <w:outlineLvl w:val="2"/>
    </w:pPr>
    <w:rPr>
      <w:rFonts w:ascii="黑体" w:hAnsi="Times New Roman" w:eastAsia="黑体" w:cs="Times New Roman"/>
      <w:sz w:val="21"/>
      <w:szCs w:val="21"/>
      <w:lang w:val="en-US" w:eastAsia="zh-CN" w:bidi="ar-SA"/>
    </w:rPr>
  </w:style>
  <w:style w:type="paragraph" w:customStyle="1" w:styleId="139">
    <w:name w:val="一太郎"/>
    <w:qFormat/>
    <w:uiPriority w:val="1"/>
    <w:pPr>
      <w:widowControl w:val="0"/>
      <w:wordWrap w:val="0"/>
      <w:autoSpaceDE w:val="0"/>
      <w:autoSpaceDN w:val="0"/>
      <w:adjustRightInd w:val="0"/>
      <w:spacing w:line="309" w:lineRule="exact"/>
      <w:jc w:val="both"/>
    </w:pPr>
    <w:rPr>
      <w:rFonts w:ascii="Times New Roman" w:hAnsi="Times New Roman" w:eastAsia="MS Mincho" w:cs="MS Mincho"/>
      <w:sz w:val="21"/>
      <w:szCs w:val="21"/>
      <w:lang w:val="en-US" w:eastAsia="ja-JP" w:bidi="ar-SA"/>
    </w:rPr>
  </w:style>
  <w:style w:type="character" w:customStyle="1" w:styleId="140">
    <w:name w:val="正文首行缩进 Char"/>
    <w:basedOn w:val="67"/>
    <w:link w:val="29"/>
    <w:qFormat/>
    <w:uiPriority w:val="0"/>
    <w:rPr>
      <w:kern w:val="2"/>
      <w:sz w:val="24"/>
      <w:szCs w:val="24"/>
    </w:rPr>
  </w:style>
  <w:style w:type="paragraph" w:customStyle="1" w:styleId="141">
    <w:name w:val="正文首行缩进:  2 字符"/>
    <w:basedOn w:val="9"/>
    <w:qFormat/>
    <w:uiPriority w:val="0"/>
    <w:pPr>
      <w:spacing w:line="398" w:lineRule="auto"/>
    </w:pPr>
  </w:style>
  <w:style w:type="paragraph" w:customStyle="1" w:styleId="142">
    <w:name w:val="正文数字"/>
    <w:basedOn w:val="118"/>
    <w:link w:val="143"/>
    <w:qFormat/>
    <w:uiPriority w:val="0"/>
    <w:rPr>
      <w:b/>
    </w:rPr>
  </w:style>
  <w:style w:type="character" w:customStyle="1" w:styleId="143">
    <w:name w:val="正文数字 Char"/>
    <w:link w:val="142"/>
    <w:qFormat/>
    <w:uiPriority w:val="0"/>
    <w:rPr>
      <w:b/>
      <w:kern w:val="2"/>
      <w:sz w:val="28"/>
      <w:szCs w:val="24"/>
    </w:rPr>
  </w:style>
  <w:style w:type="character" w:customStyle="1" w:styleId="144">
    <w:name w:val="正文文本缩进 Char"/>
    <w:basedOn w:val="32"/>
    <w:link w:val="10"/>
    <w:qFormat/>
    <w:uiPriority w:val="0"/>
    <w:rPr>
      <w:rFonts w:eastAsia="楷体_GB2312"/>
      <w:kern w:val="2"/>
      <w:sz w:val="24"/>
    </w:rPr>
  </w:style>
  <w:style w:type="character" w:customStyle="1" w:styleId="145">
    <w:name w:val="正文文本缩进 2 Char"/>
    <w:basedOn w:val="32"/>
    <w:link w:val="16"/>
    <w:qFormat/>
    <w:uiPriority w:val="0"/>
    <w:rPr>
      <w:kern w:val="2"/>
      <w:sz w:val="24"/>
    </w:rPr>
  </w:style>
  <w:style w:type="character" w:customStyle="1" w:styleId="146">
    <w:name w:val="正文文本缩进 3 Char"/>
    <w:basedOn w:val="32"/>
    <w:link w:val="23"/>
    <w:qFormat/>
    <w:uiPriority w:val="0"/>
    <w:rPr>
      <w:rFonts w:ascii="楷体_GB2312" w:eastAsia="仿宋_GB2312"/>
      <w:kern w:val="2"/>
      <w:sz w:val="24"/>
    </w:rPr>
  </w:style>
  <w:style w:type="paragraph" w:customStyle="1" w:styleId="147">
    <w:name w:val="注"/>
    <w:basedOn w:val="1"/>
    <w:link w:val="148"/>
    <w:qFormat/>
    <w:uiPriority w:val="0"/>
    <w:pPr>
      <w:ind w:left="788" w:leftChars="200" w:hanging="368" w:hangingChars="175"/>
    </w:pPr>
  </w:style>
  <w:style w:type="character" w:customStyle="1" w:styleId="148">
    <w:name w:val="注 Char"/>
    <w:link w:val="147"/>
    <w:qFormat/>
    <w:uiPriority w:val="0"/>
    <w:rPr>
      <w:kern w:val="2"/>
      <w:sz w:val="24"/>
    </w:rPr>
  </w:style>
  <w:style w:type="paragraph" w:customStyle="1" w:styleId="149">
    <w:name w:val="小款-1"/>
    <w:basedOn w:val="54"/>
    <w:qFormat/>
    <w:uiPriority w:val="0"/>
    <w:pPr>
      <w:spacing w:line="360" w:lineRule="auto"/>
      <w:ind w:left="0" w:firstLine="720"/>
    </w:pPr>
  </w:style>
  <w:style w:type="paragraph" w:customStyle="1" w:styleId="150">
    <w:name w:val="列表段落1"/>
    <w:basedOn w:val="1"/>
    <w:qFormat/>
    <w:uiPriority w:val="34"/>
    <w:pPr>
      <w:adjustRightInd/>
      <w:snapToGrid/>
      <w:spacing w:line="240" w:lineRule="auto"/>
      <w:ind w:firstLine="420"/>
    </w:pPr>
    <w:rPr>
      <w:rFonts w:asciiTheme="minorHAnsi" w:hAnsiTheme="minorHAnsi" w:eastAsiaTheme="minorEastAsia" w:cstheme="minorBidi"/>
      <w:sz w:val="21"/>
      <w:szCs w:val="22"/>
    </w:rPr>
  </w:style>
  <w:style w:type="paragraph" w:customStyle="1" w:styleId="151">
    <w:name w:val="_Style 1"/>
    <w:basedOn w:val="1"/>
    <w:qFormat/>
    <w:uiPriority w:val="34"/>
    <w:pPr>
      <w:adjustRightInd/>
      <w:snapToGrid/>
      <w:spacing w:line="240" w:lineRule="auto"/>
      <w:ind w:firstLine="420"/>
    </w:pPr>
    <w:rPr>
      <w:rFonts w:asciiTheme="minorHAnsi" w:hAnsiTheme="minorHAnsi" w:eastAsiaTheme="minorEastAsia" w:cstheme="minorBidi"/>
      <w:sz w:val="21"/>
      <w:szCs w:val="22"/>
    </w:rPr>
  </w:style>
  <w:style w:type="paragraph" w:customStyle="1" w:styleId="152">
    <w:name w:val="List Paragraph1"/>
    <w:basedOn w:val="1"/>
    <w:qFormat/>
    <w:uiPriority w:val="34"/>
    <w:pPr>
      <w:ind w:firstLine="420"/>
    </w:pPr>
  </w:style>
  <w:style w:type="paragraph" w:customStyle="1" w:styleId="153">
    <w:name w:val="图表"/>
    <w:basedOn w:val="1"/>
    <w:qFormat/>
    <w:uiPriority w:val="0"/>
    <w:pPr>
      <w:jc w:val="center"/>
    </w:pPr>
    <w:rPr>
      <w:rFonts w:eastAsiaTheme="minorEastAsia"/>
      <w:szCs w:val="24"/>
    </w:rPr>
  </w:style>
  <w:style w:type="paragraph" w:customStyle="1" w:styleId="154">
    <w:name w:val="修订2"/>
    <w:hidden/>
    <w:semiHidden/>
    <w:qFormat/>
    <w:uiPriority w:val="99"/>
    <w:rPr>
      <w:rFonts w:ascii="Times New Roman" w:hAnsi="Times New Roman" w:eastAsia="宋体" w:cs="Times New Roman"/>
      <w:kern w:val="2"/>
      <w:sz w:val="24"/>
      <w:lang w:val="en-US" w:eastAsia="zh-CN" w:bidi="ar-SA"/>
    </w:rPr>
  </w:style>
  <w:style w:type="paragraph" w:customStyle="1" w:styleId="155">
    <w:name w:val="章标题"/>
    <w:next w:val="1"/>
    <w:qFormat/>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56">
    <w:name w:val="TOC 标题2"/>
    <w:basedOn w:val="2"/>
    <w:next w:val="1"/>
    <w:unhideWhenUsed/>
    <w:qFormat/>
    <w:uiPriority w:val="39"/>
    <w:pPr>
      <w:widowControl/>
      <w:tabs>
        <w:tab w:val="clear" w:pos="425"/>
      </w:tabs>
      <w:adjustRightInd/>
      <w:snapToGrid/>
      <w:spacing w:before="240" w:after="0" w:line="259" w:lineRule="auto"/>
      <w:ind w:left="0" w:firstLine="0" w:firstLineChars="0"/>
      <w:jc w:val="left"/>
      <w:outlineLvl w:val="9"/>
    </w:pPr>
    <w:rPr>
      <w:rFonts w:asciiTheme="majorHAnsi" w:hAnsiTheme="majorHAnsi" w:eastAsiaTheme="majorEastAsia" w:cstheme="majorBidi"/>
      <w:b w:val="0"/>
      <w:color w:val="376092" w:themeColor="accent1" w:themeShade="BF"/>
      <w:kern w:val="0"/>
      <w:sz w:val="32"/>
      <w:szCs w:val="32"/>
    </w:rPr>
  </w:style>
  <w:style w:type="character" w:customStyle="1" w:styleId="157">
    <w:name w:val="未处理的提及1"/>
    <w:basedOn w:val="32"/>
    <w:semiHidden/>
    <w:unhideWhenUsed/>
    <w:qFormat/>
    <w:uiPriority w:val="99"/>
    <w:rPr>
      <w:color w:val="605E5C"/>
      <w:shd w:val="clear" w:color="auto" w:fill="E1DFDD"/>
    </w:rPr>
  </w:style>
  <w:style w:type="character" w:customStyle="1" w:styleId="158">
    <w:name w:val="节 Char"/>
    <w:link w:val="41"/>
    <w:qFormat/>
    <w:uiPriority w:val="0"/>
    <w:rPr>
      <w:b/>
      <w:szCs w:val="24"/>
    </w:rPr>
  </w:style>
  <w:style w:type="paragraph" w:customStyle="1" w:styleId="159">
    <w:name w:val="修订3"/>
    <w:hidden/>
    <w:semiHidden/>
    <w:qFormat/>
    <w:uiPriority w:val="99"/>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0.png"/><Relationship Id="rId41" Type="http://schemas.openxmlformats.org/officeDocument/2006/relationships/image" Target="media/image19.png"/><Relationship Id="rId40" Type="http://schemas.openxmlformats.org/officeDocument/2006/relationships/image" Target="media/image18.png"/><Relationship Id="rId4" Type="http://schemas.openxmlformats.org/officeDocument/2006/relationships/endnotes" Target="endnotes.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png"/><Relationship Id="rId36" Type="http://schemas.openxmlformats.org/officeDocument/2006/relationships/image" Target="media/image14.png"/><Relationship Id="rId35" Type="http://schemas.openxmlformats.org/officeDocument/2006/relationships/image" Target="media/image13.png"/><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emf"/><Relationship Id="rId31" Type="http://schemas.openxmlformats.org/officeDocument/2006/relationships/image" Target="media/image9.emf"/><Relationship Id="rId30" Type="http://schemas.openxmlformats.org/officeDocument/2006/relationships/image" Target="media/image8.emf"/><Relationship Id="rId3" Type="http://schemas.openxmlformats.org/officeDocument/2006/relationships/footnotes" Target="footnotes.xml"/><Relationship Id="rId29" Type="http://schemas.openxmlformats.org/officeDocument/2006/relationships/image" Target="media/image7.png"/><Relationship Id="rId28" Type="http://schemas.openxmlformats.org/officeDocument/2006/relationships/image" Target="media/image6.emf"/><Relationship Id="rId27" Type="http://schemas.openxmlformats.org/officeDocument/2006/relationships/image" Target="media/image5.emf"/><Relationship Id="rId26" Type="http://schemas.openxmlformats.org/officeDocument/2006/relationships/image" Target="media/image4.emf"/><Relationship Id="rId25" Type="http://schemas.openxmlformats.org/officeDocument/2006/relationships/image" Target="media/image3.emf"/><Relationship Id="rId24" Type="http://schemas.openxmlformats.org/officeDocument/2006/relationships/image" Target="media/image2.emf"/><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2778</Words>
  <Characters>15837</Characters>
  <Lines>131</Lines>
  <Paragraphs>37</Paragraphs>
  <TotalTime>185</TotalTime>
  <ScaleCrop>false</ScaleCrop>
  <LinksUpToDate>false</LinksUpToDate>
  <CharactersWithSpaces>18578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2021-12-10T10:36:00Z</dcterms:created>
  <dc:creator>zap</dc:creator>
  <cp:lastModifiedBy>admini1</cp:lastModifiedBy>
  <cp:lastPrinted>2022-01-13T16:38:00Z</cp:lastPrinted>
  <dcterms:modified xsi:type="dcterms:W3CDTF">2022-01-14T10:58:10Z</dcterms:modified>
  <dc:title>《高强钢筋在混凝土结构中应用技术导则》</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KSOProductBuildVer">
    <vt:lpwstr>2052-11.8.2.10386</vt:lpwstr>
  </property>
  <property fmtid="{D5CDD505-2E9C-101B-9397-08002B2CF9AE}" pid="5" name="ICV">
    <vt:lpwstr>DFA14F1D5A354E44A0E38204A668A277</vt:lpwstr>
  </property>
</Properties>
</file>