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hint="eastAsia" w:ascii="方正小标宋_GBK" w:hAnsi="方正小标宋_GBK" w:eastAsia="方正小标宋_GBK" w:cs="方正小标宋_GBK"/>
          <w:sz w:val="32"/>
          <w:szCs w:val="32"/>
          <w:lang w:val="en-US" w:eastAsia="zh-CN"/>
        </w:rPr>
      </w:pPr>
      <w:bookmarkStart w:id="0" w:name="_GoBack"/>
      <w:r>
        <w:rPr>
          <w:rFonts w:hint="eastAsia" w:ascii="方正小标宋_GBK" w:hAnsi="方正小标宋_GBK" w:eastAsia="方正小标宋_GBK" w:cs="方正小标宋_GBK"/>
          <w:sz w:val="32"/>
          <w:szCs w:val="32"/>
          <w:lang w:val="en-US" w:eastAsia="zh-CN"/>
        </w:rPr>
        <w:t>《广东省散装水泥和新型墙体材料发展应用管理规定（公开征求意见稿）》意见采纳情况表</w:t>
      </w:r>
    </w:p>
    <w:bookmarkEnd w:id="0"/>
    <w:p>
      <w:pPr>
        <w:ind w:firstLine="640"/>
        <w:jc w:val="center"/>
        <w:rPr>
          <w:rFonts w:hint="eastAsia" w:ascii="方正小标宋_GBK" w:hAnsi="方正小标宋_GBK" w:eastAsia="方正小标宋_GBK" w:cs="方正小标宋_GBK"/>
          <w:sz w:val="36"/>
          <w:szCs w:val="36"/>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467"/>
        <w:gridCol w:w="3498"/>
        <w:gridCol w:w="6300"/>
        <w:gridCol w:w="1809"/>
        <w:gridCol w:w="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467"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反馈单位</w:t>
            </w:r>
          </w:p>
        </w:tc>
        <w:tc>
          <w:tcPr>
            <w:tcW w:w="3498"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原文</w:t>
            </w:r>
          </w:p>
        </w:tc>
        <w:tc>
          <w:tcPr>
            <w:tcW w:w="6300"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建议修改及理由</w:t>
            </w:r>
          </w:p>
        </w:tc>
        <w:tc>
          <w:tcPr>
            <w:tcW w:w="1809"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采纳情况</w:t>
            </w:r>
          </w:p>
        </w:tc>
        <w:tc>
          <w:tcPr>
            <w:tcW w:w="448"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１</w:t>
            </w:r>
          </w:p>
        </w:tc>
        <w:tc>
          <w:tcPr>
            <w:tcW w:w="146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outlineLvl w:val="9"/>
              <w:rPr>
                <w:rFonts w:hint="eastAsia" w:ascii="宋体" w:hAnsi="宋体" w:eastAsia="宋体" w:cs="宋体"/>
                <w:sz w:val="24"/>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lang w:val="en-US" w:eastAsia="zh-CN"/>
              </w:rPr>
              <w:t>深圳市为海建材有限公司</w:t>
            </w:r>
          </w:p>
        </w:tc>
        <w:tc>
          <w:tcPr>
            <w:tcW w:w="3498" w:type="dxa"/>
            <w:noWrap w:val="0"/>
            <w:vAlign w:val="center"/>
          </w:tcPr>
          <w:p>
            <w:pPr>
              <w:jc w:val="left"/>
              <w:rPr>
                <w:rFonts w:hint="eastAsia" w:ascii="宋体" w:hAnsi="宋体" w:eastAsia="宋体" w:cs="宋体"/>
                <w:sz w:val="21"/>
                <w:szCs w:val="21"/>
                <w:vertAlign w:val="baseline"/>
                <w:lang w:val="en-US" w:eastAsia="zh-CN"/>
              </w:rPr>
            </w:pPr>
            <w:r>
              <w:rPr>
                <w:rFonts w:hint="eastAsia" w:ascii="宋体" w:hAnsi="宋体" w:eastAsia="宋体" w:cs="宋体"/>
                <w:lang w:val="en-US" w:eastAsia="zh-CN"/>
              </w:rPr>
              <w:t>第十四条“预拌混凝土、预拌砂浆和混凝土预制构件生产企业应当推行绿色生产管理方式，搅拌站（厂）应按照国家和省的绿色生产及管理技术标准管理，并符合下列规定：</w:t>
            </w:r>
          </w:p>
        </w:tc>
        <w:tc>
          <w:tcPr>
            <w:tcW w:w="6300" w:type="dxa"/>
            <w:noWrap w:val="0"/>
            <w:vAlign w:val="center"/>
          </w:tcPr>
          <w:p>
            <w:pPr>
              <w:jc w:val="both"/>
              <w:rPr>
                <w:rFonts w:hint="eastAsia" w:ascii="宋体" w:hAnsi="宋体" w:eastAsia="宋体" w:cs="宋体"/>
                <w:lang w:val="en-US" w:eastAsia="zh-CN"/>
              </w:rPr>
            </w:pPr>
            <w:r>
              <w:rPr>
                <w:rFonts w:hint="eastAsia" w:ascii="宋体" w:hAnsi="宋体" w:eastAsia="宋体" w:cs="宋体"/>
                <w:lang w:val="en-US" w:eastAsia="zh-CN"/>
              </w:rPr>
              <w:t>　　建议修改为“预拌混凝土、预拌砂浆和混凝土预制构件生产企业应当推行绿色生产管理方式，新建、改建、扩建的搅拌站（厂）应按照国家和省的绿色生产及管理技术标准管理，鼓励现有搅拌站（厂）实行绿色生产及管理技术标准管理，符合下列规定……</w:t>
            </w:r>
          </w:p>
          <w:p>
            <w:pPr>
              <w:jc w:val="both"/>
              <w:rPr>
                <w:rFonts w:hint="eastAsia" w:ascii="宋体" w:hAnsi="宋体" w:eastAsia="宋体" w:cs="宋体"/>
                <w:lang w:val="en-US" w:eastAsia="zh-CN"/>
              </w:rPr>
            </w:pPr>
            <w:r>
              <w:rPr>
                <w:rFonts w:hint="eastAsia" w:ascii="宋体" w:hAnsi="宋体" w:eastAsia="宋体" w:cs="宋体"/>
                <w:lang w:val="en-US" w:eastAsia="zh-CN"/>
              </w:rPr>
              <w:t>　　理由：原有搅拌站受用地手续等因素的影响，难以完全按照要求实行绿色生产及管理技术标准管理。</w:t>
            </w:r>
          </w:p>
        </w:tc>
        <w:tc>
          <w:tcPr>
            <w:tcW w:w="1809"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采纳</w:t>
            </w:r>
          </w:p>
        </w:tc>
        <w:tc>
          <w:tcPr>
            <w:tcW w:w="448" w:type="dxa"/>
            <w:noWrap w:val="0"/>
            <w:vAlign w:val="top"/>
          </w:tcPr>
          <w:p>
            <w:pP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jc w:val="center"/>
              <w:rPr>
                <w:rFonts w:hint="eastAsia" w:ascii="宋体" w:hAnsi="宋体" w:eastAsia="宋体" w:cs="宋体"/>
                <w:sz w:val="21"/>
                <w:szCs w:val="21"/>
                <w:vertAlign w:val="baseline"/>
                <w:lang w:val="en" w:eastAsia="zh-CN"/>
              </w:rPr>
            </w:pPr>
            <w:r>
              <w:rPr>
                <w:rFonts w:hint="eastAsia" w:ascii="宋体" w:hAnsi="宋体" w:eastAsia="宋体" w:cs="宋体"/>
                <w:sz w:val="21"/>
                <w:szCs w:val="21"/>
                <w:vertAlign w:val="baseline"/>
                <w:lang w:val="en" w:eastAsia="zh-CN"/>
              </w:rPr>
              <w:t>2</w:t>
            </w:r>
          </w:p>
        </w:tc>
        <w:tc>
          <w:tcPr>
            <w:tcW w:w="1467"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3498" w:type="dxa"/>
            <w:noWrap w:val="0"/>
            <w:vAlign w:val="center"/>
          </w:tcPr>
          <w:p>
            <w:pPr>
              <w:jc w:val="left"/>
              <w:rPr>
                <w:rFonts w:hint="eastAsia" w:ascii="宋体" w:hAnsi="宋体" w:eastAsia="宋体" w:cs="宋体"/>
                <w:lang w:val="en-US" w:eastAsia="zh-CN"/>
              </w:rPr>
            </w:pPr>
            <w:r>
              <w:rPr>
                <w:rFonts w:hint="eastAsia" w:ascii="宋体" w:hAnsi="宋体" w:eastAsia="宋体" w:cs="宋体"/>
                <w:lang w:val="en-US" w:eastAsia="zh-CN"/>
              </w:rPr>
              <w:t>第十五条“……划定禁止使用袋装水泥、使用袋装普通预拌砂浆和禁止现场搅拌混凝土、现场搅拌普通砂浆的范围……”</w:t>
            </w:r>
          </w:p>
        </w:tc>
        <w:tc>
          <w:tcPr>
            <w:tcW w:w="6300" w:type="dxa"/>
            <w:noWrap w:val="0"/>
            <w:vAlign w:val="center"/>
          </w:tcPr>
          <w:p>
            <w:pPr>
              <w:ind w:firstLine="420" w:firstLineChars="200"/>
              <w:jc w:val="both"/>
              <w:rPr>
                <w:rFonts w:hint="eastAsia" w:ascii="宋体" w:hAnsi="宋体" w:eastAsia="宋体" w:cs="宋体"/>
                <w:lang w:val="en-US" w:eastAsia="zh-CN"/>
              </w:rPr>
            </w:pPr>
            <w:r>
              <w:rPr>
                <w:rFonts w:hint="eastAsia" w:ascii="宋体" w:hAnsi="宋体" w:eastAsia="宋体" w:cs="宋体"/>
                <w:lang w:val="en-US" w:eastAsia="zh-CN"/>
              </w:rPr>
              <w:t>建议修改为“……划定禁止使用袋装水泥、袋装普通预拌砂浆和禁止现场搅拌混凝土、现场搅拌普通砂浆的范围……”</w:t>
            </w:r>
          </w:p>
          <w:p>
            <w:pPr>
              <w:jc w:val="both"/>
              <w:rPr>
                <w:rFonts w:hint="eastAsia" w:ascii="宋体" w:hAnsi="宋体" w:eastAsia="宋体" w:cs="宋体"/>
                <w:lang w:val="en-US" w:eastAsia="zh-CN"/>
              </w:rPr>
            </w:pPr>
            <w:r>
              <w:rPr>
                <w:rFonts w:hint="eastAsia" w:ascii="宋体" w:hAnsi="宋体" w:eastAsia="宋体" w:cs="宋体"/>
                <w:lang w:val="en-US" w:eastAsia="zh-CN"/>
              </w:rPr>
              <w:t>　　理由:原文易引起歧义，易误解为允许使用袋装普通预拌砂浆。</w:t>
            </w:r>
          </w:p>
        </w:tc>
        <w:tc>
          <w:tcPr>
            <w:tcW w:w="1809"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采纳</w:t>
            </w:r>
          </w:p>
        </w:tc>
        <w:tc>
          <w:tcPr>
            <w:tcW w:w="448" w:type="dxa"/>
            <w:noWrap w:val="0"/>
            <w:vAlign w:val="top"/>
          </w:tcPr>
          <w:p>
            <w:pP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652" w:type="dxa"/>
            <w:noWrap w:val="0"/>
            <w:vAlign w:val="center"/>
          </w:tcPr>
          <w:p>
            <w:pPr>
              <w:jc w:val="center"/>
              <w:rPr>
                <w:rFonts w:hint="default" w:eastAsia="宋体" w:cs="Times New Roman"/>
                <w:lang w:val="en" w:eastAsia="zh-CN"/>
              </w:rPr>
            </w:pPr>
            <w:r>
              <w:rPr>
                <w:rFonts w:hint="default" w:eastAsia="宋体" w:cs="Times New Roman"/>
                <w:lang w:val="en" w:eastAsia="zh-CN"/>
              </w:rPr>
              <w:t>3</w:t>
            </w:r>
          </w:p>
        </w:tc>
        <w:tc>
          <w:tcPr>
            <w:tcW w:w="1467" w:type="dxa"/>
            <w:vMerge w:val="continue"/>
            <w:noWrap w:val="0"/>
            <w:vAlign w:val="center"/>
          </w:tcPr>
          <w:p>
            <w:pPr>
              <w:jc w:val="center"/>
              <w:rPr>
                <w:rFonts w:hint="eastAsia" w:eastAsia="宋体" w:cs="Times New Roman"/>
                <w:lang w:val="en-US" w:eastAsia="zh-CN"/>
              </w:rPr>
            </w:pPr>
          </w:p>
        </w:tc>
        <w:tc>
          <w:tcPr>
            <w:tcW w:w="3498" w:type="dxa"/>
            <w:noWrap w:val="0"/>
            <w:vAlign w:val="center"/>
          </w:tcPr>
          <w:p>
            <w:pPr>
              <w:jc w:val="left"/>
              <w:rPr>
                <w:rFonts w:hint="eastAsia" w:eastAsia="宋体" w:cs="Times New Roman"/>
                <w:lang w:val="en-US" w:eastAsia="zh-CN"/>
              </w:rPr>
            </w:pPr>
          </w:p>
        </w:tc>
        <w:tc>
          <w:tcPr>
            <w:tcW w:w="6300" w:type="dxa"/>
            <w:noWrap w:val="0"/>
            <w:vAlign w:val="center"/>
          </w:tcPr>
          <w:p>
            <w:pPr>
              <w:jc w:val="both"/>
              <w:rPr>
                <w:rFonts w:hint="eastAsia" w:eastAsia="宋体" w:cs="Times New Roman"/>
                <w:lang w:val="en-US" w:eastAsia="zh-CN"/>
              </w:rPr>
            </w:pPr>
            <w:r>
              <w:rPr>
                <w:rFonts w:hint="eastAsia" w:eastAsia="宋体" w:cs="Times New Roman"/>
                <w:lang w:val="en-US" w:eastAsia="zh-CN"/>
              </w:rPr>
              <w:t>　　建议删除第十七条。理由：一是现有搅拌站能满足绝大多数专业工程项目中的预拌混凝土和预拌砂浆需求；二是对于预拌混凝土、预拌砂浆生产企业无法供应等特殊原因的，第十六条中已明确同意现场搅拌混凝土和现场搅拌砂浆；三是专业工程项目预拌混凝土、预拌砂浆搅拌站作为取得专业承包资质的预拌混凝土企业，与本条的不得对外供应或销售、建设工程项目竣工后三个月内自行拆除，及禁止将该搅拌站转让、出租或出售给其他单位和个人再生产等条件是相违背的。因此，为保障现有企业的合法权利，不建议存在专业工程项目预拌混凝土、预拌砂浆搅拌站。</w:t>
            </w:r>
          </w:p>
        </w:tc>
        <w:tc>
          <w:tcPr>
            <w:tcW w:w="1809" w:type="dxa"/>
            <w:noWrap w:val="0"/>
            <w:vAlign w:val="center"/>
          </w:tcPr>
          <w:p>
            <w:pPr>
              <w:jc w:val="both"/>
              <w:rPr>
                <w:rFonts w:hint="default" w:eastAsia="宋体" w:cs="Times New Roman"/>
                <w:lang w:val="en" w:eastAsia="zh-CN"/>
              </w:rPr>
            </w:pPr>
            <w:r>
              <w:rPr>
                <w:rFonts w:hint="eastAsia" w:eastAsia="宋体" w:cs="Times New Roman"/>
                <w:lang w:val="en" w:eastAsia="zh-CN"/>
              </w:rPr>
              <w:t>不采纳。理由：增设这一条主要是解决当交通能源等工程自建搅拌站管理职责分清问题。</w:t>
            </w:r>
          </w:p>
        </w:tc>
        <w:tc>
          <w:tcPr>
            <w:tcW w:w="448" w:type="dxa"/>
            <w:noWrap w:val="0"/>
            <w:vAlign w:val="top"/>
          </w:tcPr>
          <w:p>
            <w:pPr>
              <w:rPr>
                <w:rFonts w:hint="eastAsia"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jc w:val="center"/>
              <w:rPr>
                <w:rFonts w:hint="default" w:eastAsia="宋体" w:cs="Times New Roman"/>
                <w:lang w:val="en" w:eastAsia="zh-CN"/>
              </w:rPr>
            </w:pPr>
            <w:r>
              <w:rPr>
                <w:rFonts w:hint="default" w:eastAsia="宋体" w:cs="Times New Roman"/>
                <w:lang w:val="en" w:eastAsia="zh-CN"/>
              </w:rPr>
              <w:t>4</w:t>
            </w:r>
          </w:p>
        </w:tc>
        <w:tc>
          <w:tcPr>
            <w:tcW w:w="1467" w:type="dxa"/>
            <w:vMerge w:val="continue"/>
            <w:noWrap w:val="0"/>
            <w:vAlign w:val="center"/>
          </w:tcPr>
          <w:p>
            <w:pPr>
              <w:jc w:val="center"/>
              <w:rPr>
                <w:rFonts w:hint="eastAsia" w:eastAsia="宋体" w:cs="Times New Roman"/>
                <w:lang w:val="en-US" w:eastAsia="zh-CN"/>
              </w:rPr>
            </w:pPr>
          </w:p>
        </w:tc>
        <w:tc>
          <w:tcPr>
            <w:tcW w:w="3498" w:type="dxa"/>
            <w:noWrap w:val="0"/>
            <w:vAlign w:val="center"/>
          </w:tcPr>
          <w:p>
            <w:pPr>
              <w:jc w:val="left"/>
              <w:rPr>
                <w:rFonts w:hint="eastAsia" w:eastAsia="宋体" w:cs="Times New Roman"/>
                <w:lang w:val="en-US" w:eastAsia="zh-CN"/>
              </w:rPr>
            </w:pPr>
          </w:p>
        </w:tc>
        <w:tc>
          <w:tcPr>
            <w:tcW w:w="6300" w:type="dxa"/>
            <w:noWrap w:val="0"/>
            <w:vAlign w:val="center"/>
          </w:tcPr>
          <w:p>
            <w:pPr>
              <w:jc w:val="both"/>
              <w:rPr>
                <w:rFonts w:hint="eastAsia" w:eastAsia="宋体" w:cs="Times New Roman"/>
                <w:lang w:val="en-US" w:eastAsia="zh-CN"/>
              </w:rPr>
            </w:pPr>
            <w:r>
              <w:rPr>
                <w:rFonts w:hint="eastAsia" w:eastAsia="宋体" w:cs="Times New Roman"/>
                <w:lang w:val="en-US" w:eastAsia="zh-CN"/>
              </w:rPr>
              <w:t>　　第十八条中不允许产装配式建筑混凝土部品部件、管桩等的生产企业可配套建设预拌混凝土搅拌站。</w:t>
            </w:r>
          </w:p>
          <w:p>
            <w:pPr>
              <w:ind w:firstLine="420" w:firstLineChars="200"/>
              <w:jc w:val="both"/>
              <w:rPr>
                <w:rFonts w:hint="default" w:eastAsia="宋体" w:cs="Times New Roman"/>
                <w:lang w:val="en-US" w:eastAsia="zh-CN"/>
              </w:rPr>
            </w:pPr>
            <w:r>
              <w:rPr>
                <w:rFonts w:hint="eastAsia" w:eastAsia="宋体" w:cs="Times New Roman"/>
                <w:lang w:val="en-US" w:eastAsia="zh-CN"/>
              </w:rPr>
              <w:t>理由：根据《建筑业企业资质管理规定》（住房和城乡建设部令第22号）第三条规定，企业应当按照其拥有的资产、主要人员、已完成的工程业绩和技术装备等条件申请建筑业企业资质，经审查合格，取得建筑业企业资质证书后，方可在资质许可的范围内从事建筑施工活动。因此，预拌混凝土搅拌站应取得建筑业企业专业资质证书。</w:t>
            </w:r>
          </w:p>
          <w:p>
            <w:pPr>
              <w:jc w:val="both"/>
              <w:rPr>
                <w:rFonts w:hint="eastAsia" w:eastAsia="宋体" w:cs="Times New Roman"/>
                <w:lang w:val="en-US" w:eastAsia="zh-CN"/>
              </w:rPr>
            </w:pPr>
          </w:p>
        </w:tc>
        <w:tc>
          <w:tcPr>
            <w:tcW w:w="1809" w:type="dxa"/>
            <w:noWrap w:val="0"/>
            <w:vAlign w:val="center"/>
          </w:tcPr>
          <w:p>
            <w:pPr>
              <w:jc w:val="both"/>
              <w:rPr>
                <w:rFonts w:hint="eastAsia" w:eastAsia="宋体" w:cs="Times New Roman"/>
                <w:lang w:val="en-US" w:eastAsia="zh-CN"/>
              </w:rPr>
            </w:pPr>
            <w:r>
              <w:rPr>
                <w:rFonts w:hint="eastAsia" w:eastAsia="宋体" w:cs="Times New Roman"/>
                <w:lang w:val="en" w:eastAsia="zh-CN"/>
              </w:rPr>
              <w:t>不采纳。理由：混凝土部品部件厂内的搅拌站，是工厂生产的一个环节，不对外销售，不是独立法人，不想矛盾。</w:t>
            </w:r>
          </w:p>
        </w:tc>
        <w:tc>
          <w:tcPr>
            <w:tcW w:w="448" w:type="dxa"/>
            <w:noWrap w:val="0"/>
            <w:vAlign w:val="top"/>
          </w:tcPr>
          <w:p>
            <w:pPr>
              <w:rPr>
                <w:rFonts w:hint="eastAsia"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652" w:type="dxa"/>
            <w:noWrap w:val="0"/>
            <w:vAlign w:val="center"/>
          </w:tcPr>
          <w:p>
            <w:pPr>
              <w:jc w:val="center"/>
              <w:rPr>
                <w:rFonts w:hint="default" w:eastAsia="宋体" w:cs="Times New Roman"/>
                <w:lang w:val="en" w:eastAsia="zh-CN"/>
              </w:rPr>
            </w:pPr>
            <w:r>
              <w:rPr>
                <w:rFonts w:hint="default" w:eastAsia="宋体" w:cs="Times New Roman"/>
                <w:lang w:val="en" w:eastAsia="zh-CN"/>
              </w:rPr>
              <w:t>5</w:t>
            </w:r>
          </w:p>
        </w:tc>
        <w:tc>
          <w:tcPr>
            <w:tcW w:w="1467" w:type="dxa"/>
            <w:vMerge w:val="continue"/>
            <w:noWrap w:val="0"/>
            <w:vAlign w:val="center"/>
          </w:tcPr>
          <w:p>
            <w:pPr>
              <w:jc w:val="center"/>
              <w:rPr>
                <w:rFonts w:hint="eastAsia" w:eastAsia="宋体" w:cs="Times New Roman"/>
                <w:lang w:val="en-US" w:eastAsia="zh-CN"/>
              </w:rPr>
            </w:pPr>
          </w:p>
        </w:tc>
        <w:tc>
          <w:tcPr>
            <w:tcW w:w="3498" w:type="dxa"/>
            <w:noWrap w:val="0"/>
            <w:vAlign w:val="center"/>
          </w:tcPr>
          <w:p>
            <w:pPr>
              <w:jc w:val="left"/>
              <w:rPr>
                <w:rFonts w:hint="eastAsia" w:eastAsia="宋体" w:cs="Times New Roman"/>
                <w:lang w:val="en-US" w:eastAsia="zh-CN"/>
              </w:rPr>
            </w:pPr>
            <w:r>
              <w:rPr>
                <w:rFonts w:hint="eastAsia" w:eastAsia="宋体" w:cs="Times New Roman"/>
                <w:lang w:val="en-US" w:eastAsia="zh-CN"/>
              </w:rPr>
              <w:t>第二十九条第二款“</w:t>
            </w:r>
            <w:r>
              <w:rPr>
                <w:rFonts w:hint="default" w:eastAsia="宋体" w:cs="Times New Roman"/>
                <w:lang w:val="en-US" w:eastAsia="zh-CN"/>
              </w:rPr>
              <w:t>企业利用建筑垃圾生产新型墙体材料的，应向县级以上地方人民政府市容环境卫生主管部门申请并获得城市建筑垃圾处置核准。</w:t>
            </w:r>
            <w:r>
              <w:rPr>
                <w:rFonts w:hint="eastAsia" w:eastAsia="宋体" w:cs="Times New Roman"/>
                <w:lang w:val="en-US" w:eastAsia="zh-CN"/>
              </w:rPr>
              <w:t>”</w:t>
            </w:r>
          </w:p>
        </w:tc>
        <w:tc>
          <w:tcPr>
            <w:tcW w:w="6300" w:type="dxa"/>
            <w:noWrap w:val="0"/>
            <w:vAlign w:val="center"/>
          </w:tcPr>
          <w:p>
            <w:pPr>
              <w:jc w:val="both"/>
              <w:rPr>
                <w:rFonts w:hint="default" w:eastAsia="宋体" w:cs="Times New Roman"/>
                <w:lang w:val="en-US" w:eastAsia="zh-CN"/>
              </w:rPr>
            </w:pPr>
            <w:r>
              <w:rPr>
                <w:rFonts w:hint="eastAsia" w:eastAsia="宋体" w:cs="Times New Roman"/>
                <w:lang w:val="en-US" w:eastAsia="zh-CN"/>
              </w:rPr>
              <w:t>　　建议修改为“</w:t>
            </w:r>
            <w:r>
              <w:rPr>
                <w:rFonts w:hint="default" w:eastAsia="宋体" w:cs="Times New Roman"/>
                <w:lang w:val="en-US" w:eastAsia="zh-CN"/>
              </w:rPr>
              <w:t>企业利用建筑垃圾生产新型墙体材料的，应向县级以上地方人民政府市容环境卫生主管部门申请并获得城市建筑垃圾处置核准</w:t>
            </w:r>
            <w:r>
              <w:rPr>
                <w:rFonts w:hint="eastAsia" w:eastAsia="宋体" w:cs="Times New Roman"/>
                <w:lang w:val="en-US" w:eastAsia="zh-CN"/>
              </w:rPr>
              <w:t>或备案</w:t>
            </w:r>
            <w:r>
              <w:rPr>
                <w:rFonts w:hint="default" w:eastAsia="宋体" w:cs="Times New Roman"/>
                <w:lang w:val="en-US" w:eastAsia="zh-CN"/>
              </w:rPr>
              <w:t>。</w:t>
            </w:r>
            <w:r>
              <w:rPr>
                <w:rFonts w:hint="eastAsia" w:eastAsia="宋体" w:cs="Times New Roman"/>
                <w:lang w:val="en-US" w:eastAsia="zh-CN"/>
              </w:rPr>
              <w:t>”</w:t>
            </w:r>
          </w:p>
          <w:p>
            <w:pPr>
              <w:jc w:val="both"/>
              <w:rPr>
                <w:rFonts w:hint="eastAsia" w:eastAsia="宋体" w:cs="Times New Roman"/>
                <w:lang w:val="en-US" w:eastAsia="zh-CN"/>
              </w:rPr>
            </w:pPr>
            <w:r>
              <w:rPr>
                <w:rFonts w:hint="eastAsia" w:eastAsia="宋体" w:cs="Times New Roman"/>
                <w:lang w:val="en-US" w:eastAsia="zh-CN"/>
              </w:rPr>
              <w:t>　　理由：根据《深圳市建筑废弃物综合利用企业监督管理办法》第七条规定“综合利用企业消纳建筑废弃物或者排放无法再利用的建筑废弃物前，应当向辖区主管部门申请办理备案。”</w:t>
            </w:r>
          </w:p>
        </w:tc>
        <w:tc>
          <w:tcPr>
            <w:tcW w:w="1809" w:type="dxa"/>
            <w:noWrap w:val="0"/>
            <w:vAlign w:val="center"/>
          </w:tcPr>
          <w:p>
            <w:pPr>
              <w:jc w:val="center"/>
              <w:rPr>
                <w:rFonts w:hint="eastAsia" w:eastAsia="宋体" w:cs="Times New Roman"/>
                <w:lang w:val="en-US" w:eastAsia="zh-CN"/>
              </w:rPr>
            </w:pPr>
            <w:r>
              <w:rPr>
                <w:rFonts w:hint="eastAsia" w:eastAsia="宋体" w:cs="Times New Roman"/>
                <w:lang w:val="en-US" w:eastAsia="zh-CN"/>
              </w:rPr>
              <w:t>采纳</w:t>
            </w:r>
          </w:p>
        </w:tc>
        <w:tc>
          <w:tcPr>
            <w:tcW w:w="448" w:type="dxa"/>
            <w:noWrap w:val="0"/>
            <w:vAlign w:val="top"/>
          </w:tcPr>
          <w:p>
            <w:pPr>
              <w:rPr>
                <w:rFonts w:hint="eastAsia"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3" w:hRule="atLeast"/>
        </w:trPr>
        <w:tc>
          <w:tcPr>
            <w:tcW w:w="652" w:type="dxa"/>
            <w:noWrap w:val="0"/>
            <w:vAlign w:val="center"/>
          </w:tcPr>
          <w:p>
            <w:pPr>
              <w:jc w:val="center"/>
              <w:rPr>
                <w:rFonts w:hint="default" w:eastAsia="宋体" w:cs="Times New Roman"/>
                <w:lang w:val="en" w:eastAsia="zh-CN"/>
              </w:rPr>
            </w:pPr>
            <w:r>
              <w:rPr>
                <w:rFonts w:hint="default" w:eastAsia="宋体" w:cs="Times New Roman"/>
                <w:lang w:val="en" w:eastAsia="zh-CN"/>
              </w:rPr>
              <w:t>6</w:t>
            </w:r>
          </w:p>
        </w:tc>
        <w:tc>
          <w:tcPr>
            <w:tcW w:w="1467" w:type="dxa"/>
            <w:vMerge w:val="continue"/>
            <w:noWrap w:val="0"/>
            <w:vAlign w:val="center"/>
          </w:tcPr>
          <w:p>
            <w:pPr>
              <w:jc w:val="center"/>
              <w:rPr>
                <w:rFonts w:hint="eastAsia" w:eastAsia="宋体" w:cs="Times New Roman"/>
                <w:lang w:val="en-US" w:eastAsia="zh-CN"/>
              </w:rPr>
            </w:pPr>
          </w:p>
        </w:tc>
        <w:tc>
          <w:tcPr>
            <w:tcW w:w="3498" w:type="dxa"/>
            <w:noWrap w:val="0"/>
            <w:vAlign w:val="center"/>
          </w:tcPr>
          <w:p>
            <w:pPr>
              <w:jc w:val="left"/>
              <w:rPr>
                <w:rFonts w:hint="eastAsia" w:eastAsia="宋体" w:cs="Times New Roman"/>
                <w:lang w:val="en-US" w:eastAsia="zh-CN"/>
              </w:rPr>
            </w:pPr>
          </w:p>
        </w:tc>
        <w:tc>
          <w:tcPr>
            <w:tcW w:w="6300" w:type="dxa"/>
            <w:noWrap w:val="0"/>
            <w:vAlign w:val="center"/>
          </w:tcPr>
          <w:p>
            <w:pPr>
              <w:ind w:firstLine="420" w:firstLineChars="200"/>
              <w:jc w:val="both"/>
              <w:rPr>
                <w:rFonts w:hint="eastAsia" w:eastAsia="宋体" w:cs="Times New Roman"/>
                <w:lang w:val="en-US" w:eastAsia="zh-CN"/>
              </w:rPr>
            </w:pPr>
            <w:r>
              <w:rPr>
                <w:rFonts w:hint="eastAsia" w:eastAsia="宋体" w:cs="Times New Roman"/>
                <w:lang w:val="en-US" w:eastAsia="zh-CN"/>
              </w:rPr>
              <w:t>第四十九条“本规定所称散装水泥发展应用是指预拌混凝土、预拌砂浆、混凝土预制构件等采用水泥基的建材产品的应用。”建议修改为“本规定所称散装水泥发展应用是指预拌混凝土、预拌砂浆、混凝土预制构件、新型墙材等采用水泥基的建材产品的应用。”</w:t>
            </w:r>
          </w:p>
          <w:p>
            <w:pPr>
              <w:ind w:firstLine="420" w:firstLineChars="200"/>
              <w:jc w:val="both"/>
              <w:rPr>
                <w:rFonts w:hint="default" w:eastAsia="宋体" w:cs="Times New Roman"/>
                <w:lang w:val="en-US" w:eastAsia="zh-CN"/>
              </w:rPr>
            </w:pPr>
            <w:r>
              <w:rPr>
                <w:rFonts w:hint="eastAsia" w:eastAsia="宋体" w:cs="Times New Roman"/>
                <w:lang w:val="en-US" w:eastAsia="zh-CN"/>
              </w:rPr>
              <w:t>理由：考虑第十一条要求“预拌混凝土、预拌砂浆、混凝土预制构件和新型墙材等生产企业应当使用散装水泥。”，及部分新型墙材产品未使用水泥，因此，要求采用水泥基的建材产品应当使用散装水泥。</w:t>
            </w:r>
          </w:p>
          <w:p>
            <w:pPr>
              <w:jc w:val="both"/>
              <w:rPr>
                <w:rFonts w:hint="eastAsia" w:eastAsia="宋体" w:cs="Times New Roman"/>
                <w:lang w:val="en-US" w:eastAsia="zh-CN"/>
              </w:rPr>
            </w:pPr>
          </w:p>
        </w:tc>
        <w:tc>
          <w:tcPr>
            <w:tcW w:w="1809" w:type="dxa"/>
            <w:noWrap w:val="0"/>
            <w:vAlign w:val="center"/>
          </w:tcPr>
          <w:p>
            <w:pPr>
              <w:jc w:val="center"/>
              <w:rPr>
                <w:rFonts w:hint="eastAsia" w:eastAsia="宋体" w:cs="Times New Roman"/>
                <w:lang w:val="en-US" w:eastAsia="zh-CN"/>
              </w:rPr>
            </w:pPr>
            <w:r>
              <w:rPr>
                <w:rFonts w:hint="eastAsia" w:eastAsia="宋体" w:cs="Times New Roman"/>
                <w:lang w:val="en-US" w:eastAsia="zh-CN"/>
              </w:rPr>
              <w:t>采纳</w:t>
            </w:r>
          </w:p>
        </w:tc>
        <w:tc>
          <w:tcPr>
            <w:tcW w:w="448" w:type="dxa"/>
            <w:noWrap w:val="0"/>
            <w:vAlign w:val="top"/>
          </w:tcPr>
          <w:p>
            <w:pPr>
              <w:rPr>
                <w:rFonts w:hint="eastAsia"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jc w:val="center"/>
              <w:rPr>
                <w:rFonts w:hint="default" w:eastAsia="宋体" w:cs="Times New Roman"/>
                <w:lang w:val="en" w:eastAsia="zh-CN"/>
              </w:rPr>
            </w:pPr>
            <w:r>
              <w:rPr>
                <w:rFonts w:hint="default" w:eastAsia="宋体" w:cs="Times New Roman"/>
                <w:lang w:val="en" w:eastAsia="zh-CN"/>
              </w:rPr>
              <w:t>7</w:t>
            </w:r>
          </w:p>
        </w:tc>
        <w:tc>
          <w:tcPr>
            <w:tcW w:w="1467" w:type="dxa"/>
            <w:noWrap w:val="0"/>
            <w:vAlign w:val="center"/>
          </w:tcPr>
          <w:p>
            <w:pPr>
              <w:jc w:val="center"/>
              <w:rPr>
                <w:rFonts w:hint="eastAsia" w:eastAsia="宋体" w:cs="Times New Roman"/>
                <w:lang w:val="en-US" w:eastAsia="zh-CN"/>
              </w:rPr>
            </w:pPr>
            <w:r>
              <w:rPr>
                <w:rFonts w:hint="eastAsia" w:eastAsia="宋体" w:cs="Times New Roman"/>
                <w:lang w:val="en-US" w:eastAsia="zh-CN"/>
              </w:rPr>
              <w:t>张培光</w:t>
            </w:r>
          </w:p>
        </w:tc>
        <w:tc>
          <w:tcPr>
            <w:tcW w:w="3498" w:type="dxa"/>
            <w:noWrap w:val="0"/>
            <w:vAlign w:val="center"/>
          </w:tcPr>
          <w:p>
            <w:pPr>
              <w:jc w:val="left"/>
              <w:rPr>
                <w:rFonts w:hint="eastAsia" w:eastAsia="宋体" w:cs="Times New Roman"/>
                <w:lang w:val="en-US" w:eastAsia="zh-CN"/>
              </w:rPr>
            </w:pPr>
          </w:p>
        </w:tc>
        <w:tc>
          <w:tcPr>
            <w:tcW w:w="6300" w:type="dxa"/>
            <w:noWrap w:val="0"/>
            <w:vAlign w:val="center"/>
          </w:tcPr>
          <w:p>
            <w:pPr>
              <w:jc w:val="both"/>
              <w:rPr>
                <w:rFonts w:hint="eastAsia" w:eastAsia="宋体" w:cs="Times New Roman"/>
                <w:lang w:val="en-US" w:eastAsia="zh-CN"/>
              </w:rPr>
            </w:pPr>
            <w:r>
              <w:rPr>
                <w:rFonts w:hint="eastAsia" w:eastAsia="宋体" w:cs="Times New Roman"/>
                <w:lang w:val="en-US" w:eastAsia="zh-CN"/>
              </w:rPr>
              <w:t>　　第三十条【大力推广应用机制砂】 鼓励预拌混凝土、预拌砂浆、混凝土预制构件和新型墙体材料企业优先使用机制砂，提高机制砂总用量及应用比例。大型公共建筑和国家机关办公建筑、国有资金参与投资建设的其他公共建筑应当优先使用机制砂。高强度高性能及有特殊要求的混凝土建筑，也可在满足相应的技术要求下，优先使用机制砂。</w:t>
            </w:r>
          </w:p>
        </w:tc>
        <w:tc>
          <w:tcPr>
            <w:tcW w:w="1809" w:type="dxa"/>
            <w:noWrap w:val="0"/>
            <w:vAlign w:val="center"/>
          </w:tcPr>
          <w:p>
            <w:pPr>
              <w:jc w:val="both"/>
              <w:rPr>
                <w:rFonts w:hint="eastAsia" w:eastAsia="宋体" w:cs="Times New Roman"/>
                <w:lang w:val="en-US" w:eastAsia="zh-CN"/>
              </w:rPr>
            </w:pPr>
            <w:r>
              <w:rPr>
                <w:rFonts w:hint="eastAsia" w:eastAsia="宋体" w:cs="Times New Roman"/>
                <w:lang w:val="en-US" w:eastAsia="zh-CN"/>
              </w:rPr>
              <w:t>不采纳，理由：高强度高性能混凝土对骨料要求更高，现有的混凝土耐久性试验较多是基于河砂开展的，对机制砂高强度高性能混凝土试验研究和工程应用还处于研究阶段，不宜优先推广。</w:t>
            </w:r>
          </w:p>
        </w:tc>
        <w:tc>
          <w:tcPr>
            <w:tcW w:w="448" w:type="dxa"/>
            <w:noWrap w:val="0"/>
            <w:vAlign w:val="top"/>
          </w:tcPr>
          <w:p>
            <w:pPr>
              <w:rPr>
                <w:rFonts w:hint="eastAsia" w:eastAsia="宋体" w:cs="Times New Roman"/>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B0CED"/>
    <w:rsid w:val="0C4B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2022-01-26T01:25:00Z</dcterms:created>
  <dc:creator>Administrator</dc:creator>
  <cp:lastModifiedBy>Administrator</cp:lastModifiedBy>
  <dcterms:modified xsi:type="dcterms:W3CDTF">2022-01-26T01:26:49Z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F770B44FA82A4B239CFC63DA66D6A62C</vt:lpwstr>
  </property>
</Properties>
</file>