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600" w:lineRule="exact"/>
        <w:rPr>
          <w:rFonts w:hint="eastAsia" w:ascii="仿宋_GB2312" w:eastAsia="仿宋_GB2312"/>
          <w:color w:val="auto"/>
          <w:sz w:val="32"/>
          <w:szCs w:val="32"/>
          <w:highlight w:val="none"/>
        </w:rPr>
      </w:pPr>
      <w:bookmarkStart w:id="52" w:name="_GoBack"/>
      <w:bookmarkEnd w:id="52"/>
      <w:r>
        <w:rPr>
          <w:rFonts w:hint="eastAsia" w:ascii="仿宋_GB2312" w:eastAsia="仿宋_GB2312"/>
          <w:color w:val="auto"/>
          <w:sz w:val="32"/>
          <w:szCs w:val="32"/>
          <w:highlight w:val="none"/>
        </w:rPr>
        <w:t xml:space="preserve">  </w:t>
      </w:r>
    </w:p>
    <w:p>
      <w:pPr>
        <w:pageBreakBefore w:val="0"/>
        <w:kinsoku/>
        <w:wordWrap/>
        <w:overflowPunct/>
        <w:topLinePunct w:val="0"/>
        <w:autoSpaceDE/>
        <w:autoSpaceDN/>
        <w:bidi w:val="0"/>
        <w:adjustRightInd/>
        <w:spacing w:line="600" w:lineRule="exact"/>
        <w:ind w:firstLine="0" w:firstLineChars="0"/>
        <w:jc w:val="center"/>
        <w:rPr>
          <w:rFonts w:hint="eastAsia" w:ascii="方正小标宋简体" w:hAnsi="方正小标宋简体" w:eastAsia="方正小标宋简体" w:cs="方正小标宋简体"/>
          <w:color w:val="auto"/>
          <w:sz w:val="44"/>
          <w:szCs w:val="44"/>
          <w:highlight w:val="none"/>
          <w:lang w:val="en-US" w:eastAsia="zh-CN"/>
        </w:rPr>
      </w:pPr>
    </w:p>
    <w:p>
      <w:pPr>
        <w:pageBreakBefore w:val="0"/>
        <w:kinsoku/>
        <w:wordWrap/>
        <w:overflowPunct/>
        <w:topLinePunct w:val="0"/>
        <w:autoSpaceDE/>
        <w:autoSpaceDN/>
        <w:bidi w:val="0"/>
        <w:adjustRightInd/>
        <w:spacing w:line="600" w:lineRule="exact"/>
        <w:ind w:firstLine="0" w:firstLineChars="0"/>
        <w:jc w:val="center"/>
        <w:rPr>
          <w:rFonts w:hint="eastAsia" w:ascii="方正小标宋简体" w:hAnsi="方正小标宋简体" w:eastAsia="方正小标宋简体" w:cs="方正小标宋简体"/>
          <w:color w:val="auto"/>
          <w:sz w:val="52"/>
          <w:szCs w:val="52"/>
          <w:highlight w:val="none"/>
          <w:lang w:val="en-US" w:eastAsia="zh-CN"/>
        </w:rPr>
      </w:pPr>
    </w:p>
    <w:p>
      <w:pPr>
        <w:pageBreakBefore w:val="0"/>
        <w:kinsoku/>
        <w:wordWrap/>
        <w:overflowPunct/>
        <w:topLinePunct w:val="0"/>
        <w:autoSpaceDE/>
        <w:autoSpaceDN/>
        <w:bidi w:val="0"/>
        <w:adjustRightInd/>
        <w:spacing w:line="600" w:lineRule="exact"/>
        <w:ind w:firstLine="0" w:firstLineChars="0"/>
        <w:jc w:val="center"/>
        <w:rPr>
          <w:rFonts w:hint="eastAsia" w:ascii="方正小标宋简体" w:hAnsi="方正小标宋简体" w:eastAsia="方正小标宋简体" w:cs="方正小标宋简体"/>
          <w:color w:val="auto"/>
          <w:sz w:val="52"/>
          <w:szCs w:val="52"/>
          <w:highlight w:val="none"/>
          <w:lang w:val="en-US" w:eastAsia="zh-CN"/>
        </w:rPr>
      </w:pPr>
    </w:p>
    <w:p>
      <w:pPr>
        <w:pageBreakBefore w:val="0"/>
        <w:kinsoku/>
        <w:wordWrap/>
        <w:overflowPunct/>
        <w:topLinePunct w:val="0"/>
        <w:autoSpaceDE/>
        <w:autoSpaceDN/>
        <w:bidi w:val="0"/>
        <w:adjustRightInd/>
        <w:spacing w:line="600" w:lineRule="exact"/>
        <w:ind w:firstLine="0" w:firstLineChars="0"/>
        <w:jc w:val="center"/>
        <w:rPr>
          <w:rFonts w:hint="eastAsia" w:ascii="仿宋_GB2312" w:eastAsia="仿宋_GB2312"/>
          <w:color w:val="auto"/>
          <w:sz w:val="52"/>
          <w:szCs w:val="52"/>
          <w:highlight w:val="none"/>
        </w:rPr>
      </w:pPr>
      <w:r>
        <w:rPr>
          <w:rFonts w:hint="eastAsia" w:ascii="方正小标宋简体" w:hAnsi="方正小标宋简体" w:eastAsia="方正小标宋简体" w:cs="方正小标宋简体"/>
          <w:color w:val="auto"/>
          <w:sz w:val="52"/>
          <w:szCs w:val="52"/>
          <w:highlight w:val="none"/>
          <w:lang w:val="en-US" w:eastAsia="zh-CN"/>
        </w:rPr>
        <w:t>项目</w:t>
      </w:r>
      <w:r>
        <w:rPr>
          <w:rFonts w:hint="eastAsia" w:ascii="方正小标宋简体" w:hAnsi="方正小标宋简体" w:eastAsia="方正小标宋简体" w:cs="方正小标宋简体"/>
          <w:color w:val="auto"/>
          <w:sz w:val="52"/>
          <w:szCs w:val="52"/>
          <w:highlight w:val="none"/>
        </w:rPr>
        <w:t>绩效自评报告</w:t>
      </w:r>
    </w:p>
    <w:p>
      <w:pPr>
        <w:pageBreakBefore w:val="0"/>
        <w:kinsoku/>
        <w:wordWrap/>
        <w:overflowPunct/>
        <w:topLinePunct w:val="0"/>
        <w:autoSpaceDE/>
        <w:autoSpaceDN/>
        <w:bidi w:val="0"/>
        <w:adjustRightInd/>
        <w:spacing w:line="600" w:lineRule="exact"/>
        <w:rPr>
          <w:rFonts w:hint="eastAsia" w:ascii="仿宋_GB2312" w:eastAsia="仿宋_GB2312"/>
          <w:color w:val="auto"/>
          <w:sz w:val="30"/>
          <w:szCs w:val="30"/>
          <w:highlight w:val="none"/>
        </w:rPr>
      </w:pPr>
    </w:p>
    <w:p>
      <w:pPr>
        <w:pStyle w:val="2"/>
        <w:rPr>
          <w:rFonts w:hint="eastAsia"/>
        </w:rPr>
      </w:pPr>
    </w:p>
    <w:p>
      <w:pPr>
        <w:pageBreakBefore w:val="0"/>
        <w:kinsoku/>
        <w:wordWrap/>
        <w:overflowPunct/>
        <w:topLinePunct w:val="0"/>
        <w:autoSpaceDE/>
        <w:autoSpaceDN/>
        <w:bidi w:val="0"/>
        <w:adjustRightInd/>
        <w:spacing w:line="600" w:lineRule="exact"/>
        <w:ind w:firstLine="450" w:firstLineChars="150"/>
        <w:rPr>
          <w:rFonts w:hint="eastAsia" w:ascii="仿宋_GB2312" w:eastAsia="仿宋_GB2312"/>
          <w:color w:val="auto"/>
          <w:sz w:val="30"/>
          <w:szCs w:val="30"/>
          <w:highlight w:val="none"/>
        </w:rPr>
      </w:pPr>
    </w:p>
    <w:p>
      <w:pPr>
        <w:pageBreakBefore w:val="0"/>
        <w:kinsoku/>
        <w:wordWrap/>
        <w:overflowPunct/>
        <w:topLinePunct w:val="0"/>
        <w:autoSpaceDE/>
        <w:autoSpaceDN/>
        <w:bidi w:val="0"/>
        <w:adjustRightInd/>
        <w:spacing w:line="600" w:lineRule="exact"/>
        <w:ind w:firstLine="450" w:firstLineChars="150"/>
        <w:rPr>
          <w:rFonts w:hint="eastAsia" w:ascii="仿宋_GB2312" w:eastAsia="仿宋_GB2312"/>
          <w:color w:val="auto"/>
          <w:sz w:val="30"/>
          <w:szCs w:val="30"/>
          <w:highlight w:val="none"/>
        </w:rPr>
      </w:pPr>
    </w:p>
    <w:p>
      <w:pPr>
        <w:pageBreakBefore w:val="0"/>
        <w:kinsoku/>
        <w:wordWrap/>
        <w:overflowPunct/>
        <w:topLinePunct w:val="0"/>
        <w:autoSpaceDE/>
        <w:autoSpaceDN/>
        <w:bidi w:val="0"/>
        <w:adjustRightInd/>
        <w:spacing w:line="600" w:lineRule="exact"/>
        <w:ind w:firstLine="450" w:firstLineChars="150"/>
        <w:rPr>
          <w:rFonts w:hint="eastAsia" w:ascii="仿宋_GB2312" w:eastAsia="仿宋_GB2312"/>
          <w:color w:val="auto"/>
          <w:sz w:val="30"/>
          <w:szCs w:val="30"/>
          <w:highlight w:val="none"/>
        </w:rPr>
      </w:pPr>
    </w:p>
    <w:p>
      <w:pPr>
        <w:pageBreakBefore w:val="0"/>
        <w:kinsoku/>
        <w:wordWrap/>
        <w:overflowPunct/>
        <w:topLinePunct w:val="0"/>
        <w:autoSpaceDE/>
        <w:autoSpaceDN/>
        <w:bidi w:val="0"/>
        <w:adjustRightInd/>
        <w:spacing w:line="600" w:lineRule="exact"/>
        <w:ind w:firstLine="450" w:firstLineChars="150"/>
        <w:rPr>
          <w:rFonts w:hint="eastAsia" w:ascii="仿宋_GB2312" w:eastAsia="仿宋_GB2312"/>
          <w:color w:val="auto"/>
          <w:sz w:val="30"/>
          <w:szCs w:val="30"/>
          <w:highlight w:val="none"/>
        </w:rPr>
      </w:pPr>
    </w:p>
    <w:p>
      <w:pPr>
        <w:pageBreakBefore w:val="0"/>
        <w:kinsoku/>
        <w:wordWrap/>
        <w:overflowPunct/>
        <w:topLinePunct w:val="0"/>
        <w:autoSpaceDE/>
        <w:autoSpaceDN/>
        <w:bidi w:val="0"/>
        <w:adjustRightInd/>
        <w:spacing w:line="600" w:lineRule="exact"/>
        <w:ind w:firstLine="450" w:firstLineChars="150"/>
        <w:rPr>
          <w:rFonts w:hint="eastAsia" w:ascii="仿宋_GB2312" w:eastAsia="仿宋_GB2312"/>
          <w:color w:val="auto"/>
          <w:sz w:val="30"/>
          <w:szCs w:val="30"/>
          <w:highlight w:val="none"/>
        </w:rPr>
      </w:pPr>
    </w:p>
    <w:p>
      <w:pPr>
        <w:pageBreakBefore w:val="0"/>
        <w:kinsoku/>
        <w:wordWrap/>
        <w:overflowPunct/>
        <w:topLinePunct w:val="0"/>
        <w:autoSpaceDE/>
        <w:autoSpaceDN/>
        <w:bidi w:val="0"/>
        <w:adjustRightInd/>
        <w:spacing w:line="600" w:lineRule="exact"/>
        <w:ind w:firstLine="452" w:firstLineChars="150"/>
        <w:rPr>
          <w:rFonts w:hint="eastAsia" w:ascii="仿宋_GB2312" w:eastAsia="仿宋_GB2312"/>
          <w:b/>
          <w:bCs/>
          <w:color w:val="auto"/>
          <w:sz w:val="30"/>
          <w:szCs w:val="30"/>
          <w:highlight w:val="none"/>
        </w:rPr>
      </w:pPr>
    </w:p>
    <w:p>
      <w:pPr>
        <w:pStyle w:val="2"/>
        <w:rPr>
          <w:rFonts w:hint="eastAsia" w:ascii="仿宋_GB2312" w:eastAsia="仿宋_GB2312"/>
          <w:b/>
          <w:bCs/>
          <w:color w:val="auto"/>
          <w:sz w:val="30"/>
          <w:szCs w:val="30"/>
          <w:highlight w:val="none"/>
        </w:rPr>
      </w:pPr>
    </w:p>
    <w:p>
      <w:pPr>
        <w:rPr>
          <w:rFonts w:hint="eastAsia" w:ascii="仿宋_GB2312" w:eastAsia="仿宋_GB2312"/>
          <w:b/>
          <w:bCs/>
          <w:color w:val="auto"/>
          <w:sz w:val="30"/>
          <w:szCs w:val="30"/>
          <w:highlight w:val="none"/>
        </w:rPr>
      </w:pPr>
    </w:p>
    <w:p>
      <w:pPr>
        <w:pStyle w:val="2"/>
        <w:rPr>
          <w:rFonts w:hint="eastAsia"/>
        </w:rPr>
      </w:pPr>
    </w:p>
    <w:p>
      <w:pPr>
        <w:pageBreakBefore w:val="0"/>
        <w:kinsoku/>
        <w:wordWrap/>
        <w:overflowPunct/>
        <w:topLinePunct w:val="0"/>
        <w:autoSpaceDE/>
        <w:autoSpaceDN/>
        <w:bidi w:val="0"/>
        <w:adjustRightInd/>
        <w:snapToGrid w:val="0"/>
        <w:spacing w:beforeLines="0" w:afterLines="0" w:line="600" w:lineRule="exact"/>
        <w:rPr>
          <w:rFonts w:hint="default" w:ascii="仿宋_GB2312" w:eastAsia="仿宋_GB2312"/>
          <w:color w:val="auto"/>
          <w:sz w:val="21"/>
          <w:szCs w:val="21"/>
          <w:highlight w:val="none"/>
          <w:shd w:val="clear" w:color="auto" w:fill="auto"/>
          <w:lang w:val="en-US"/>
        </w:rPr>
      </w:pPr>
      <w:r>
        <w:rPr>
          <w:rFonts w:hint="eastAsia" w:ascii="仿宋_GB2312" w:eastAsia="仿宋_GB2312"/>
          <w:b/>
          <w:bCs/>
          <w:color w:val="auto"/>
          <w:sz w:val="32"/>
          <w:szCs w:val="32"/>
          <w:highlight w:val="none"/>
        </w:rPr>
        <w:t>专项资金</w:t>
      </w:r>
      <w:r>
        <w:rPr>
          <w:rFonts w:hint="eastAsia" w:ascii="仿宋_GB2312" w:eastAsia="仿宋_GB2312"/>
          <w:b/>
          <w:bCs/>
          <w:color w:val="auto"/>
          <w:sz w:val="32"/>
          <w:szCs w:val="32"/>
          <w:highlight w:val="none"/>
          <w:lang w:eastAsia="zh-CN"/>
        </w:rPr>
        <w:t>“财政事权”</w:t>
      </w:r>
      <w:r>
        <w:rPr>
          <w:rFonts w:hint="eastAsia" w:ascii="仿宋_GB2312" w:eastAsia="仿宋_GB2312"/>
          <w:b/>
          <w:bCs/>
          <w:color w:val="auto"/>
          <w:sz w:val="32"/>
          <w:szCs w:val="32"/>
          <w:highlight w:val="none"/>
        </w:rPr>
        <w:t>名称：</w:t>
      </w:r>
      <w:r>
        <w:rPr>
          <w:rFonts w:hint="eastAsia" w:ascii="仿宋_GB2312" w:eastAsia="仿宋_GB2312"/>
          <w:color w:val="auto"/>
          <w:sz w:val="32"/>
          <w:szCs w:val="32"/>
          <w:highlight w:val="none"/>
        </w:rPr>
        <w:t>住房和城乡建设</w:t>
      </w:r>
    </w:p>
    <w:p>
      <w:pPr>
        <w:pageBreakBefore w:val="0"/>
        <w:kinsoku/>
        <w:wordWrap/>
        <w:overflowPunct/>
        <w:topLinePunct w:val="0"/>
        <w:autoSpaceDE/>
        <w:autoSpaceDN/>
        <w:bidi w:val="0"/>
        <w:adjustRightInd/>
        <w:snapToGrid w:val="0"/>
        <w:spacing w:beforeLines="0" w:afterLines="0" w:line="600" w:lineRule="exact"/>
        <w:ind w:firstLine="0" w:firstLineChars="0"/>
        <w:jc w:val="left"/>
        <w:rPr>
          <w:rFonts w:hint="eastAsia"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lang w:val="en-US" w:eastAsia="zh-CN"/>
        </w:rPr>
        <w:t>对应“政策任务”数量：</w:t>
      </w:r>
      <w:r>
        <w:rPr>
          <w:rFonts w:hint="eastAsia" w:ascii="仿宋_GB2312" w:eastAsia="仿宋_GB2312"/>
          <w:color w:val="auto"/>
          <w:sz w:val="32"/>
          <w:szCs w:val="32"/>
          <w:highlight w:val="none"/>
          <w:lang w:val="en-US" w:eastAsia="zh-CN"/>
        </w:rPr>
        <w:t>3项</w:t>
      </w:r>
    </w:p>
    <w:p>
      <w:pPr>
        <w:pageBreakBefore w:val="0"/>
        <w:kinsoku/>
        <w:wordWrap/>
        <w:overflowPunct/>
        <w:topLinePunct w:val="0"/>
        <w:autoSpaceDE/>
        <w:autoSpaceDN/>
        <w:bidi w:val="0"/>
        <w:adjustRightInd/>
        <w:snapToGrid w:val="0"/>
        <w:spacing w:beforeLines="0" w:afterLines="0" w:line="600" w:lineRule="exact"/>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rPr>
        <w:t>省级预算部门：</w:t>
      </w:r>
      <w:r>
        <w:rPr>
          <w:rFonts w:hint="eastAsia" w:ascii="仿宋_GB2312" w:eastAsia="仿宋_GB2312"/>
          <w:color w:val="auto"/>
          <w:sz w:val="32"/>
          <w:szCs w:val="32"/>
          <w:highlight w:val="none"/>
        </w:rPr>
        <w:t>（公章）</w:t>
      </w:r>
      <w:r>
        <w:rPr>
          <w:rFonts w:hint="eastAsia" w:ascii="仿宋_GB2312" w:eastAsia="仿宋_GB2312"/>
          <w:color w:val="auto"/>
          <w:sz w:val="32"/>
          <w:szCs w:val="32"/>
          <w:highlight w:val="none"/>
          <w:lang w:eastAsia="zh-CN"/>
        </w:rPr>
        <w:t>广东省住房和城乡建设厅</w:t>
      </w:r>
    </w:p>
    <w:p>
      <w:pPr>
        <w:pageBreakBefore w:val="0"/>
        <w:kinsoku/>
        <w:wordWrap/>
        <w:overflowPunct/>
        <w:topLinePunct w:val="0"/>
        <w:autoSpaceDE/>
        <w:autoSpaceDN/>
        <w:bidi w:val="0"/>
        <w:adjustRightInd/>
        <w:snapToGrid w:val="0"/>
        <w:spacing w:beforeLines="0" w:afterLines="0" w:line="600" w:lineRule="exact"/>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rPr>
        <w:t>填报人姓名：</w:t>
      </w:r>
      <w:r>
        <w:rPr>
          <w:rFonts w:hint="eastAsia" w:ascii="仿宋_GB2312" w:eastAsia="仿宋_GB2312"/>
          <w:color w:val="auto"/>
          <w:sz w:val="32"/>
          <w:szCs w:val="32"/>
          <w:highlight w:val="none"/>
          <w:lang w:eastAsia="zh-CN"/>
        </w:rPr>
        <w:t>古剑忠、杨庆东、徐运龙</w:t>
      </w:r>
    </w:p>
    <w:p>
      <w:pPr>
        <w:pageBreakBefore w:val="0"/>
        <w:kinsoku/>
        <w:wordWrap/>
        <w:overflowPunct/>
        <w:topLinePunct w:val="0"/>
        <w:autoSpaceDE/>
        <w:autoSpaceDN/>
        <w:bidi w:val="0"/>
        <w:adjustRightInd/>
        <w:snapToGrid w:val="0"/>
        <w:spacing w:beforeLines="0" w:afterLines="0" w:line="600" w:lineRule="exact"/>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联系电话：</w:t>
      </w:r>
      <w:r>
        <w:rPr>
          <w:rFonts w:hint="eastAsia" w:ascii="仿宋_GB2312" w:eastAsia="仿宋_GB2312"/>
          <w:color w:val="auto"/>
          <w:sz w:val="32"/>
          <w:szCs w:val="32"/>
          <w:highlight w:val="none"/>
          <w:lang w:val="en-US" w:eastAsia="zh-CN"/>
        </w:rPr>
        <w:t>83133702、83133560</w:t>
      </w:r>
    </w:p>
    <w:p>
      <w:pPr>
        <w:pageBreakBefore w:val="0"/>
        <w:kinsoku/>
        <w:wordWrap/>
        <w:overflowPunct/>
        <w:topLinePunct w:val="0"/>
        <w:autoSpaceDE/>
        <w:autoSpaceDN/>
        <w:bidi w:val="0"/>
        <w:adjustRightInd/>
        <w:snapToGrid w:val="0"/>
        <w:spacing w:beforeLines="0" w:afterLines="0" w:line="600" w:lineRule="exact"/>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填报日期：</w:t>
      </w:r>
      <w:r>
        <w:rPr>
          <w:rFonts w:hint="eastAsia" w:ascii="仿宋_GB2312" w:eastAsia="仿宋_GB2312"/>
          <w:color w:val="auto"/>
          <w:sz w:val="32"/>
          <w:szCs w:val="32"/>
          <w:highlight w:val="none"/>
          <w:lang w:val="en-US" w:eastAsia="zh-CN"/>
        </w:rPr>
        <w:t>2021年9月3日</w:t>
      </w:r>
    </w:p>
    <w:sdt>
      <w:sdtPr>
        <w:rPr>
          <w:rFonts w:ascii="Times New Roman" w:hAnsi="Times New Roman" w:eastAsia="宋体" w:cs="Times New Roman"/>
          <w:color w:val="auto"/>
          <w:kern w:val="2"/>
          <w:sz w:val="21"/>
          <w:szCs w:val="24"/>
          <w:highlight w:val="none"/>
          <w:lang w:val="zh-CN"/>
        </w:rPr>
        <w:id w:val="267666061"/>
      </w:sdtPr>
      <w:sdtEndPr>
        <w:rPr>
          <w:rFonts w:ascii="Times New Roman" w:hAnsi="Times New Roman" w:eastAsia="宋体" w:cs="Times New Roman"/>
          <w:b/>
          <w:bCs/>
          <w:color w:val="auto"/>
          <w:kern w:val="2"/>
          <w:sz w:val="21"/>
          <w:szCs w:val="24"/>
          <w:highlight w:val="none"/>
          <w:lang w:val="zh-CN"/>
        </w:rPr>
      </w:sdtEndPr>
      <w:sdtContent>
        <w:p>
          <w:pPr>
            <w:pStyle w:val="26"/>
            <w:pageBreakBefore w:val="0"/>
            <w:kinsoku/>
            <w:wordWrap/>
            <w:overflowPunct/>
            <w:topLinePunct w:val="0"/>
            <w:autoSpaceDE/>
            <w:autoSpaceDN/>
            <w:bidi w:val="0"/>
            <w:adjustRightInd/>
            <w:spacing w:line="600" w:lineRule="exact"/>
            <w:jc w:val="center"/>
            <w:rPr>
              <w:rFonts w:ascii="方正小标宋简体" w:hAnsi="方正小标宋简体" w:eastAsia="方正小标宋简体" w:cs="方正小标宋简体"/>
              <w:color w:val="auto"/>
              <w:kern w:val="2"/>
              <w:sz w:val="44"/>
              <w:szCs w:val="44"/>
              <w:highlight w:val="none"/>
            </w:rPr>
          </w:pPr>
          <w:r>
            <w:rPr>
              <w:rFonts w:ascii="方正小标宋简体" w:hAnsi="方正小标宋简体" w:eastAsia="方正小标宋简体" w:cs="方正小标宋简体"/>
              <w:color w:val="auto"/>
              <w:kern w:val="2"/>
              <w:sz w:val="44"/>
              <w:szCs w:val="44"/>
              <w:highlight w:val="none"/>
            </w:rPr>
            <w:t>目</w:t>
          </w:r>
          <w:r>
            <w:rPr>
              <w:rFonts w:hint="eastAsia" w:ascii="方正小标宋简体" w:hAnsi="方正小标宋简体" w:eastAsia="方正小标宋简体" w:cs="方正小标宋简体"/>
              <w:color w:val="auto"/>
              <w:kern w:val="2"/>
              <w:sz w:val="44"/>
              <w:szCs w:val="44"/>
              <w:highlight w:val="none"/>
            </w:rPr>
            <w:t xml:space="preserve"> </w:t>
          </w:r>
          <w:r>
            <w:rPr>
              <w:rFonts w:ascii="方正小标宋简体" w:hAnsi="方正小标宋简体" w:eastAsia="方正小标宋简体" w:cs="方正小标宋简体"/>
              <w:color w:val="auto"/>
              <w:kern w:val="2"/>
              <w:sz w:val="44"/>
              <w:szCs w:val="44"/>
              <w:highlight w:val="none"/>
            </w:rPr>
            <w:t>录</w:t>
          </w:r>
        </w:p>
        <w:p>
          <w:pPr>
            <w:pageBreakBefore w:val="0"/>
            <w:kinsoku/>
            <w:wordWrap/>
            <w:overflowPunct/>
            <w:topLinePunct w:val="0"/>
            <w:autoSpaceDE/>
            <w:autoSpaceDN/>
            <w:bidi w:val="0"/>
            <w:adjustRightInd/>
            <w:spacing w:line="600" w:lineRule="exact"/>
            <w:rPr>
              <w:color w:val="auto"/>
              <w:highlight w:val="none"/>
            </w:rPr>
          </w:pPr>
        </w:p>
        <w:p>
          <w:pPr>
            <w:pStyle w:val="11"/>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TOC \o "1-3" \h \z \u </w:instrText>
          </w:r>
          <w:r>
            <w:rPr>
              <w:rFonts w:hint="eastAsia" w:ascii="仿宋_GB2312" w:eastAsia="仿宋_GB2312"/>
              <w:color w:val="auto"/>
              <w:sz w:val="32"/>
              <w:szCs w:val="32"/>
              <w:highlight w:val="none"/>
            </w:rPr>
            <w:fldChar w:fldCharType="separate"/>
          </w: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"_Toc42021429"</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hAnsi="黑体" w:eastAsia="仿宋_GB2312"/>
              <w:bCs/>
              <w:color w:val="auto"/>
              <w:sz w:val="32"/>
              <w:szCs w:val="32"/>
              <w:highlight w:val="none"/>
            </w:rPr>
            <w:t>一、基本情况</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_Toc42021429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- 1 -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Style w:val="11"/>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"_Toc42021430"</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hAnsi="黑体" w:eastAsia="仿宋_GB2312"/>
              <w:bCs/>
              <w:color w:val="auto"/>
              <w:sz w:val="32"/>
              <w:szCs w:val="32"/>
              <w:highlight w:val="none"/>
            </w:rPr>
            <w:t>二、自评情况</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_Toc42021430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- 11 -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Style w:val="11"/>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"_Toc42021431"</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hAnsi="宋体" w:eastAsia="仿宋_GB2312"/>
              <w:color w:val="auto"/>
              <w:sz w:val="32"/>
              <w:szCs w:val="32"/>
              <w:highlight w:val="none"/>
            </w:rPr>
            <w:t>（一）自评分数</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_Toc42021431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- 11 -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Style w:val="7"/>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"_Toc42021432"</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eastAsia="仿宋_GB2312"/>
              <w:color w:val="auto"/>
              <w:sz w:val="32"/>
              <w:szCs w:val="32"/>
              <w:highlight w:val="none"/>
            </w:rPr>
            <w:t>1.投入</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_Toc42021432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- 11 -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Style w:val="7"/>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"_Toc42021435"</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eastAsia="仿宋_GB2312"/>
              <w:color w:val="auto"/>
              <w:sz w:val="32"/>
              <w:szCs w:val="32"/>
              <w:highlight w:val="none"/>
            </w:rPr>
            <w:t>2.过程</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_Toc42021435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- 12 -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Style w:val="7"/>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"_Toc42021437"</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eastAsia="仿宋_GB2312"/>
              <w:color w:val="auto"/>
              <w:sz w:val="32"/>
              <w:szCs w:val="32"/>
              <w:highlight w:val="none"/>
            </w:rPr>
            <w:t>3.产出</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_Toc42021437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- 12 -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Style w:val="7"/>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"_Toc42021441"</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eastAsia="仿宋_GB2312"/>
              <w:color w:val="auto"/>
              <w:sz w:val="32"/>
              <w:szCs w:val="32"/>
              <w:highlight w:val="none"/>
            </w:rPr>
            <w:t>4.效益</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_Toc42021441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- 12 -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Style w:val="11"/>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"_Toc42021444"</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eastAsia="仿宋_GB2312"/>
              <w:color w:val="auto"/>
              <w:sz w:val="32"/>
              <w:szCs w:val="32"/>
              <w:highlight w:val="none"/>
            </w:rPr>
            <w:t>（二）专项资金使用绩效</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_Toc42021444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- 1</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 xml:space="preserve">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Style w:val="11"/>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"_Toc42021449"</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eastAsia="仿宋_GB2312"/>
              <w:color w:val="auto"/>
              <w:sz w:val="32"/>
              <w:szCs w:val="32"/>
              <w:highlight w:val="none"/>
            </w:rPr>
            <w:t>（三）专项资金使用绩效存在的问题</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_Toc42021449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- 21 -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Style w:val="11"/>
            <w:pageBreakBefore w:val="0"/>
            <w:tabs>
              <w:tab w:val="right" w:leader="dot" w:pos="8296"/>
            </w:tabs>
            <w:kinsoku/>
            <w:wordWrap/>
            <w:overflowPunct/>
            <w:topLinePunct w:val="0"/>
            <w:autoSpaceDE/>
            <w:autoSpaceDN/>
            <w:bidi w:val="0"/>
            <w:adjustRightInd/>
            <w:spacing w:line="600" w:lineRule="exact"/>
            <w:rPr>
              <w:rFonts w:hint="eastAsia" w:ascii="仿宋_GB2312" w:eastAsia="仿宋_GB2312" w:cstheme="minorBidi"/>
              <w:color w:val="auto"/>
              <w:kern w:val="2"/>
              <w:sz w:val="32"/>
              <w:szCs w:val="32"/>
              <w:highlight w:val="none"/>
            </w:rPr>
          </w:pPr>
          <w:r>
            <w:rPr>
              <w:rStyle w:val="15"/>
              <w:rFonts w:hint="eastAsia" w:ascii="仿宋_GB2312" w:eastAsia="仿宋_GB2312"/>
              <w:color w:val="auto"/>
              <w:sz w:val="32"/>
              <w:szCs w:val="32"/>
              <w:highlight w:val="none"/>
            </w:rPr>
            <w:fldChar w:fldCharType="begin"/>
          </w:r>
          <w:r>
            <w:rPr>
              <w:rStyle w:val="15"/>
              <w:rFonts w:hint="eastAsia" w:ascii="仿宋_GB2312" w:eastAsia="仿宋_GB2312"/>
              <w:color w:val="auto"/>
              <w:sz w:val="32"/>
              <w:szCs w:val="32"/>
              <w:highlight w:val="none"/>
            </w:rPr>
            <w:instrText xml:space="preserve"> </w:instrText>
          </w:r>
          <w:r>
            <w:rPr>
              <w:rFonts w:hint="eastAsia" w:ascii="仿宋_GB2312" w:eastAsia="仿宋_GB2312"/>
              <w:color w:val="auto"/>
              <w:sz w:val="32"/>
              <w:szCs w:val="32"/>
              <w:highlight w:val="none"/>
            </w:rPr>
            <w:instrText xml:space="preserve">HYPERLINK \l "_Toc42021450"</w:instrText>
          </w:r>
          <w:r>
            <w:rPr>
              <w:rStyle w:val="15"/>
              <w:rFonts w:hint="eastAsia" w:ascii="仿宋_GB2312" w:eastAsia="仿宋_GB2312"/>
              <w:color w:val="auto"/>
              <w:sz w:val="32"/>
              <w:szCs w:val="32"/>
              <w:highlight w:val="none"/>
            </w:rPr>
            <w:instrText xml:space="preserve"> </w:instrText>
          </w:r>
          <w:r>
            <w:rPr>
              <w:rStyle w:val="15"/>
              <w:rFonts w:hint="eastAsia" w:ascii="仿宋_GB2312" w:eastAsia="仿宋_GB2312"/>
              <w:color w:val="auto"/>
              <w:sz w:val="32"/>
              <w:szCs w:val="32"/>
              <w:highlight w:val="none"/>
            </w:rPr>
            <w:fldChar w:fldCharType="separate"/>
          </w:r>
          <w:r>
            <w:rPr>
              <w:rStyle w:val="15"/>
              <w:rFonts w:hint="eastAsia" w:ascii="仿宋_GB2312" w:hAnsi="黑体" w:eastAsia="仿宋_GB2312"/>
              <w:bCs/>
              <w:color w:val="auto"/>
              <w:sz w:val="32"/>
              <w:szCs w:val="32"/>
              <w:highlight w:val="none"/>
            </w:rPr>
            <w:t>三、改进意见</w:t>
          </w:r>
          <w:r>
            <w:rPr>
              <w:rFonts w:hint="eastAsia" w:ascii="仿宋_GB2312" w:eastAsia="仿宋_GB2312"/>
              <w:color w:val="auto"/>
              <w:sz w:val="32"/>
              <w:szCs w:val="32"/>
              <w:highlight w:val="none"/>
            </w:rPr>
            <w:tab/>
          </w:r>
          <w:r>
            <w:rPr>
              <w:rFonts w:hint="eastAsia" w:ascii="仿宋_GB2312" w:eastAsia="仿宋_GB2312"/>
              <w:color w:val="auto"/>
              <w:sz w:val="32"/>
              <w:szCs w:val="32"/>
              <w:highlight w:val="none"/>
            </w:rPr>
            <w:fldChar w:fldCharType="begin"/>
          </w:r>
          <w:r>
            <w:rPr>
              <w:rFonts w:hint="eastAsia" w:ascii="仿宋_GB2312" w:eastAsia="仿宋_GB2312"/>
              <w:color w:val="auto"/>
              <w:sz w:val="32"/>
              <w:szCs w:val="32"/>
              <w:highlight w:val="none"/>
            </w:rPr>
            <w:instrText xml:space="preserve"> PAGEREF _Toc42021450 \h </w:instrText>
          </w:r>
          <w:r>
            <w:rPr>
              <w:rFonts w:hint="eastAsia" w:ascii="仿宋_GB2312" w:eastAsia="仿宋_GB2312"/>
              <w:color w:val="auto"/>
              <w:sz w:val="32"/>
              <w:szCs w:val="32"/>
              <w:highlight w:val="none"/>
            </w:rPr>
            <w:fldChar w:fldCharType="separate"/>
          </w:r>
          <w:r>
            <w:rPr>
              <w:rFonts w:hint="eastAsia" w:ascii="仿宋_GB2312" w:eastAsia="仿宋_GB2312"/>
              <w:color w:val="auto"/>
              <w:sz w:val="32"/>
              <w:szCs w:val="32"/>
              <w:highlight w:val="none"/>
            </w:rPr>
            <w:t>- 2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 xml:space="preserve"> -</w:t>
          </w:r>
          <w:r>
            <w:rPr>
              <w:rFonts w:hint="eastAsia" w:ascii="仿宋_GB2312" w:eastAsia="仿宋_GB2312"/>
              <w:color w:val="auto"/>
              <w:sz w:val="32"/>
              <w:szCs w:val="32"/>
              <w:highlight w:val="none"/>
            </w:rPr>
            <w:fldChar w:fldCharType="end"/>
          </w:r>
          <w:r>
            <w:rPr>
              <w:rStyle w:val="15"/>
              <w:rFonts w:hint="eastAsia" w:ascii="仿宋_GB2312" w:eastAsia="仿宋_GB2312"/>
              <w:color w:val="auto"/>
              <w:sz w:val="32"/>
              <w:szCs w:val="32"/>
              <w:highlight w:val="none"/>
            </w:rPr>
            <w:fldChar w:fldCharType="end"/>
          </w:r>
        </w:p>
        <w:p>
          <w:pPr>
            <w:pageBreakBefore w:val="0"/>
            <w:kinsoku/>
            <w:wordWrap/>
            <w:overflowPunct/>
            <w:topLinePunct w:val="0"/>
            <w:autoSpaceDE/>
            <w:autoSpaceDN/>
            <w:bidi w:val="0"/>
            <w:adjustRightInd/>
            <w:spacing w:line="600" w:lineRule="exact"/>
            <w:rPr>
              <w:color w:val="auto"/>
              <w:highlight w:val="none"/>
            </w:rPr>
          </w:pPr>
          <w:r>
            <w:rPr>
              <w:rFonts w:hint="eastAsia" w:ascii="仿宋_GB2312" w:eastAsia="仿宋_GB2312"/>
              <w:b/>
              <w:bCs/>
              <w:color w:val="auto"/>
              <w:sz w:val="32"/>
              <w:szCs w:val="32"/>
              <w:highlight w:val="none"/>
              <w:lang w:val="zh-CN"/>
            </w:rPr>
            <w:fldChar w:fldCharType="end"/>
          </w:r>
        </w:p>
      </w:sdtContent>
    </w:sdt>
    <w:p>
      <w:pPr>
        <w:pageBreakBefore w:val="0"/>
        <w:kinsoku/>
        <w:wordWrap/>
        <w:overflowPunct/>
        <w:topLinePunct w:val="0"/>
        <w:autoSpaceDE/>
        <w:autoSpaceDN/>
        <w:bidi w:val="0"/>
        <w:adjustRightInd/>
        <w:snapToGrid w:val="0"/>
        <w:spacing w:line="600" w:lineRule="exact"/>
        <w:rPr>
          <w:rFonts w:ascii="仿宋_GB2312" w:eastAsia="仿宋_GB2312"/>
          <w:color w:val="auto"/>
          <w:sz w:val="32"/>
          <w:szCs w:val="32"/>
          <w:highlight w:val="none"/>
        </w:rPr>
      </w:pPr>
    </w:p>
    <w:p>
      <w:pPr>
        <w:pageBreakBefore w:val="0"/>
        <w:kinsoku/>
        <w:wordWrap/>
        <w:overflowPunct/>
        <w:topLinePunct w:val="0"/>
        <w:autoSpaceDE/>
        <w:autoSpaceDN/>
        <w:bidi w:val="0"/>
        <w:adjustRightInd/>
        <w:snapToGrid w:val="0"/>
        <w:spacing w:line="600" w:lineRule="exact"/>
        <w:rPr>
          <w:rFonts w:ascii="仿宋_GB2312" w:eastAsia="仿宋_GB2312"/>
          <w:color w:val="auto"/>
          <w:sz w:val="32"/>
          <w:szCs w:val="32"/>
          <w:highlight w:val="none"/>
        </w:rPr>
      </w:pPr>
    </w:p>
    <w:p>
      <w:pPr>
        <w:pageBreakBefore w:val="0"/>
        <w:kinsoku/>
        <w:wordWrap/>
        <w:overflowPunct/>
        <w:topLinePunct w:val="0"/>
        <w:autoSpaceDE/>
        <w:autoSpaceDN/>
        <w:bidi w:val="0"/>
        <w:adjustRightInd/>
        <w:snapToGrid w:val="0"/>
        <w:spacing w:line="600" w:lineRule="exact"/>
        <w:rPr>
          <w:rFonts w:ascii="黑体" w:eastAsia="黑体"/>
          <w:color w:val="auto"/>
          <w:sz w:val="32"/>
          <w:szCs w:val="32"/>
          <w:highlight w:val="none"/>
        </w:rPr>
      </w:pPr>
    </w:p>
    <w:p>
      <w:pPr>
        <w:pageBreakBefore w:val="0"/>
        <w:kinsoku/>
        <w:wordWrap/>
        <w:overflowPunct/>
        <w:topLinePunct w:val="0"/>
        <w:autoSpaceDE/>
        <w:autoSpaceDN/>
        <w:bidi w:val="0"/>
        <w:adjustRightInd/>
        <w:snapToGrid w:val="0"/>
        <w:spacing w:line="600" w:lineRule="exact"/>
        <w:rPr>
          <w:rFonts w:ascii="黑体" w:eastAsia="黑体"/>
          <w:color w:val="auto"/>
          <w:sz w:val="32"/>
          <w:szCs w:val="32"/>
          <w:highlight w:val="none"/>
        </w:rPr>
      </w:pPr>
    </w:p>
    <w:p>
      <w:pPr>
        <w:pageBreakBefore w:val="0"/>
        <w:kinsoku/>
        <w:wordWrap/>
        <w:overflowPunct/>
        <w:topLinePunct w:val="0"/>
        <w:autoSpaceDE/>
        <w:autoSpaceDN/>
        <w:bidi w:val="0"/>
        <w:adjustRightInd/>
        <w:spacing w:line="600" w:lineRule="exact"/>
        <w:rPr>
          <w:rFonts w:hint="eastAsia" w:ascii="黑体" w:eastAsia="黑体"/>
          <w:color w:val="auto"/>
          <w:sz w:val="32"/>
          <w:szCs w:val="32"/>
          <w:highlight w:val="none"/>
        </w:rPr>
        <w:sectPr>
          <w:footerReference r:id="rId3" w:type="default"/>
          <w:pgSz w:w="11906" w:h="16838"/>
          <w:pgMar w:top="1803" w:right="1440" w:bottom="1803" w:left="1440" w:header="851" w:footer="992" w:gutter="0"/>
          <w:pgNumType w:fmt="numberInDash" w:start="1"/>
          <w:cols w:space="720" w:num="1"/>
          <w:docGrid w:type="lines" w:linePitch="312" w:charSpace="0"/>
        </w:sectPr>
      </w:pPr>
    </w:p>
    <w:p>
      <w:pPr>
        <w:pStyle w:val="13"/>
        <w:pageBreakBefore w:val="0"/>
        <w:kinsoku/>
        <w:wordWrap/>
        <w:overflowPunct/>
        <w:topLinePunct w:val="0"/>
        <w:autoSpaceDE/>
        <w:autoSpaceDN/>
        <w:bidi w:val="0"/>
        <w:adjustRightInd/>
        <w:spacing w:before="0" w:after="0" w:line="600" w:lineRule="exact"/>
        <w:ind w:firstLine="640"/>
        <w:jc w:val="both"/>
        <w:rPr>
          <w:rFonts w:hint="eastAsia" w:ascii="仿宋_GB2312" w:eastAsia="仿宋_GB2312"/>
          <w:color w:val="auto"/>
          <w:sz w:val="32"/>
          <w:highlight w:val="none"/>
          <w:lang w:val="en-US" w:eastAsia="zh-CN"/>
        </w:rPr>
      </w:pPr>
      <w:bookmarkStart w:id="0" w:name="_Toc42021429"/>
      <w:r>
        <w:rPr>
          <w:rFonts w:hint="eastAsia" w:ascii="仿宋_GB2312" w:eastAsia="仿宋_GB2312"/>
          <w:color w:val="auto"/>
          <w:sz w:val="32"/>
          <w:highlight w:val="none"/>
        </w:rPr>
        <w:t>根据《广东省财政厅关于开展202</w:t>
      </w:r>
      <w:r>
        <w:rPr>
          <w:rFonts w:hint="eastAsia" w:ascii="仿宋_GB2312" w:eastAsia="仿宋_GB2312"/>
          <w:color w:val="auto"/>
          <w:sz w:val="32"/>
          <w:highlight w:val="none"/>
          <w:lang w:val="en-US" w:eastAsia="zh-CN"/>
        </w:rPr>
        <w:t>1</w:t>
      </w:r>
      <w:r>
        <w:rPr>
          <w:rFonts w:hint="eastAsia" w:ascii="仿宋_GB2312" w:eastAsia="仿宋_GB2312"/>
          <w:color w:val="auto"/>
          <w:sz w:val="32"/>
          <w:highlight w:val="none"/>
        </w:rPr>
        <w:t>年省级财政资金绩效自评工作的通知》</w:t>
      </w:r>
      <w:r>
        <w:rPr>
          <w:rFonts w:hint="eastAsia" w:ascii="仿宋_GB2312" w:eastAsia="仿宋_GB2312"/>
          <w:color w:val="auto"/>
          <w:sz w:val="32"/>
          <w:highlight w:val="none"/>
          <w:lang w:eastAsia="zh-CN"/>
        </w:rPr>
        <w:t>和《关于印发</w:t>
      </w:r>
      <w:r>
        <w:rPr>
          <w:rFonts w:hint="eastAsia" w:ascii="仿宋_GB2312" w:hAnsi="仿宋_GB2312" w:eastAsia="仿宋_GB2312" w:cs="仿宋_GB2312"/>
          <w:sz w:val="32"/>
          <w:szCs w:val="32"/>
          <w:lang w:val="en-US" w:eastAsia="zh-CN"/>
        </w:rPr>
        <w:t>〈</w:t>
      </w:r>
      <w:r>
        <w:rPr>
          <w:rFonts w:hint="eastAsia" w:ascii="仿宋_GB2312" w:eastAsia="仿宋_GB2312"/>
          <w:color w:val="auto"/>
          <w:sz w:val="32"/>
          <w:highlight w:val="none"/>
          <w:lang w:eastAsia="zh-CN"/>
        </w:rPr>
        <w:t>广东省住房和城乡建设厅预算绩效管理办法</w:t>
      </w:r>
      <w:r>
        <w:rPr>
          <w:rFonts w:hint="eastAsia" w:ascii="仿宋_GB2312" w:hAnsi="仿宋_GB2312" w:eastAsia="仿宋_GB2312" w:cs="仿宋_GB2312"/>
          <w:sz w:val="32"/>
          <w:szCs w:val="32"/>
          <w:lang w:val="en-US" w:eastAsia="zh-CN"/>
        </w:rPr>
        <w:t>〉</w:t>
      </w:r>
      <w:r>
        <w:rPr>
          <w:rFonts w:hint="eastAsia" w:ascii="仿宋_GB2312" w:eastAsia="仿宋_GB2312"/>
          <w:color w:val="auto"/>
          <w:sz w:val="32"/>
          <w:highlight w:val="none"/>
          <w:lang w:eastAsia="zh-CN"/>
        </w:rPr>
        <w:t>的通知》（粤建计〔2019〕228号）等文件，我厅对</w:t>
      </w:r>
      <w:r>
        <w:rPr>
          <w:rFonts w:hint="eastAsia" w:ascii="仿宋_GB2312" w:eastAsia="仿宋_GB2312"/>
          <w:color w:val="auto"/>
          <w:sz w:val="32"/>
          <w:highlight w:val="none"/>
          <w:lang w:val="en-US" w:eastAsia="zh-CN"/>
        </w:rPr>
        <w:t>2020年住房和城乡建设（对应政策任务共3项）专项资金</w:t>
      </w:r>
      <w:r>
        <w:rPr>
          <w:rFonts w:hint="eastAsia" w:ascii="仿宋_GB2312" w:eastAsia="仿宋_GB2312"/>
          <w:color w:val="auto"/>
          <w:sz w:val="32"/>
          <w:highlight w:val="none"/>
          <w:lang w:eastAsia="zh-CN"/>
        </w:rPr>
        <w:t>使用情况组织开展了绩效自评</w:t>
      </w:r>
      <w:r>
        <w:rPr>
          <w:rFonts w:hint="eastAsia" w:ascii="仿宋_GB2312" w:eastAsia="仿宋_GB2312"/>
          <w:color w:val="auto"/>
          <w:sz w:val="32"/>
          <w:highlight w:val="none"/>
          <w:lang w:val="en-US" w:eastAsia="zh-CN"/>
        </w:rPr>
        <w:t>。</w:t>
      </w:r>
    </w:p>
    <w:p>
      <w:pPr>
        <w:pStyle w:val="13"/>
        <w:pageBreakBefore w:val="0"/>
        <w:kinsoku/>
        <w:wordWrap/>
        <w:overflowPunct/>
        <w:topLinePunct w:val="0"/>
        <w:autoSpaceDE/>
        <w:autoSpaceDN/>
        <w:bidi w:val="0"/>
        <w:adjustRightInd/>
        <w:spacing w:before="0" w:after="0" w:line="600" w:lineRule="exact"/>
        <w:ind w:firstLine="640"/>
        <w:jc w:val="both"/>
        <w:rPr>
          <w:rFonts w:ascii="黑体" w:hAnsi="黑体"/>
          <w:bCs/>
          <w:color w:val="auto"/>
          <w:highlight w:val="none"/>
        </w:rPr>
      </w:pPr>
      <w:r>
        <w:rPr>
          <w:rFonts w:hint="eastAsia" w:ascii="黑体" w:hAnsi="黑体"/>
          <w:bCs/>
          <w:color w:val="auto"/>
          <w:highlight w:val="none"/>
        </w:rPr>
        <w:t>一、基本情况</w:t>
      </w:r>
      <w:bookmarkEnd w:id="0"/>
    </w:p>
    <w:p>
      <w:pPr>
        <w:pStyle w:val="3"/>
        <w:pageBreakBefore w:val="0"/>
        <w:kinsoku/>
        <w:wordWrap/>
        <w:overflowPunct/>
        <w:topLinePunct w:val="0"/>
        <w:autoSpaceDE/>
        <w:autoSpaceDN/>
        <w:bidi w:val="0"/>
        <w:adjustRightInd/>
        <w:spacing w:before="0" w:after="0" w:line="600" w:lineRule="exact"/>
        <w:ind w:firstLine="640" w:firstLineChars="200"/>
        <w:rPr>
          <w:rFonts w:hint="eastAsia" w:ascii="仿宋_GB2312" w:eastAsia="仿宋_GB2312"/>
          <w:b w:val="0"/>
          <w:bCs w:val="0"/>
          <w:color w:val="auto"/>
          <w:sz w:val="32"/>
          <w:szCs w:val="32"/>
          <w:highlight w:val="none"/>
          <w:lang w:eastAsia="zh-CN"/>
        </w:rPr>
      </w:pPr>
      <w:r>
        <w:rPr>
          <w:rFonts w:hint="eastAsia" w:ascii="Calibri" w:hAnsi="宋体" w:eastAsia="楷体_GB2312" w:cs="Times New Roman"/>
          <w:b w:val="0"/>
          <w:bCs w:val="0"/>
          <w:color w:val="auto"/>
          <w:kern w:val="44"/>
          <w:sz w:val="32"/>
          <w:szCs w:val="44"/>
          <w:highlight w:val="none"/>
          <w:lang w:val="en-US" w:eastAsia="zh-CN" w:bidi="ar-SA"/>
        </w:rPr>
        <w:t>（一）资金安排情况</w:t>
      </w:r>
    </w:p>
    <w:p>
      <w:pPr>
        <w:pageBreakBefore w:val="0"/>
        <w:kinsoku/>
        <w:wordWrap/>
        <w:overflowPunct/>
        <w:topLinePunct w:val="0"/>
        <w:autoSpaceDE/>
        <w:autoSpaceDN/>
        <w:bidi w:val="0"/>
        <w:adjustRightInd/>
        <w:snapToGrid w:val="0"/>
        <w:spacing w:beforeLines="0" w:afterLines="0" w:line="600" w:lineRule="exact"/>
        <w:ind w:firstLine="640" w:firstLineChars="200"/>
        <w:rPr>
          <w:rFonts w:hint="eastAsia" w:ascii="仿宋_GB2312" w:eastAsia="仿宋_GB2312"/>
          <w:color w:val="auto"/>
          <w:sz w:val="32"/>
          <w:highlight w:val="none"/>
          <w:lang w:val="en-US" w:eastAsia="zh-CN"/>
        </w:rPr>
      </w:pPr>
      <w:r>
        <w:rPr>
          <w:rFonts w:hint="eastAsia" w:ascii="仿宋_GB2312" w:eastAsia="仿宋_GB2312"/>
          <w:color w:val="auto"/>
          <w:sz w:val="32"/>
          <w:highlight w:val="none"/>
          <w:lang w:val="en-US" w:eastAsia="zh-CN"/>
        </w:rPr>
        <w:t>2020年住房和城乡建设专项资金预算计划安排10,200万元，实际安排额度9,525万元。实际安排资金包括社区体育公园补助资金3,825万元、城镇老旧小区改造省级补助资金700万元、农村削坡建房风险排查专项资金5,000万元。</w:t>
      </w:r>
    </w:p>
    <w:p>
      <w:pPr>
        <w:pageBreakBefore w:val="0"/>
        <w:kinsoku/>
        <w:wordWrap/>
        <w:overflowPunct/>
        <w:topLinePunct w:val="0"/>
        <w:autoSpaceDE/>
        <w:autoSpaceDN/>
        <w:bidi w:val="0"/>
        <w:adjustRightInd/>
        <w:snapToGrid w:val="0"/>
        <w:spacing w:beforeLines="0" w:afterLines="0" w:line="600" w:lineRule="exact"/>
        <w:ind w:firstLine="643" w:firstLineChars="200"/>
        <w:rPr>
          <w:rFonts w:hint="eastAsia" w:ascii="仿宋_GB2312" w:eastAsia="仿宋_GB2312"/>
          <w:b/>
          <w:bCs/>
          <w:color w:val="auto"/>
          <w:sz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w:t>
      </w:r>
      <w:r>
        <w:rPr>
          <w:rFonts w:hint="eastAsia" w:ascii="仿宋_GB2312" w:eastAsia="仿宋_GB2312"/>
          <w:b/>
          <w:bCs/>
          <w:color w:val="auto"/>
          <w:sz w:val="32"/>
          <w:highlight w:val="none"/>
          <w:lang w:val="en-US" w:eastAsia="zh-CN"/>
        </w:rPr>
        <w:t>社区体育公园补助资金。</w:t>
      </w:r>
    </w:p>
    <w:p>
      <w:pPr>
        <w:pageBreakBefore w:val="0"/>
        <w:kinsoku/>
        <w:wordWrap/>
        <w:overflowPunct/>
        <w:topLinePunct w:val="0"/>
        <w:autoSpaceDE/>
        <w:autoSpaceDN/>
        <w:bidi w:val="0"/>
        <w:adjustRightInd/>
        <w:snapToGrid w:val="0"/>
        <w:spacing w:beforeLines="0" w:afterLines="0" w:line="60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社区体育公园是指利用独立占地或附属场地建成的，以绿化为本底，以体育锻炼为</w:t>
      </w:r>
      <w:r>
        <w:rPr>
          <w:rStyle w:val="32"/>
          <w:rFonts w:hint="eastAsia" w:ascii="仿宋_GB2312" w:hAnsi="仿宋_GB2312" w:eastAsia="仿宋_GB2312"/>
          <w:color w:val="auto"/>
          <w:kern w:val="0"/>
          <w:sz w:val="32"/>
          <w:szCs w:val="32"/>
          <w:highlight w:val="none"/>
          <w:lang w:val="en-US" w:eastAsia="zh-CN"/>
        </w:rPr>
        <w:t>主要</w:t>
      </w:r>
      <w:r>
        <w:rPr>
          <w:rFonts w:hint="eastAsia" w:ascii="仿宋_GB2312" w:hAnsi="仿宋_GB2312" w:eastAsia="仿宋_GB2312" w:cs="仿宋_GB2312"/>
          <w:color w:val="auto"/>
          <w:sz w:val="32"/>
          <w:szCs w:val="32"/>
          <w:highlight w:val="none"/>
          <w:lang w:val="en-US" w:eastAsia="zh-CN"/>
        </w:rPr>
        <w:t>功能、兼有社区公园文化休闲一般功能，具有一定环境品质且向居民开放的公益性公共空间。</w:t>
      </w:r>
      <w:r>
        <w:rPr>
          <w:rFonts w:hint="eastAsia" w:ascii="仿宋_GB2312" w:eastAsia="仿宋_GB2312"/>
          <w:color w:val="auto"/>
          <w:sz w:val="32"/>
          <w:szCs w:val="32"/>
          <w:highlight w:val="none"/>
          <w:lang w:val="en-US" w:eastAsia="zh-CN"/>
        </w:rPr>
        <w:t>随着经济社会的快速发展和人民生活水平的不断提高，人民群众对公共体育设施的需求日益增加，我省现有公共体育设施仍不能满足人民群众快速增长的健身需求。党的十九大报告提出健康中国战略，《“健康中国2030”规划纲要》、《健康广东行动（2019-2030年）》（粤健推委</w:t>
      </w:r>
      <w:r>
        <w:rPr>
          <w:rFonts w:hint="eastAsia" w:ascii="仿宋_GB2312" w:hAnsi="黑体" w:eastAsia="仿宋_GB2312" w:cs="楷体_GB2312"/>
          <w:color w:val="auto"/>
          <w:sz w:val="32"/>
          <w:szCs w:val="36"/>
          <w:highlight w:val="none"/>
          <w:lang w:eastAsia="zh-CN"/>
        </w:rPr>
        <w:t>〔201</w:t>
      </w:r>
      <w:r>
        <w:rPr>
          <w:rFonts w:hint="eastAsia" w:ascii="仿宋_GB2312" w:hAnsi="黑体" w:eastAsia="仿宋_GB2312" w:cs="楷体_GB2312"/>
          <w:color w:val="auto"/>
          <w:sz w:val="32"/>
          <w:szCs w:val="36"/>
          <w:highlight w:val="none"/>
          <w:lang w:val="en-US" w:eastAsia="zh-CN"/>
        </w:rPr>
        <w:t>9</w:t>
      </w:r>
      <w:r>
        <w:rPr>
          <w:rFonts w:hint="eastAsia" w:ascii="仿宋_GB2312" w:hAnsi="黑体" w:eastAsia="仿宋_GB2312" w:cs="楷体_GB2312"/>
          <w:color w:val="auto"/>
          <w:sz w:val="32"/>
          <w:szCs w:val="36"/>
          <w:highlight w:val="none"/>
          <w:lang w:eastAsia="zh-CN"/>
        </w:rPr>
        <w:t>〕</w:t>
      </w:r>
      <w:r>
        <w:rPr>
          <w:rFonts w:hint="eastAsia" w:ascii="仿宋_GB2312" w:hAnsi="黑体" w:eastAsia="仿宋_GB2312" w:cs="楷体_GB2312"/>
          <w:color w:val="auto"/>
          <w:sz w:val="32"/>
          <w:szCs w:val="36"/>
          <w:highlight w:val="none"/>
          <w:lang w:val="en-US" w:eastAsia="zh-CN"/>
        </w:rPr>
        <w:t>1号</w:t>
      </w:r>
      <w:r>
        <w:rPr>
          <w:rFonts w:hint="eastAsia" w:ascii="仿宋_GB2312" w:eastAsia="仿宋_GB2312"/>
          <w:color w:val="auto"/>
          <w:sz w:val="32"/>
          <w:szCs w:val="32"/>
          <w:highlight w:val="none"/>
          <w:lang w:val="en-US" w:eastAsia="zh-CN"/>
        </w:rPr>
        <w:t>）提出把健康融入城乡规划、建设、治理的全过程。《中共广东省委 广东省人民政府关于进一步加强城市规划建设管理工作的实施意见》（粤发</w:t>
      </w:r>
      <w:r>
        <w:rPr>
          <w:rFonts w:hint="eastAsia" w:ascii="仿宋_GB2312" w:hAnsi="黑体" w:eastAsia="仿宋_GB2312" w:cs="楷体_GB2312"/>
          <w:color w:val="auto"/>
          <w:sz w:val="32"/>
          <w:szCs w:val="36"/>
          <w:highlight w:val="none"/>
          <w:lang w:eastAsia="zh-CN"/>
        </w:rPr>
        <w:t>〔201</w:t>
      </w:r>
      <w:r>
        <w:rPr>
          <w:rFonts w:hint="eastAsia" w:ascii="仿宋_GB2312" w:hAnsi="黑体" w:eastAsia="仿宋_GB2312" w:cs="楷体_GB2312"/>
          <w:color w:val="auto"/>
          <w:sz w:val="32"/>
          <w:szCs w:val="36"/>
          <w:highlight w:val="none"/>
          <w:lang w:val="en-US" w:eastAsia="zh-CN"/>
        </w:rPr>
        <w:t>6</w:t>
      </w:r>
      <w:r>
        <w:rPr>
          <w:rFonts w:hint="eastAsia" w:ascii="仿宋_GB2312" w:hAnsi="黑体" w:eastAsia="仿宋_GB2312" w:cs="楷体_GB2312"/>
          <w:color w:val="auto"/>
          <w:sz w:val="32"/>
          <w:szCs w:val="36"/>
          <w:highlight w:val="none"/>
          <w:lang w:eastAsia="zh-CN"/>
        </w:rPr>
        <w:t>〕</w:t>
      </w:r>
      <w:r>
        <w:rPr>
          <w:rFonts w:hint="eastAsia" w:ascii="仿宋_GB2312" w:hAnsi="黑体" w:eastAsia="仿宋_GB2312" w:cs="楷体_GB2312"/>
          <w:color w:val="auto"/>
          <w:sz w:val="32"/>
          <w:szCs w:val="36"/>
          <w:highlight w:val="none"/>
          <w:lang w:val="en-US" w:eastAsia="zh-CN"/>
        </w:rPr>
        <w:t>14号</w:t>
      </w:r>
      <w:r>
        <w:rPr>
          <w:rFonts w:hint="eastAsia" w:ascii="仿宋_GB2312" w:eastAsia="仿宋_GB2312"/>
          <w:color w:val="auto"/>
          <w:sz w:val="32"/>
          <w:szCs w:val="32"/>
          <w:highlight w:val="none"/>
          <w:lang w:val="en-US" w:eastAsia="zh-CN"/>
        </w:rPr>
        <w:t>）将完善城市公共服务作为今后城市工作的重要内容之一。</w:t>
      </w:r>
      <w:r>
        <w:rPr>
          <w:rFonts w:hint="eastAsia" w:ascii="仿宋_GB2312" w:hAnsi="仿宋_GB2312" w:eastAsia="仿宋_GB2312" w:cs="仿宋_GB2312"/>
          <w:color w:val="auto"/>
          <w:sz w:val="32"/>
          <w:szCs w:val="32"/>
          <w:highlight w:val="none"/>
          <w:lang w:val="en-US" w:eastAsia="zh-CN"/>
        </w:rPr>
        <w:t>2018年，社区体育公园建设列入了省《政府工作报告》。</w:t>
      </w:r>
      <w:r>
        <w:rPr>
          <w:rFonts w:hint="eastAsia" w:ascii="仿宋_GB2312" w:eastAsia="仿宋_GB2312"/>
          <w:color w:val="auto"/>
          <w:sz w:val="32"/>
          <w:szCs w:val="32"/>
          <w:highlight w:val="none"/>
          <w:lang w:val="en-US" w:eastAsia="zh-CN"/>
        </w:rPr>
        <w:t>2019年省《政府工作报告》提出“建设更多公共体育场地设施”。《广东省公共体育设施建设实施意见》对全省的社区体育公园建</w:t>
      </w:r>
      <w:r>
        <w:rPr>
          <w:rFonts w:hint="eastAsia" w:ascii="仿宋_GB2312" w:hAnsi="Times New Roman" w:eastAsia="仿宋_GB2312" w:cs="Times New Roman"/>
          <w:color w:val="auto"/>
          <w:sz w:val="32"/>
          <w:szCs w:val="32"/>
          <w:highlight w:val="none"/>
          <w:lang w:val="en-US" w:eastAsia="zh-CN"/>
        </w:rPr>
        <w:t>设提出任务要求</w:t>
      </w:r>
      <w:r>
        <w:rPr>
          <w:rFonts w:hint="eastAsia" w:ascii="仿宋_GB2312" w:eastAsia="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近年来，省政府连年将社区体育公园建设作为提高城乡公共设施服务水平和推进全民健身的重要工作，在政府工作报告等重要文件中加以强调，省领导多次作出“继续加大社区体育公园建设力度”的批示。</w:t>
      </w:r>
    </w:p>
    <w:p>
      <w:pPr>
        <w:keepNext w:val="0"/>
        <w:keepLines w:val="0"/>
        <w:pageBreakBefore w:val="0"/>
        <w:widowControl w:val="0"/>
        <w:kinsoku/>
        <w:wordWrap/>
        <w:overflowPunct/>
        <w:topLinePunct w:val="0"/>
        <w:autoSpaceDE/>
        <w:autoSpaceDN/>
        <w:bidi w:val="0"/>
        <w:adjustRightInd/>
        <w:snapToGrid w:val="0"/>
        <w:spacing w:beforeLines="0" w:afterLines="0" w:line="600" w:lineRule="exact"/>
        <w:ind w:firstLine="640" w:firstLineChars="200"/>
        <w:textAlignment w:val="auto"/>
        <w:rPr>
          <w:rFonts w:hint="eastAsia" w:ascii="仿宋_GB2312" w:hAnsi="仿宋" w:eastAsia="仿宋_GB2312" w:cs="Times New Roman"/>
          <w:color w:val="auto"/>
          <w:sz w:val="32"/>
          <w:highlight w:val="none"/>
          <w:lang w:val="en-US" w:eastAsia="zh-CN"/>
        </w:rPr>
      </w:pPr>
      <w:r>
        <w:rPr>
          <w:rFonts w:hint="eastAsia" w:ascii="仿宋_GB2312" w:eastAsia="仿宋_GB2312"/>
          <w:color w:val="auto"/>
          <w:sz w:val="32"/>
          <w:szCs w:val="32"/>
          <w:highlight w:val="none"/>
          <w:lang w:val="en-US" w:eastAsia="zh-CN"/>
        </w:rPr>
        <w:t>为进一步推动社区体育公园建设，改善城市人居环境，提升城市居民生活质量，方便人民群众参与体育健身运动，提高人民健康水平。</w:t>
      </w:r>
      <w:r>
        <w:rPr>
          <w:rFonts w:hint="eastAsia" w:ascii="仿宋_GB2312" w:hAnsi="Times New Roman" w:eastAsia="仿宋_GB2312" w:cs="Times New Roman"/>
          <w:color w:val="auto"/>
          <w:sz w:val="32"/>
          <w:szCs w:val="32"/>
          <w:highlight w:val="none"/>
          <w:lang w:val="en-US" w:eastAsia="zh-CN"/>
        </w:rPr>
        <w:t>《</w:t>
      </w:r>
      <w:r>
        <w:rPr>
          <w:rFonts w:hint="default" w:ascii="仿宋_GB2312" w:hAnsi="Times New Roman" w:eastAsia="仿宋_GB2312" w:cs="Times New Roman"/>
          <w:color w:val="auto"/>
          <w:sz w:val="32"/>
          <w:szCs w:val="32"/>
          <w:highlight w:val="none"/>
          <w:lang w:val="en-US" w:eastAsia="zh-CN"/>
        </w:rPr>
        <w:t>广东省财政厅关于提前下达2020年省住房城乡建设厅经管部分专项资金和其他事业发展性资金预算的通知》(粤财建〔2019〕</w:t>
      </w:r>
      <w:r>
        <w:rPr>
          <w:rFonts w:hint="eastAsia" w:ascii="仿宋_GB2312" w:hAnsi="Times New Roman" w:eastAsia="仿宋_GB2312" w:cs="Times New Roman"/>
          <w:color w:val="auto"/>
          <w:sz w:val="32"/>
          <w:szCs w:val="32"/>
          <w:highlight w:val="none"/>
          <w:lang w:val="en-US" w:eastAsia="zh-CN"/>
        </w:rPr>
        <w:t>139号）</w:t>
      </w:r>
      <w:r>
        <w:rPr>
          <w:rFonts w:hint="eastAsia" w:ascii="仿宋_GB2312" w:eastAsia="仿宋_GB2312" w:cs="Times New Roman"/>
          <w:color w:val="auto"/>
          <w:sz w:val="32"/>
          <w:szCs w:val="32"/>
          <w:highlight w:val="none"/>
          <w:lang w:val="en-US" w:eastAsia="zh-CN"/>
        </w:rPr>
        <w:t>安排</w:t>
      </w:r>
      <w:r>
        <w:rPr>
          <w:rFonts w:hint="eastAsia" w:ascii="仿宋_GB2312" w:eastAsia="仿宋_GB2312"/>
          <w:color w:val="auto"/>
          <w:sz w:val="32"/>
          <w:szCs w:val="32"/>
          <w:highlight w:val="none"/>
          <w:lang w:val="en-US" w:eastAsia="zh-CN"/>
        </w:rPr>
        <w:t>2020年社区体育公园补助资金</w:t>
      </w:r>
      <w:r>
        <w:rPr>
          <w:rFonts w:hint="eastAsia" w:ascii="仿宋_GB2312" w:hAnsi="Times New Roman" w:eastAsia="仿宋_GB2312" w:cs="Times New Roman"/>
          <w:color w:val="auto"/>
          <w:sz w:val="32"/>
          <w:szCs w:val="32"/>
          <w:highlight w:val="none"/>
          <w:lang w:val="en-US" w:eastAsia="zh-CN"/>
        </w:rPr>
        <w:t>4</w:t>
      </w:r>
      <w:r>
        <w:rPr>
          <w:rFonts w:hint="eastAsia" w:ascii="仿宋_GB2312" w:hAnsi="黑体" w:eastAsia="仿宋_GB2312" w:cs="楷体_GB2312"/>
          <w:color w:val="auto"/>
          <w:sz w:val="32"/>
          <w:szCs w:val="36"/>
          <w:highlight w:val="none"/>
          <w:lang w:val="en-US" w:eastAsia="zh-CN"/>
        </w:rPr>
        <w:t>,500万元</w:t>
      </w:r>
      <w:r>
        <w:rPr>
          <w:rFonts w:hint="eastAsia" w:ascii="仿宋_GB2312" w:hAnsi="Times New Roman" w:eastAsia="仿宋_GB2312" w:cs="Times New Roman"/>
          <w:color w:val="auto"/>
          <w:sz w:val="32"/>
          <w:szCs w:val="32"/>
          <w:highlight w:val="none"/>
          <w:lang w:val="en-US" w:eastAsia="zh-CN"/>
        </w:rPr>
        <w:t>，补助</w:t>
      </w:r>
      <w:r>
        <w:rPr>
          <w:rFonts w:hint="eastAsia" w:ascii="仿宋_GB2312" w:hAnsi="Times New Roman" w:eastAsia="仿宋_GB2312" w:cs="Times New Roman"/>
          <w:color w:val="auto"/>
          <w:sz w:val="32"/>
          <w:szCs w:val="32"/>
          <w:highlight w:val="none"/>
        </w:rPr>
        <w:t>1</w:t>
      </w:r>
      <w:r>
        <w:rPr>
          <w:rFonts w:hint="eastAsia" w:ascii="仿宋_GB2312" w:hAnsi="Times New Roman" w:eastAsia="仿宋_GB2312" w:cs="Times New Roman"/>
          <w:color w:val="auto"/>
          <w:sz w:val="32"/>
          <w:szCs w:val="32"/>
          <w:highlight w:val="none"/>
          <w:lang w:val="en-US" w:eastAsia="zh-CN"/>
        </w:rPr>
        <w:t>2</w:t>
      </w:r>
      <w:r>
        <w:rPr>
          <w:rFonts w:hint="eastAsia" w:ascii="仿宋_GB2312" w:hAnsi="Times New Roman" w:eastAsia="仿宋_GB2312" w:cs="Times New Roman"/>
          <w:color w:val="auto"/>
          <w:sz w:val="32"/>
          <w:szCs w:val="32"/>
          <w:highlight w:val="none"/>
        </w:rPr>
        <w:t>个</w:t>
      </w:r>
      <w:r>
        <w:rPr>
          <w:rFonts w:hint="eastAsia" w:ascii="仿宋_GB2312" w:hAnsi="Times New Roman" w:eastAsia="仿宋_GB2312" w:cs="Times New Roman"/>
          <w:color w:val="auto"/>
          <w:sz w:val="32"/>
          <w:szCs w:val="32"/>
          <w:highlight w:val="none"/>
          <w:lang w:val="en-US" w:eastAsia="zh-CN"/>
        </w:rPr>
        <w:t>地</w:t>
      </w:r>
      <w:r>
        <w:rPr>
          <w:rFonts w:hint="eastAsia" w:ascii="仿宋_GB2312" w:hAnsi="Times New Roman" w:eastAsia="仿宋_GB2312" w:cs="Times New Roman"/>
          <w:color w:val="auto"/>
          <w:sz w:val="32"/>
          <w:szCs w:val="32"/>
          <w:highlight w:val="none"/>
        </w:rPr>
        <w:t>市</w:t>
      </w:r>
      <w:r>
        <w:rPr>
          <w:rFonts w:hint="eastAsia" w:ascii="仿宋_GB2312" w:hAnsi="Times New Roman" w:eastAsia="仿宋_GB2312" w:cs="Times New Roman"/>
          <w:color w:val="auto"/>
          <w:sz w:val="32"/>
          <w:szCs w:val="32"/>
          <w:highlight w:val="none"/>
          <w:lang w:val="en-US" w:eastAsia="zh-CN"/>
        </w:rPr>
        <w:t>社区体育公园建设。</w:t>
      </w:r>
      <w:r>
        <w:rPr>
          <w:rFonts w:hint="eastAsia" w:ascii="仿宋_GB2312" w:hAnsi="仿宋" w:eastAsia="仿宋_GB2312" w:cs="Times New Roman"/>
          <w:color w:val="auto"/>
          <w:sz w:val="32"/>
          <w:highlight w:val="none"/>
        </w:rPr>
        <w:t>2020年9月《广东省财政厅关于收回部分市县资金的通知》（粤财预〔2020〕76号）</w:t>
      </w:r>
      <w:r>
        <w:rPr>
          <w:rFonts w:hint="eastAsia" w:ascii="仿宋_GB2312" w:hAnsi="仿宋" w:eastAsia="仿宋_GB2312" w:cs="Times New Roman"/>
          <w:color w:val="auto"/>
          <w:sz w:val="32"/>
          <w:highlight w:val="none"/>
          <w:lang w:val="en-US" w:eastAsia="zh-CN"/>
        </w:rPr>
        <w:t>收回</w:t>
      </w:r>
      <w:r>
        <w:rPr>
          <w:rFonts w:hint="eastAsia" w:ascii="仿宋_GB2312" w:eastAsia="仿宋_GB2312"/>
          <w:color w:val="auto"/>
          <w:sz w:val="32"/>
          <w:szCs w:val="32"/>
          <w:highlight w:val="none"/>
          <w:lang w:val="en-US" w:eastAsia="zh-CN"/>
        </w:rPr>
        <w:t>2020年社区体育公园补助资金</w:t>
      </w:r>
      <w:r>
        <w:rPr>
          <w:rFonts w:hint="eastAsia" w:ascii="仿宋_GB2312" w:hAnsi="仿宋" w:eastAsia="仿宋_GB2312" w:cs="Times New Roman"/>
          <w:color w:val="auto"/>
          <w:sz w:val="32"/>
          <w:highlight w:val="none"/>
          <w:lang w:val="en-US" w:eastAsia="zh-CN"/>
        </w:rPr>
        <w:t>675万元，实际安排</w:t>
      </w:r>
      <w:r>
        <w:rPr>
          <w:rFonts w:hint="eastAsia" w:ascii="仿宋_GB2312" w:eastAsia="仿宋_GB2312"/>
          <w:color w:val="auto"/>
          <w:sz w:val="32"/>
          <w:szCs w:val="32"/>
          <w:highlight w:val="none"/>
          <w:lang w:val="en-US" w:eastAsia="zh-CN"/>
        </w:rPr>
        <w:t>2020年社区体育公园补助资金</w:t>
      </w:r>
      <w:r>
        <w:rPr>
          <w:rFonts w:hint="eastAsia" w:ascii="仿宋_GB2312" w:hAnsi="仿宋" w:eastAsia="仿宋_GB2312" w:cs="Times New Roman"/>
          <w:color w:val="auto"/>
          <w:sz w:val="32"/>
          <w:highlight w:val="none"/>
          <w:lang w:val="en-US" w:eastAsia="zh-CN"/>
        </w:rPr>
        <w:t>3,825万元。</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600" w:lineRule="exact"/>
        <w:ind w:firstLine="643" w:firstLineChars="200"/>
        <w:textAlignment w:val="auto"/>
        <w:rPr>
          <w:rFonts w:hint="eastAsia" w:ascii="仿宋_GB2312" w:hAnsi="Times New Roman" w:eastAsia="仿宋_GB2312" w:cs="Times New Roman"/>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2.城镇老旧小区改造省级补助资金。</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600" w:lineRule="exact"/>
        <w:ind w:firstLine="640" w:firstLineChars="200"/>
        <w:textAlignment w:val="auto"/>
        <w:rPr>
          <w:rFonts w:hint="eastAsia" w:ascii="仿宋_GB2312" w:hAnsi="Times New Roman" w:eastAsia="仿宋_GB2312" w:cs="Times New Roman"/>
          <w:color w:val="auto"/>
          <w:sz w:val="32"/>
          <w:highlight w:val="none"/>
          <w:lang w:val="en-US" w:eastAsia="zh-CN"/>
        </w:rPr>
      </w:pPr>
      <w:r>
        <w:rPr>
          <w:rFonts w:hint="eastAsia" w:ascii="仿宋_GB2312" w:hAnsi="Times New Roman" w:eastAsia="仿宋_GB2312" w:cs="Times New Roman"/>
          <w:color w:val="auto"/>
          <w:sz w:val="32"/>
          <w:szCs w:val="32"/>
          <w:highlight w:val="none"/>
          <w:lang w:val="en-US" w:eastAsia="zh-CN"/>
        </w:rPr>
        <w:t>城镇老旧小区改造是重大民生工程和发展工程，对满足人民群众美好生活需要、推动惠民生扩内需、推进城市更新和开发建设方式转型、促进经济高质量发展具有十分重要的意义。根据国家和我省有关城镇老旧小区改造的政策及指导意见，《广东省住房和城乡建设厅关于报送收回市县沉淀资金及调整资金用途的函》提出资金安排计划，经省财政厅审核同意，省财政2020年共安排城镇老旧小区改造省级补助资金700万元，用于补助粤东西北地区城镇老旧小区改造试点单位韶关市、梅州市的城镇老旧小区改造。</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600" w:lineRule="exact"/>
        <w:ind w:firstLine="643" w:firstLineChars="200"/>
        <w:textAlignment w:val="auto"/>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3.农村削坡建房风险排查专项资金。</w:t>
      </w:r>
    </w:p>
    <w:p>
      <w:pPr>
        <w:keepNext w:val="0"/>
        <w:keepLines w:val="0"/>
        <w:pageBreakBefore w:val="0"/>
        <w:widowControl w:val="0"/>
        <w:numPr>
          <w:ilvl w:val="0"/>
          <w:numId w:val="0"/>
        </w:numPr>
        <w:kinsoku/>
        <w:wordWrap/>
        <w:overflowPunct/>
        <w:topLinePunct w:val="0"/>
        <w:autoSpaceDE/>
        <w:autoSpaceDN/>
        <w:bidi w:val="0"/>
        <w:adjustRightInd/>
        <w:snapToGrid w:val="0"/>
        <w:spacing w:beforeLines="0" w:afterLines="0" w:line="600" w:lineRule="exact"/>
        <w:ind w:firstLine="640" w:firstLineChars="200"/>
        <w:textAlignment w:val="auto"/>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highlight w:val="none"/>
          <w:lang w:val="en-US" w:eastAsia="zh-CN"/>
        </w:rPr>
        <w:t>我省丘陵山地多，地势起伏大，部分山坡</w:t>
      </w:r>
      <w:r>
        <w:rPr>
          <w:rFonts w:hint="eastAsia" w:ascii="仿宋_GB2312" w:hAnsi="仿宋_GB2312" w:eastAsia="仿宋_GB2312" w:cstheme="minorBidi"/>
          <w:color w:val="auto"/>
          <w:sz w:val="32"/>
          <w:highlight w:val="none"/>
        </w:rPr>
        <w:t>陡峭，地质构造较为复杂，同时受人类工程活动影响，地质灾害易发多发、威胁严重。粤东西北地区地形多为中、低山和丘陵区，人多地少，居民建房多依山削坡而建，存在大量削坡建房风险点，韶关、河源、梅州、茂名、肇庆、清远、云浮等地尤为集中。《广东省人民政府办公厅关于印发广东省地质灾害防治三年行动方案（2020-2022年）的通知》（粤办函〔2019〕402号）要求</w:t>
      </w:r>
      <w:r>
        <w:rPr>
          <w:rFonts w:hint="eastAsia" w:ascii="仿宋_GB2312" w:hAnsi="仿宋_GB2312" w:eastAsia="仿宋_GB2312" w:cstheme="minorBidi"/>
          <w:color w:val="auto"/>
          <w:sz w:val="32"/>
          <w:highlight w:val="none"/>
          <w:lang w:eastAsia="zh-CN"/>
        </w:rPr>
        <w:t>：</w:t>
      </w:r>
      <w:r>
        <w:rPr>
          <w:rFonts w:hint="eastAsia" w:ascii="仿宋_GB2312" w:hAnsi="仿宋_GB2312" w:eastAsia="仿宋_GB2312" w:cstheme="minorBidi"/>
          <w:color w:val="auto"/>
          <w:sz w:val="32"/>
          <w:highlight w:val="none"/>
        </w:rPr>
        <w:t>以习近平新时代中国特色社会主义思想为指导，全面贯彻党的十九大和十九届二中、三中、四中全会精神，深入贯彻习近平总书记对广东重要讲话和重要指示批示精神，牢固树立以人民为中心的发展思想，按照“政府主导、分级负责、部门联动、全民动员、防治结合”的工作原则，采取“全面排查隐患、彻底摸清情况，分类科学研判、精准综合治理”的策略，加大地质灾害隐患点和削坡建房风险点综合治理力度，全面推进地质灾害治理体系和治理能力现代化建设，重点解决我省地质灾害防治突出问题，基本消除重大地质灾害隐患。</w:t>
      </w:r>
      <w:r>
        <w:rPr>
          <w:rFonts w:hint="eastAsia" w:ascii="仿宋_GB2312" w:hAnsi="仿宋_GB2312" w:eastAsia="仿宋_GB2312" w:cstheme="minorBidi"/>
          <w:color w:val="auto"/>
          <w:sz w:val="32"/>
          <w:highlight w:val="none"/>
          <w:lang w:eastAsia="zh-CN"/>
        </w:rPr>
        <w:t>为落实此项政策任务，</w:t>
      </w:r>
      <w:r>
        <w:rPr>
          <w:rFonts w:hint="eastAsia" w:ascii="仿宋_GB2312" w:hAnsi="仿宋_GB2312" w:eastAsia="仿宋_GB2312" w:cstheme="minorBidi"/>
          <w:color w:val="auto"/>
          <w:sz w:val="32"/>
          <w:highlight w:val="none"/>
        </w:rPr>
        <w:t>省财政2020年安排农村削坡建房风险排查专项资金5</w:t>
      </w:r>
      <w:r>
        <w:rPr>
          <w:rFonts w:hint="eastAsia" w:ascii="仿宋_GB2312" w:hAnsi="仿宋_GB2312" w:eastAsia="仿宋_GB2312" w:cstheme="minorBidi"/>
          <w:color w:val="auto"/>
          <w:sz w:val="32"/>
          <w:highlight w:val="none"/>
          <w:lang w:val="en-US" w:eastAsia="zh-CN"/>
        </w:rPr>
        <w:t>,</w:t>
      </w:r>
      <w:r>
        <w:rPr>
          <w:rFonts w:hint="eastAsia" w:ascii="仿宋_GB2312" w:hAnsi="仿宋_GB2312" w:eastAsia="仿宋_GB2312" w:cstheme="minorBidi"/>
          <w:color w:val="auto"/>
          <w:sz w:val="32"/>
          <w:highlight w:val="none"/>
        </w:rPr>
        <w:t>000万元</w:t>
      </w:r>
      <w:r>
        <w:rPr>
          <w:rFonts w:hint="eastAsia" w:ascii="仿宋_GB2312" w:hAnsi="仿宋_GB2312" w:eastAsia="仿宋_GB2312" w:cstheme="minorBidi"/>
          <w:color w:val="auto"/>
          <w:sz w:val="32"/>
          <w:highlight w:val="none"/>
          <w:lang w:eastAsia="zh-CN"/>
        </w:rPr>
        <w:t>，</w:t>
      </w:r>
      <w:r>
        <w:rPr>
          <w:rFonts w:hint="eastAsia" w:ascii="仿宋_GB2312" w:hAnsi="仿宋_GB2312" w:eastAsia="仿宋_GB2312" w:cs="仿宋_GB2312"/>
          <w:color w:val="auto"/>
          <w:sz w:val="32"/>
          <w:szCs w:val="32"/>
          <w:highlight w:val="none"/>
          <w:lang w:val="en-US" w:eastAsia="zh-CN" w:bidi="ar-SA"/>
        </w:rPr>
        <w:t>按照《广东省省对市县均衡性转移支付办法》（粤财预〔2019〕131号）规定的均衡性转移支付覆盖范围，将资金用于支持粤东西北和珠三角地区部分市（含肇庆市，惠州市龙门县，江门市恩平市、台山市、开平市等）86个县（市、区）（以下简称粤东西北地区）的农村削坡建房风险点排查工作。</w:t>
      </w:r>
    </w:p>
    <w:p>
      <w:pPr>
        <w:pStyle w:val="3"/>
        <w:pageBreakBefore w:val="0"/>
        <w:kinsoku/>
        <w:wordWrap/>
        <w:overflowPunct/>
        <w:topLinePunct w:val="0"/>
        <w:autoSpaceDE/>
        <w:autoSpaceDN/>
        <w:bidi w:val="0"/>
        <w:adjustRightInd/>
        <w:spacing w:before="0" w:after="0" w:line="600" w:lineRule="exact"/>
        <w:ind w:firstLine="640" w:firstLineChars="200"/>
        <w:rPr>
          <w:rFonts w:hint="eastAsia" w:ascii="Calibri" w:hAnsi="宋体" w:eastAsia="楷体_GB2312" w:cs="Times New Roman"/>
          <w:b w:val="0"/>
          <w:bCs w:val="0"/>
          <w:color w:val="auto"/>
          <w:kern w:val="44"/>
          <w:sz w:val="32"/>
          <w:szCs w:val="44"/>
          <w:highlight w:val="none"/>
          <w:lang w:val="en-US" w:eastAsia="zh-CN" w:bidi="ar-SA"/>
        </w:rPr>
      </w:pPr>
      <w:r>
        <w:rPr>
          <w:rFonts w:hint="eastAsia" w:ascii="Calibri" w:hAnsi="宋体" w:eastAsia="楷体_GB2312" w:cs="Times New Roman"/>
          <w:b w:val="0"/>
          <w:bCs w:val="0"/>
          <w:color w:val="auto"/>
          <w:kern w:val="44"/>
          <w:sz w:val="32"/>
          <w:szCs w:val="44"/>
          <w:highlight w:val="none"/>
          <w:lang w:val="en-US" w:eastAsia="zh-CN" w:bidi="ar-SA"/>
        </w:rPr>
        <w:t>（二）资金分配方式和实施程序</w:t>
      </w:r>
    </w:p>
    <w:p>
      <w:pPr>
        <w:pageBreakBefore w:val="0"/>
        <w:numPr>
          <w:ilvl w:val="0"/>
          <w:numId w:val="0"/>
        </w:numPr>
        <w:kinsoku/>
        <w:wordWrap/>
        <w:overflowPunct/>
        <w:topLinePunct w:val="0"/>
        <w:autoSpaceDE/>
        <w:autoSpaceDN/>
        <w:bidi w:val="0"/>
        <w:adjustRightInd/>
        <w:snapToGrid w:val="0"/>
        <w:spacing w:beforeLines="0" w:afterLines="0" w:line="600" w:lineRule="exact"/>
        <w:ind w:firstLine="643" w:firstLineChars="200"/>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1.社区体育公园补助资金。</w:t>
      </w:r>
    </w:p>
    <w:p>
      <w:pPr>
        <w:pageBreakBefore w:val="0"/>
        <w:numPr>
          <w:ilvl w:val="0"/>
          <w:numId w:val="0"/>
        </w:numPr>
        <w:kinsoku/>
        <w:wordWrap/>
        <w:overflowPunct/>
        <w:topLinePunct w:val="0"/>
        <w:autoSpaceDE/>
        <w:autoSpaceDN/>
        <w:bidi w:val="0"/>
        <w:adjustRightInd/>
        <w:snapToGrid w:val="0"/>
        <w:spacing w:beforeLines="0" w:afterLines="0" w:line="600" w:lineRule="exact"/>
        <w:ind w:firstLine="640" w:firstLineChars="200"/>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资金分配方法</w:t>
      </w:r>
      <w:r>
        <w:rPr>
          <w:rFonts w:hint="eastAsia" w:ascii="仿宋_GB2312" w:eastAsia="仿宋_GB2312" w:cs="Times New Roman"/>
          <w:color w:val="auto"/>
          <w:sz w:val="32"/>
          <w:szCs w:val="32"/>
          <w:highlight w:val="none"/>
          <w:lang w:val="en-US" w:eastAsia="zh-CN"/>
        </w:rPr>
        <w:t>为“其他”。</w:t>
      </w:r>
      <w:r>
        <w:rPr>
          <w:rFonts w:hint="eastAsia" w:ascii="仿宋_GB2312" w:hAnsi="Times New Roman" w:eastAsia="仿宋_GB2312" w:cs="Times New Roman"/>
          <w:color w:val="auto"/>
          <w:sz w:val="32"/>
          <w:szCs w:val="32"/>
          <w:highlight w:val="none"/>
          <w:lang w:val="en-US" w:eastAsia="zh-CN"/>
        </w:rPr>
        <w:t>主要根据各市申报2020年社区体育公园的数量，参考《广东省社区体育公园规划建设指引（第二版）》对场地规模的分类（小型、中型、大型三大类），优先补助配套有社区足球场的社区体育公园</w:t>
      </w:r>
      <w:r>
        <w:rPr>
          <w:rFonts w:hint="eastAsia" w:ascii="仿宋_GB2312"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lang w:val="en-US" w:eastAsia="zh-CN"/>
        </w:rPr>
        <w:t>计划建设大型社区体育公园的市，在每1个大型社区体育公园中建成不少于1个社区足球场（全省建成不少于22个社区足球场），结合实际情况补助在保障房建设中配套的社区体育公园。</w:t>
      </w:r>
      <w:r>
        <w:rPr>
          <w:rFonts w:hint="eastAsia" w:ascii="仿宋_GB2312" w:eastAsia="仿宋_GB2312" w:cs="Times New Roman"/>
          <w:color w:val="auto"/>
          <w:sz w:val="32"/>
          <w:szCs w:val="32"/>
          <w:highlight w:val="none"/>
          <w:lang w:val="en-US" w:eastAsia="zh-CN"/>
        </w:rPr>
        <w:t>资金</w:t>
      </w:r>
      <w:r>
        <w:rPr>
          <w:rFonts w:hint="eastAsia" w:ascii="仿宋_GB2312" w:hAnsi="Times New Roman" w:eastAsia="仿宋_GB2312" w:cs="Times New Roman"/>
          <w:color w:val="auto"/>
          <w:sz w:val="32"/>
          <w:szCs w:val="32"/>
          <w:highlight w:val="none"/>
          <w:lang w:val="en-US" w:eastAsia="zh-CN"/>
        </w:rPr>
        <w:t>分配结果</w:t>
      </w:r>
      <w:r>
        <w:rPr>
          <w:rFonts w:hint="eastAsia" w:ascii="仿宋_GB2312" w:eastAsia="仿宋_GB2312" w:cs="Times New Roman"/>
          <w:color w:val="auto"/>
          <w:sz w:val="32"/>
          <w:szCs w:val="32"/>
          <w:highlight w:val="none"/>
          <w:lang w:val="en-US" w:eastAsia="zh-CN"/>
        </w:rPr>
        <w:t>详见</w:t>
      </w:r>
      <w:r>
        <w:rPr>
          <w:rFonts w:hint="eastAsia" w:ascii="仿宋_GB2312" w:hAnsi="Times New Roman" w:eastAsia="仿宋_GB2312" w:cs="Times New Roman"/>
          <w:color w:val="auto"/>
          <w:sz w:val="32"/>
          <w:szCs w:val="32"/>
          <w:highlight w:val="none"/>
          <w:lang w:val="en-US" w:eastAsia="zh-CN"/>
        </w:rPr>
        <w:t>表1-1。</w:t>
      </w:r>
    </w:p>
    <w:p>
      <w:pPr>
        <w:pStyle w:val="2"/>
        <w:pageBreakBefore w:val="0"/>
        <w:kinsoku/>
        <w:wordWrap/>
        <w:overflowPunct/>
        <w:topLinePunct w:val="0"/>
        <w:autoSpaceDE/>
        <w:autoSpaceDN/>
        <w:bidi w:val="0"/>
        <w:adjustRightInd/>
        <w:spacing w:line="600" w:lineRule="exact"/>
        <w:rPr>
          <w:rFonts w:hint="eastAsia" w:ascii="仿宋_GB2312" w:hAnsi="Times New Roman" w:eastAsia="仿宋_GB2312" w:cs="Times New Roman"/>
          <w:color w:val="auto"/>
          <w:sz w:val="32"/>
          <w:szCs w:val="32"/>
          <w:highlight w:val="none"/>
          <w:lang w:val="en-US" w:eastAsia="zh-CN"/>
        </w:rPr>
      </w:pPr>
    </w:p>
    <w:p>
      <w:pPr>
        <w:pageBreakBefore w:val="0"/>
        <w:kinsoku/>
        <w:wordWrap/>
        <w:overflowPunct/>
        <w:topLinePunct w:val="0"/>
        <w:autoSpaceDE/>
        <w:autoSpaceDN/>
        <w:bidi w:val="0"/>
        <w:adjustRightInd/>
        <w:spacing w:line="600" w:lineRule="exact"/>
        <w:rPr>
          <w:rFonts w:hint="eastAsia" w:ascii="仿宋_GB2312" w:hAnsi="Times New Roman" w:eastAsia="仿宋_GB2312" w:cs="Times New Roman"/>
          <w:color w:val="auto"/>
          <w:sz w:val="32"/>
          <w:szCs w:val="32"/>
          <w:highlight w:val="none"/>
          <w:lang w:val="en-US" w:eastAsia="zh-CN"/>
        </w:rPr>
      </w:pPr>
    </w:p>
    <w:p>
      <w:pPr>
        <w:pStyle w:val="2"/>
        <w:pageBreakBefore w:val="0"/>
        <w:kinsoku/>
        <w:wordWrap/>
        <w:overflowPunct/>
        <w:topLinePunct w:val="0"/>
        <w:autoSpaceDE/>
        <w:autoSpaceDN/>
        <w:bidi w:val="0"/>
        <w:adjustRightInd/>
        <w:spacing w:line="600" w:lineRule="exact"/>
        <w:rPr>
          <w:rFonts w:hint="eastAsia"/>
          <w:lang w:val="en-US" w:eastAsia="zh-CN"/>
        </w:rPr>
      </w:pPr>
    </w:p>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黑体" w:hAnsi="黑体" w:eastAsia="黑体" w:cs="Times New Roman"/>
          <w:color w:val="auto"/>
          <w:sz w:val="28"/>
          <w:szCs w:val="28"/>
          <w:highlight w:val="none"/>
          <w:lang w:val="en-US" w:eastAsia="zh-CN"/>
        </w:rPr>
      </w:pPr>
      <w:r>
        <w:rPr>
          <w:rFonts w:hint="eastAsia" w:ascii="黑体" w:hAnsi="黑体" w:eastAsia="黑体" w:cs="Times New Roman"/>
          <w:color w:val="auto"/>
          <w:sz w:val="28"/>
          <w:szCs w:val="28"/>
          <w:highlight w:val="none"/>
          <w:lang w:val="en-US" w:eastAsia="zh-CN"/>
        </w:rPr>
        <w:t>表1-1 2020年社区体育公园补助资金分配情况表</w:t>
      </w:r>
    </w:p>
    <w:tbl>
      <w:tblPr>
        <w:tblStyle w:val="17"/>
        <w:tblW w:w="848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381"/>
        <w:gridCol w:w="1212"/>
        <w:gridCol w:w="1212"/>
        <w:gridCol w:w="1253"/>
        <w:gridCol w:w="1253"/>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rPr>
              <w:t>序号</w:t>
            </w:r>
          </w:p>
        </w:tc>
        <w:tc>
          <w:tcPr>
            <w:tcW w:w="1381"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lang w:val="en-US" w:eastAsia="zh-CN"/>
              </w:rPr>
            </w:pPr>
            <w:r>
              <w:rPr>
                <w:rFonts w:hint="eastAsia" w:ascii="仿宋_GB2312" w:hAnsi="宋体" w:eastAsia="仿宋_GB2312" w:cs="宋体"/>
                <w:b/>
                <w:bCs w:val="0"/>
                <w:color w:val="auto"/>
                <w:kern w:val="0"/>
                <w:sz w:val="24"/>
                <w:szCs w:val="24"/>
                <w:highlight w:val="none"/>
                <w:lang w:val="en-US" w:eastAsia="zh-CN"/>
              </w:rPr>
              <w:t>区县</w:t>
            </w:r>
          </w:p>
        </w:tc>
        <w:tc>
          <w:tcPr>
            <w:tcW w:w="1212"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lang w:eastAsia="zh-CN"/>
              </w:rPr>
              <w:t>数量合</w:t>
            </w:r>
            <w:r>
              <w:rPr>
                <w:rFonts w:hint="eastAsia" w:ascii="仿宋_GB2312" w:hAnsi="宋体" w:eastAsia="仿宋_GB2312" w:cs="宋体"/>
                <w:b/>
                <w:bCs w:val="0"/>
                <w:color w:val="auto"/>
                <w:kern w:val="0"/>
                <w:sz w:val="24"/>
                <w:szCs w:val="24"/>
                <w:highlight w:val="none"/>
              </w:rPr>
              <w:t>计</w:t>
            </w:r>
          </w:p>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rPr>
              <w:t>（个）</w:t>
            </w:r>
          </w:p>
        </w:tc>
        <w:tc>
          <w:tcPr>
            <w:tcW w:w="1212"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rPr>
              <w:t>小型</w:t>
            </w:r>
          </w:p>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rPr>
              <w:t>（个）</w:t>
            </w:r>
          </w:p>
        </w:tc>
        <w:tc>
          <w:tcPr>
            <w:tcW w:w="125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rPr>
              <w:t>中型</w:t>
            </w:r>
          </w:p>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rPr>
              <w:t>（个）</w:t>
            </w:r>
          </w:p>
        </w:tc>
        <w:tc>
          <w:tcPr>
            <w:tcW w:w="125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rPr>
              <w:t>大型</w:t>
            </w:r>
          </w:p>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rPr>
              <w:t>（个）</w:t>
            </w:r>
          </w:p>
        </w:tc>
        <w:tc>
          <w:tcPr>
            <w:tcW w:w="1447"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lang w:eastAsia="zh-CN"/>
              </w:rPr>
            </w:pPr>
            <w:r>
              <w:rPr>
                <w:rFonts w:hint="eastAsia" w:ascii="仿宋_GB2312" w:hAnsi="宋体" w:eastAsia="仿宋_GB2312" w:cs="宋体"/>
                <w:b/>
                <w:bCs w:val="0"/>
                <w:color w:val="auto"/>
                <w:kern w:val="0"/>
                <w:sz w:val="24"/>
                <w:szCs w:val="24"/>
                <w:highlight w:val="none"/>
              </w:rPr>
              <w:t>金额</w:t>
            </w:r>
            <w:r>
              <w:rPr>
                <w:rFonts w:hint="eastAsia" w:ascii="仿宋_GB2312" w:hAnsi="宋体" w:eastAsia="仿宋_GB2312" w:cs="宋体"/>
                <w:b/>
                <w:bCs w:val="0"/>
                <w:color w:val="auto"/>
                <w:kern w:val="0"/>
                <w:sz w:val="24"/>
                <w:szCs w:val="24"/>
                <w:highlight w:val="none"/>
                <w:lang w:eastAsia="zh-CN"/>
              </w:rPr>
              <w:t>合计</w:t>
            </w:r>
          </w:p>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bCs w:val="0"/>
                <w:color w:val="auto"/>
                <w:kern w:val="0"/>
                <w:sz w:val="24"/>
                <w:szCs w:val="24"/>
                <w:highlight w:val="none"/>
              </w:rPr>
            </w:pPr>
            <w:r>
              <w:rPr>
                <w:rFonts w:hint="eastAsia" w:ascii="仿宋_GB2312" w:hAnsi="宋体" w:eastAsia="仿宋_GB2312" w:cs="宋体"/>
                <w:b/>
                <w:bCs w:val="0"/>
                <w:color w:val="auto"/>
                <w:kern w:val="0"/>
                <w:sz w:val="24"/>
                <w:szCs w:val="24"/>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2104" w:type="dxa"/>
            <w:gridSpan w:val="2"/>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合计</w:t>
            </w:r>
          </w:p>
        </w:tc>
        <w:tc>
          <w:tcPr>
            <w:tcW w:w="1212"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b w:val="0"/>
                <w:bCs w:val="0"/>
                <w:color w:val="auto"/>
                <w:sz w:val="24"/>
                <w:szCs w:val="24"/>
                <w:highlight w:val="none"/>
                <w:lang w:val="en-US" w:eastAsia="zh-CN"/>
              </w:rPr>
            </w:pPr>
            <w:r>
              <w:rPr>
                <w:rFonts w:hint="default" w:ascii="仿宋_GB2312" w:hAnsi="宋体" w:eastAsia="仿宋_GB2312" w:cs="宋体"/>
                <w:b w:val="0"/>
                <w:bCs w:val="0"/>
                <w:color w:val="auto"/>
                <w:sz w:val="24"/>
                <w:szCs w:val="24"/>
                <w:highlight w:val="none"/>
                <w:lang w:val="en-US" w:eastAsia="zh-CN"/>
              </w:rPr>
              <w:t>56</w:t>
            </w:r>
          </w:p>
        </w:tc>
        <w:tc>
          <w:tcPr>
            <w:tcW w:w="1212"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b w:val="0"/>
                <w:bCs w:val="0"/>
                <w:color w:val="auto"/>
                <w:kern w:val="2"/>
                <w:sz w:val="24"/>
                <w:szCs w:val="24"/>
                <w:highlight w:val="none"/>
                <w:lang w:val="en-US" w:eastAsia="zh-CN" w:bidi="ar-SA"/>
              </w:rPr>
            </w:pPr>
            <w:r>
              <w:rPr>
                <w:rFonts w:hint="default" w:ascii="仿宋_GB2312" w:hAnsi="宋体" w:eastAsia="仿宋_GB2312" w:cs="宋体"/>
                <w:b w:val="0"/>
                <w:bCs w:val="0"/>
                <w:color w:val="auto"/>
                <w:sz w:val="24"/>
                <w:szCs w:val="24"/>
                <w:highlight w:val="none"/>
                <w:lang w:val="en-US" w:eastAsia="zh-CN"/>
              </w:rPr>
              <w:t>11</w:t>
            </w:r>
          </w:p>
        </w:tc>
        <w:tc>
          <w:tcPr>
            <w:tcW w:w="1253"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b w:val="0"/>
                <w:bCs w:val="0"/>
                <w:color w:val="auto"/>
                <w:kern w:val="2"/>
                <w:sz w:val="24"/>
                <w:szCs w:val="24"/>
                <w:highlight w:val="none"/>
                <w:lang w:val="en-US" w:eastAsia="zh-CN" w:bidi="ar-SA"/>
              </w:rPr>
            </w:pPr>
            <w:r>
              <w:rPr>
                <w:rFonts w:hint="default" w:ascii="仿宋_GB2312" w:hAnsi="宋体" w:eastAsia="仿宋_GB2312" w:cs="宋体"/>
                <w:b w:val="0"/>
                <w:bCs w:val="0"/>
                <w:color w:val="auto"/>
                <w:sz w:val="24"/>
                <w:szCs w:val="24"/>
                <w:highlight w:val="none"/>
                <w:lang w:val="en-US" w:eastAsia="zh-CN"/>
              </w:rPr>
              <w:t>23</w:t>
            </w:r>
          </w:p>
        </w:tc>
        <w:tc>
          <w:tcPr>
            <w:tcW w:w="1253"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b w:val="0"/>
                <w:bCs w:val="0"/>
                <w:color w:val="auto"/>
                <w:kern w:val="2"/>
                <w:sz w:val="24"/>
                <w:szCs w:val="24"/>
                <w:highlight w:val="none"/>
                <w:lang w:val="en-US" w:eastAsia="zh-CN" w:bidi="ar-SA"/>
              </w:rPr>
            </w:pPr>
            <w:r>
              <w:rPr>
                <w:rFonts w:hint="default" w:ascii="仿宋_GB2312" w:hAnsi="宋体" w:eastAsia="仿宋_GB2312" w:cs="宋体"/>
                <w:b w:val="0"/>
                <w:bCs w:val="0"/>
                <w:color w:val="auto"/>
                <w:sz w:val="24"/>
                <w:szCs w:val="24"/>
                <w:highlight w:val="none"/>
                <w:lang w:val="en-US" w:eastAsia="zh-CN"/>
              </w:rPr>
              <w:t>22</w:t>
            </w:r>
          </w:p>
        </w:tc>
        <w:tc>
          <w:tcPr>
            <w:tcW w:w="1447"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b w:val="0"/>
                <w:bCs w:val="0"/>
                <w:color w:val="auto"/>
                <w:kern w:val="2"/>
                <w:sz w:val="24"/>
                <w:szCs w:val="24"/>
                <w:highlight w:val="none"/>
                <w:lang w:val="en-US" w:eastAsia="zh-CN" w:bidi="ar-SA"/>
              </w:rPr>
            </w:pPr>
            <w:r>
              <w:rPr>
                <w:rFonts w:hint="default" w:ascii="仿宋_GB2312" w:hAnsi="宋体" w:eastAsia="仿宋_GB2312" w:cs="宋体"/>
                <w:b w:val="0"/>
                <w:bCs w:val="0"/>
                <w:color w:val="auto"/>
                <w:sz w:val="24"/>
                <w:szCs w:val="24"/>
                <w:highlight w:val="none"/>
                <w:lang w:val="en-US" w:eastAsia="zh-CN"/>
              </w:rPr>
              <w:t>4500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val="0"/>
                <w:bCs w:val="0"/>
                <w:color w:val="auto"/>
                <w:kern w:val="0"/>
                <w:sz w:val="24"/>
                <w:szCs w:val="24"/>
                <w:highlight w:val="none"/>
              </w:rPr>
            </w:pPr>
            <w:r>
              <w:rPr>
                <w:rFonts w:hint="eastAsia" w:ascii="仿宋_GB2312" w:hAnsi="宋体" w:eastAsia="仿宋_GB2312" w:cs="宋体"/>
                <w:b w:val="0"/>
                <w:bCs w:val="0"/>
                <w:color w:val="auto"/>
                <w:kern w:val="0"/>
                <w:sz w:val="24"/>
                <w:szCs w:val="24"/>
                <w:highlight w:val="none"/>
              </w:rPr>
              <w:t>1</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rPr>
            </w:pPr>
            <w:r>
              <w:rPr>
                <w:rFonts w:hint="default" w:ascii="仿宋_GB2312" w:hAnsi="宋体" w:eastAsia="仿宋_GB2312" w:cs="宋体"/>
                <w:color w:val="auto"/>
                <w:sz w:val="24"/>
                <w:szCs w:val="24"/>
                <w:highlight w:val="none"/>
                <w:lang w:val="en-US" w:eastAsia="zh-CN"/>
              </w:rPr>
              <w:t>汕头市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6</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3</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2</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val="0"/>
                <w:bCs w:val="0"/>
                <w:color w:val="auto"/>
                <w:kern w:val="0"/>
                <w:sz w:val="24"/>
                <w:szCs w:val="24"/>
                <w:highlight w:val="none"/>
                <w:lang w:val="en-US" w:eastAsia="zh-CN"/>
              </w:rPr>
            </w:pPr>
            <w:r>
              <w:rPr>
                <w:rFonts w:hint="eastAsia" w:ascii="仿宋_GB2312" w:hAnsi="宋体" w:eastAsia="仿宋_GB2312" w:cs="宋体"/>
                <w:b w:val="0"/>
                <w:bCs w:val="0"/>
                <w:color w:val="auto"/>
                <w:kern w:val="0"/>
                <w:sz w:val="24"/>
                <w:szCs w:val="24"/>
                <w:highlight w:val="none"/>
                <w:lang w:val="en-US" w:eastAsia="zh-CN"/>
              </w:rPr>
              <w:t>2</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kern w:val="2"/>
                <w:sz w:val="24"/>
                <w:szCs w:val="24"/>
                <w:highlight w:val="none"/>
                <w:lang w:val="en-US" w:eastAsia="zh-CN" w:bidi="ar-SA"/>
              </w:rPr>
            </w:pPr>
            <w:r>
              <w:rPr>
                <w:rFonts w:hint="default" w:ascii="仿宋_GB2312" w:hAnsi="宋体" w:eastAsia="仿宋_GB2312" w:cs="宋体"/>
                <w:color w:val="auto"/>
                <w:sz w:val="24"/>
                <w:szCs w:val="24"/>
                <w:highlight w:val="none"/>
                <w:lang w:val="en-US" w:eastAsia="zh-CN"/>
              </w:rPr>
              <w:t>韶关市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5</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kern w:val="2"/>
                <w:sz w:val="24"/>
                <w:szCs w:val="24"/>
                <w:highlight w:val="none"/>
                <w:lang w:val="en-US" w:eastAsia="zh-CN" w:bidi="ar-SA"/>
              </w:rPr>
            </w:pPr>
            <w:r>
              <w:rPr>
                <w:rFonts w:hint="default" w:ascii="仿宋_GB2312" w:hAnsi="宋体" w:eastAsia="仿宋_GB2312" w:cs="宋体"/>
                <w:color w:val="auto"/>
                <w:sz w:val="24"/>
                <w:szCs w:val="24"/>
                <w:highlight w:val="none"/>
                <w:lang w:val="en-US" w:eastAsia="zh-CN"/>
              </w:rPr>
              <w:t>0</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kern w:val="2"/>
                <w:sz w:val="24"/>
                <w:szCs w:val="24"/>
                <w:highlight w:val="none"/>
                <w:lang w:val="en-US" w:eastAsia="zh-CN" w:bidi="ar-SA"/>
              </w:rPr>
            </w:pPr>
            <w:r>
              <w:rPr>
                <w:rFonts w:hint="eastAsia" w:ascii="仿宋_GB2312" w:hAnsi="宋体" w:eastAsia="仿宋_GB2312" w:cs="宋体"/>
                <w:color w:val="auto"/>
                <w:sz w:val="24"/>
                <w:szCs w:val="24"/>
                <w:highlight w:val="none"/>
                <w:lang w:val="en-US" w:eastAsia="zh-CN"/>
              </w:rPr>
              <w:t>1</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kern w:val="2"/>
                <w:sz w:val="24"/>
                <w:szCs w:val="24"/>
                <w:highlight w:val="none"/>
                <w:lang w:val="en-US" w:eastAsia="zh-CN" w:bidi="ar-SA"/>
              </w:rPr>
            </w:pPr>
            <w:r>
              <w:rPr>
                <w:rFonts w:hint="eastAsia" w:ascii="仿宋_GB2312" w:hAnsi="宋体" w:eastAsia="仿宋_GB2312" w:cs="宋体"/>
                <w:color w:val="auto"/>
                <w:sz w:val="24"/>
                <w:szCs w:val="24"/>
                <w:highlight w:val="none"/>
                <w:lang w:val="en-US" w:eastAsia="zh-CN"/>
              </w:rPr>
              <w:t>4</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kern w:val="2"/>
                <w:sz w:val="24"/>
                <w:szCs w:val="24"/>
                <w:highlight w:val="none"/>
                <w:lang w:val="en-US" w:eastAsia="zh-CN" w:bidi="ar-SA"/>
              </w:rPr>
            </w:pPr>
            <w:r>
              <w:rPr>
                <w:rFonts w:hint="eastAsia" w:ascii="仿宋_GB2312" w:hAnsi="宋体" w:eastAsia="仿宋_GB2312" w:cs="宋体"/>
                <w:color w:val="auto"/>
                <w:sz w:val="24"/>
                <w:szCs w:val="24"/>
                <w:highlight w:val="none"/>
                <w:lang w:val="en-US" w:eastAsia="zh-CN"/>
              </w:rPr>
              <w:t>1060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val="0"/>
                <w:bCs w:val="0"/>
                <w:color w:val="auto"/>
                <w:kern w:val="0"/>
                <w:sz w:val="24"/>
                <w:szCs w:val="24"/>
                <w:highlight w:val="none"/>
                <w:lang w:eastAsia="zh-CN"/>
              </w:rPr>
            </w:pPr>
            <w:r>
              <w:rPr>
                <w:rFonts w:hint="eastAsia" w:ascii="仿宋_GB2312" w:hAnsi="宋体" w:eastAsia="仿宋_GB2312" w:cs="宋体"/>
                <w:b w:val="0"/>
                <w:bCs w:val="0"/>
                <w:color w:val="auto"/>
                <w:kern w:val="0"/>
                <w:sz w:val="24"/>
                <w:szCs w:val="24"/>
                <w:highlight w:val="none"/>
                <w:lang w:val="en-US" w:eastAsia="zh-CN"/>
              </w:rPr>
              <w:t>3</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rPr>
            </w:pPr>
            <w:r>
              <w:rPr>
                <w:rFonts w:hint="default" w:ascii="仿宋_GB2312" w:hAnsi="宋体" w:eastAsia="仿宋_GB2312" w:cs="宋体"/>
                <w:color w:val="auto"/>
                <w:sz w:val="24"/>
                <w:szCs w:val="24"/>
                <w:highlight w:val="none"/>
                <w:lang w:val="en-US" w:eastAsia="zh-CN"/>
              </w:rPr>
              <w:t>河源市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4</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3</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0</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val="0"/>
                <w:bCs w:val="0"/>
                <w:color w:val="auto"/>
                <w:kern w:val="0"/>
                <w:sz w:val="24"/>
                <w:szCs w:val="24"/>
                <w:highlight w:val="none"/>
                <w:lang w:eastAsia="zh-CN"/>
              </w:rPr>
            </w:pPr>
            <w:r>
              <w:rPr>
                <w:rFonts w:hint="eastAsia" w:ascii="仿宋_GB2312" w:hAnsi="宋体" w:eastAsia="仿宋_GB2312" w:cs="宋体"/>
                <w:b w:val="0"/>
                <w:bCs w:val="0"/>
                <w:color w:val="auto"/>
                <w:kern w:val="0"/>
                <w:sz w:val="24"/>
                <w:szCs w:val="24"/>
                <w:highlight w:val="none"/>
                <w:lang w:val="en-US" w:eastAsia="zh-CN"/>
              </w:rPr>
              <w:t>4</w:t>
            </w:r>
          </w:p>
        </w:tc>
        <w:tc>
          <w:tcPr>
            <w:tcW w:w="1381"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rPr>
            </w:pPr>
            <w:r>
              <w:rPr>
                <w:rFonts w:hint="default" w:ascii="仿宋_GB2312" w:hAnsi="宋体" w:eastAsia="仿宋_GB2312" w:cs="宋体"/>
                <w:color w:val="auto"/>
                <w:sz w:val="24"/>
                <w:szCs w:val="24"/>
                <w:highlight w:val="none"/>
                <w:lang w:val="en-US" w:eastAsia="zh-CN"/>
              </w:rPr>
              <w:t>梅州市</w:t>
            </w:r>
          </w:p>
        </w:tc>
        <w:tc>
          <w:tcPr>
            <w:tcW w:w="1212"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5</w:t>
            </w:r>
          </w:p>
        </w:tc>
        <w:tc>
          <w:tcPr>
            <w:tcW w:w="1212"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253"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3</w:t>
            </w:r>
          </w:p>
        </w:tc>
        <w:tc>
          <w:tcPr>
            <w:tcW w:w="1253"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447" w:type="dxa"/>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val="0"/>
                <w:bCs w:val="0"/>
                <w:color w:val="auto"/>
                <w:kern w:val="0"/>
                <w:sz w:val="24"/>
                <w:szCs w:val="24"/>
                <w:highlight w:val="none"/>
                <w:lang w:eastAsia="zh-CN"/>
              </w:rPr>
            </w:pPr>
            <w:r>
              <w:rPr>
                <w:rFonts w:hint="eastAsia" w:ascii="仿宋_GB2312" w:hAnsi="宋体" w:eastAsia="仿宋_GB2312" w:cs="宋体"/>
                <w:b w:val="0"/>
                <w:bCs w:val="0"/>
                <w:color w:val="auto"/>
                <w:kern w:val="0"/>
                <w:sz w:val="24"/>
                <w:szCs w:val="24"/>
                <w:highlight w:val="none"/>
                <w:lang w:val="en-US" w:eastAsia="zh-CN"/>
              </w:rPr>
              <w:t>5</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rPr>
            </w:pPr>
            <w:r>
              <w:rPr>
                <w:rFonts w:hint="default" w:ascii="仿宋_GB2312" w:hAnsi="宋体" w:eastAsia="仿宋_GB2312" w:cs="宋体"/>
                <w:color w:val="auto"/>
                <w:sz w:val="24"/>
                <w:szCs w:val="24"/>
                <w:highlight w:val="none"/>
                <w:lang w:val="en-US" w:eastAsia="zh-CN"/>
              </w:rPr>
              <w:t>汕尾市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0</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0</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val="0"/>
                <w:bCs w:val="0"/>
                <w:color w:val="auto"/>
                <w:kern w:val="0"/>
                <w:sz w:val="24"/>
                <w:szCs w:val="24"/>
                <w:highlight w:val="none"/>
                <w:lang w:eastAsia="zh-CN"/>
              </w:rPr>
            </w:pPr>
            <w:r>
              <w:rPr>
                <w:rFonts w:hint="eastAsia" w:ascii="仿宋_GB2312" w:hAnsi="宋体" w:eastAsia="仿宋_GB2312" w:cs="宋体"/>
                <w:b w:val="0"/>
                <w:bCs w:val="0"/>
                <w:color w:val="auto"/>
                <w:kern w:val="0"/>
                <w:sz w:val="24"/>
                <w:szCs w:val="24"/>
                <w:highlight w:val="none"/>
                <w:lang w:val="en-US" w:eastAsia="zh-CN"/>
              </w:rPr>
              <w:t>6</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rPr>
            </w:pPr>
            <w:r>
              <w:rPr>
                <w:rFonts w:hint="default" w:ascii="仿宋_GB2312" w:hAnsi="宋体" w:eastAsia="仿宋_GB2312" w:cs="宋体"/>
                <w:color w:val="auto"/>
                <w:sz w:val="24"/>
                <w:szCs w:val="24"/>
                <w:highlight w:val="none"/>
                <w:lang w:val="en-US" w:eastAsia="zh-CN"/>
              </w:rPr>
              <w:t>江门市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6</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3</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2</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val="0"/>
                <w:bCs w:val="0"/>
                <w:color w:val="auto"/>
                <w:kern w:val="0"/>
                <w:sz w:val="24"/>
                <w:szCs w:val="24"/>
                <w:highlight w:val="none"/>
                <w:lang w:eastAsia="zh-CN"/>
              </w:rPr>
            </w:pPr>
            <w:r>
              <w:rPr>
                <w:rFonts w:hint="eastAsia" w:ascii="仿宋_GB2312" w:hAnsi="宋体" w:eastAsia="仿宋_GB2312" w:cs="宋体"/>
                <w:b w:val="0"/>
                <w:bCs w:val="0"/>
                <w:color w:val="auto"/>
                <w:kern w:val="0"/>
                <w:sz w:val="24"/>
                <w:szCs w:val="24"/>
                <w:highlight w:val="none"/>
                <w:lang w:val="en-US" w:eastAsia="zh-CN"/>
              </w:rPr>
              <w:t>7</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rPr>
            </w:pPr>
            <w:r>
              <w:rPr>
                <w:rFonts w:hint="default" w:ascii="仿宋_GB2312" w:hAnsi="宋体" w:eastAsia="仿宋_GB2312" w:cs="宋体"/>
                <w:color w:val="auto"/>
                <w:sz w:val="24"/>
                <w:szCs w:val="24"/>
                <w:highlight w:val="none"/>
                <w:lang w:val="en-US" w:eastAsia="zh-CN"/>
              </w:rPr>
              <w:t>湛江市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10</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3</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4</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3</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val="0"/>
                <w:bCs w:val="0"/>
                <w:color w:val="auto"/>
                <w:kern w:val="0"/>
                <w:sz w:val="24"/>
                <w:szCs w:val="24"/>
                <w:highlight w:val="none"/>
                <w:lang w:eastAsia="zh-CN"/>
              </w:rPr>
            </w:pPr>
            <w:r>
              <w:rPr>
                <w:rFonts w:hint="eastAsia" w:ascii="仿宋_GB2312" w:hAnsi="宋体" w:eastAsia="仿宋_GB2312" w:cs="宋体"/>
                <w:b w:val="0"/>
                <w:bCs w:val="0"/>
                <w:color w:val="auto"/>
                <w:kern w:val="0"/>
                <w:sz w:val="24"/>
                <w:szCs w:val="24"/>
                <w:highlight w:val="none"/>
                <w:lang w:val="en-US" w:eastAsia="zh-CN"/>
              </w:rPr>
              <w:t>8</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rPr>
            </w:pPr>
            <w:r>
              <w:rPr>
                <w:rFonts w:hint="default" w:ascii="仿宋_GB2312" w:hAnsi="宋体" w:eastAsia="仿宋_GB2312" w:cs="宋体"/>
                <w:color w:val="auto"/>
                <w:sz w:val="24"/>
                <w:szCs w:val="24"/>
                <w:highlight w:val="none"/>
                <w:lang w:val="en-US" w:eastAsia="zh-CN"/>
              </w:rPr>
              <w:t>茂名市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3</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2</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0</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eastAsia" w:ascii="仿宋_GB2312" w:hAnsi="宋体" w:eastAsia="仿宋_GB2312" w:cs="宋体"/>
                <w:b w:val="0"/>
                <w:bCs w:val="0"/>
                <w:color w:val="auto"/>
                <w:kern w:val="0"/>
                <w:sz w:val="24"/>
                <w:szCs w:val="24"/>
                <w:highlight w:val="none"/>
                <w:lang w:eastAsia="zh-CN"/>
              </w:rPr>
            </w:pPr>
            <w:r>
              <w:rPr>
                <w:rFonts w:hint="eastAsia" w:ascii="仿宋_GB2312" w:hAnsi="宋体" w:eastAsia="仿宋_GB2312" w:cs="宋体"/>
                <w:b w:val="0"/>
                <w:bCs w:val="0"/>
                <w:color w:val="auto"/>
                <w:kern w:val="0"/>
                <w:sz w:val="24"/>
                <w:szCs w:val="24"/>
                <w:highlight w:val="none"/>
                <w:lang w:val="en-US" w:eastAsia="zh-CN"/>
              </w:rPr>
              <w:t>9</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rPr>
            </w:pPr>
            <w:r>
              <w:rPr>
                <w:rFonts w:hint="default" w:ascii="仿宋_GB2312" w:hAnsi="宋体" w:eastAsia="仿宋_GB2312" w:cs="宋体"/>
                <w:color w:val="auto"/>
                <w:sz w:val="24"/>
                <w:szCs w:val="24"/>
                <w:highlight w:val="none"/>
                <w:lang w:val="en-US" w:eastAsia="zh-CN"/>
              </w:rPr>
              <w:t>清远市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4</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1</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2</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default" w:ascii="仿宋_GB2312" w:hAnsi="宋体" w:eastAsia="仿宋_GB2312" w:cs="宋体"/>
                <w:b w:val="0"/>
                <w:bCs w:val="0"/>
                <w:color w:val="auto"/>
                <w:kern w:val="0"/>
                <w:sz w:val="24"/>
                <w:szCs w:val="24"/>
                <w:highlight w:val="none"/>
                <w:lang w:val="en-US" w:eastAsia="zh-CN"/>
              </w:rPr>
            </w:pPr>
            <w:r>
              <w:rPr>
                <w:rFonts w:hint="eastAsia" w:ascii="仿宋_GB2312" w:hAnsi="宋体" w:eastAsia="仿宋_GB2312" w:cs="宋体"/>
                <w:b w:val="0"/>
                <w:bCs w:val="0"/>
                <w:color w:val="auto"/>
                <w:kern w:val="0"/>
                <w:sz w:val="24"/>
                <w:szCs w:val="24"/>
                <w:highlight w:val="none"/>
                <w:lang w:val="en-US" w:eastAsia="zh-CN"/>
              </w:rPr>
              <w:t>10</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rPr>
            </w:pPr>
            <w:r>
              <w:rPr>
                <w:rFonts w:hint="default" w:ascii="仿宋_GB2312" w:hAnsi="宋体" w:eastAsia="仿宋_GB2312" w:cs="宋体"/>
                <w:color w:val="auto"/>
                <w:sz w:val="24"/>
                <w:szCs w:val="24"/>
                <w:highlight w:val="none"/>
                <w:lang w:val="en-US" w:eastAsia="zh-CN"/>
              </w:rPr>
              <w:t>潮州市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2</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0</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0</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2</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default" w:ascii="仿宋_GB2312" w:hAnsi="宋体" w:eastAsia="仿宋_GB2312" w:cs="宋体"/>
                <w:b w:val="0"/>
                <w:bCs w:val="0"/>
                <w:color w:val="auto"/>
                <w:kern w:val="0"/>
                <w:sz w:val="24"/>
                <w:szCs w:val="24"/>
                <w:highlight w:val="none"/>
                <w:lang w:val="en-US" w:eastAsia="zh-CN"/>
              </w:rPr>
            </w:pPr>
            <w:r>
              <w:rPr>
                <w:rFonts w:hint="eastAsia" w:ascii="仿宋_GB2312" w:hAnsi="宋体" w:eastAsia="仿宋_GB2312" w:cs="宋体"/>
                <w:b w:val="0"/>
                <w:bCs w:val="0"/>
                <w:color w:val="auto"/>
                <w:kern w:val="0"/>
                <w:sz w:val="24"/>
                <w:szCs w:val="24"/>
                <w:highlight w:val="none"/>
                <w:lang w:val="en-US" w:eastAsia="zh-CN"/>
              </w:rPr>
              <w:t>11</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揭阳市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4</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2</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23" w:type="dxa"/>
            <w:vAlign w:val="center"/>
          </w:tcPr>
          <w:p>
            <w:pPr>
              <w:keepNext w:val="0"/>
              <w:keepLines w:val="0"/>
              <w:pageBreakBefore w:val="0"/>
              <w:widowControl/>
              <w:kinsoku/>
              <w:wordWrap/>
              <w:overflowPunct/>
              <w:topLinePunct w:val="0"/>
              <w:autoSpaceDE/>
              <w:autoSpaceDN/>
              <w:bidi w:val="0"/>
              <w:adjustRightInd/>
              <w:snapToGrid/>
              <w:spacing w:line="600" w:lineRule="exact"/>
              <w:jc w:val="center"/>
              <w:rPr>
                <w:rFonts w:hint="default" w:ascii="仿宋_GB2312" w:hAnsi="宋体" w:eastAsia="仿宋_GB2312" w:cs="宋体"/>
                <w:b w:val="0"/>
                <w:bCs w:val="0"/>
                <w:color w:val="auto"/>
                <w:kern w:val="0"/>
                <w:sz w:val="24"/>
                <w:szCs w:val="24"/>
                <w:highlight w:val="none"/>
                <w:lang w:val="en-US" w:eastAsia="zh-CN"/>
              </w:rPr>
            </w:pPr>
            <w:r>
              <w:rPr>
                <w:rFonts w:hint="eastAsia" w:ascii="仿宋_GB2312" w:hAnsi="宋体" w:eastAsia="仿宋_GB2312" w:cs="宋体"/>
                <w:b w:val="0"/>
                <w:bCs w:val="0"/>
                <w:color w:val="auto"/>
                <w:kern w:val="0"/>
                <w:sz w:val="24"/>
                <w:szCs w:val="24"/>
                <w:highlight w:val="none"/>
                <w:lang w:val="en-US" w:eastAsia="zh-CN"/>
              </w:rPr>
              <w:t>12</w:t>
            </w:r>
          </w:p>
        </w:tc>
        <w:tc>
          <w:tcPr>
            <w:tcW w:w="1381"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云浮市</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6</w:t>
            </w:r>
          </w:p>
        </w:tc>
        <w:tc>
          <w:tcPr>
            <w:tcW w:w="1212"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0</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default" w:ascii="仿宋_GB2312" w:hAnsi="宋体" w:eastAsia="仿宋_GB2312" w:cs="宋体"/>
                <w:color w:val="auto"/>
                <w:sz w:val="24"/>
                <w:szCs w:val="24"/>
                <w:highlight w:val="none"/>
                <w:lang w:val="en-US" w:eastAsia="zh-CN"/>
              </w:rPr>
              <w:t>1</w:t>
            </w:r>
          </w:p>
        </w:tc>
        <w:tc>
          <w:tcPr>
            <w:tcW w:w="1253"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5</w:t>
            </w:r>
          </w:p>
        </w:tc>
        <w:tc>
          <w:tcPr>
            <w:tcW w:w="1447" w:type="dxa"/>
            <w:vAlign w:val="bottom"/>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660</w:t>
            </w:r>
          </w:p>
        </w:tc>
      </w:tr>
    </w:tbl>
    <w:p>
      <w:pPr>
        <w:pageBreakBefore w:val="0"/>
        <w:kinsoku/>
        <w:wordWrap/>
        <w:overflowPunct/>
        <w:topLinePunct w:val="0"/>
        <w:autoSpaceDE/>
        <w:autoSpaceDN/>
        <w:bidi w:val="0"/>
        <w:adjustRightInd/>
        <w:spacing w:line="600" w:lineRule="exact"/>
        <w:ind w:left="1470" w:leftChars="300" w:hanging="840" w:hangingChars="400"/>
        <w:rPr>
          <w:rFonts w:hint="eastAsia" w:ascii="仿宋_GB2312" w:hAnsi="仿宋_GB2312" w:eastAsia="仿宋_GB2312" w:cs="仿宋_GB2312"/>
          <w:color w:val="auto"/>
          <w:kern w:val="2"/>
          <w:sz w:val="21"/>
          <w:szCs w:val="21"/>
          <w:highlight w:val="none"/>
          <w:lang w:val="en-US" w:eastAsia="zh-CN"/>
        </w:rPr>
      </w:pPr>
      <w:r>
        <w:rPr>
          <w:rFonts w:hint="eastAsia" w:ascii="仿宋_GB2312" w:hAnsi="仿宋_GB2312" w:eastAsia="仿宋_GB2312" w:cs="仿宋_GB2312"/>
          <w:color w:val="auto"/>
          <w:kern w:val="2"/>
          <w:sz w:val="21"/>
          <w:szCs w:val="21"/>
          <w:highlight w:val="none"/>
          <w:lang w:val="en-US" w:eastAsia="zh-CN"/>
        </w:rPr>
        <w:t>说明：本表数字为《广东省财政厅关于提前下达2020年省住房城乡建设厅经管部分专项</w:t>
      </w:r>
    </w:p>
    <w:p>
      <w:pPr>
        <w:pageBreakBefore w:val="0"/>
        <w:kinsoku/>
        <w:wordWrap/>
        <w:overflowPunct/>
        <w:topLinePunct w:val="0"/>
        <w:autoSpaceDE/>
        <w:autoSpaceDN/>
        <w:bidi w:val="0"/>
        <w:adjustRightInd/>
        <w:spacing w:line="600" w:lineRule="exact"/>
        <w:ind w:left="1470" w:leftChars="600" w:hanging="210" w:hangingChars="100"/>
        <w:rPr>
          <w:rFonts w:hint="eastAsia" w:ascii="仿宋_GB2312" w:hAnsi="黑体" w:eastAsia="仿宋_GB2312" w:cs="楷体_GB2312"/>
          <w:color w:val="auto"/>
          <w:sz w:val="32"/>
          <w:szCs w:val="36"/>
          <w:highlight w:val="none"/>
          <w:lang w:eastAsia="zh-CN"/>
        </w:rPr>
      </w:pPr>
      <w:r>
        <w:rPr>
          <w:rFonts w:hint="eastAsia" w:ascii="仿宋_GB2312" w:hAnsi="仿宋_GB2312" w:eastAsia="仿宋_GB2312" w:cs="仿宋_GB2312"/>
          <w:color w:val="auto"/>
          <w:kern w:val="2"/>
          <w:sz w:val="21"/>
          <w:szCs w:val="21"/>
          <w:highlight w:val="none"/>
          <w:lang w:val="en-US" w:eastAsia="zh-CN"/>
        </w:rPr>
        <w:t>资金和其他事业发展性资金预算的通知》（粤财建〔2019〕139号）提前下达。</w:t>
      </w:r>
    </w:p>
    <w:p>
      <w:pPr>
        <w:pageBreakBefore w:val="0"/>
        <w:kinsoku/>
        <w:wordWrap/>
        <w:overflowPunct/>
        <w:topLinePunct w:val="0"/>
        <w:autoSpaceDE/>
        <w:autoSpaceDN/>
        <w:bidi w:val="0"/>
        <w:adjustRightInd/>
        <w:spacing w:line="600" w:lineRule="exact"/>
        <w:rPr>
          <w:rFonts w:hint="eastAsia"/>
          <w:color w:val="auto"/>
          <w:highlight w:val="none"/>
          <w:lang w:eastAsia="zh-CN"/>
        </w:rPr>
      </w:pPr>
    </w:p>
    <w:p>
      <w:pPr>
        <w:keepNext w:val="0"/>
        <w:keepLines w:val="0"/>
        <w:pageBreakBefore w:val="0"/>
        <w:kinsoku/>
        <w:wordWrap/>
        <w:overflowPunct/>
        <w:topLinePunct w:val="0"/>
        <w:autoSpaceDE/>
        <w:autoSpaceDN/>
        <w:bidi w:val="0"/>
        <w:adjustRightInd/>
        <w:snapToGrid/>
        <w:spacing w:line="600" w:lineRule="exact"/>
        <w:ind w:firstLine="640" w:firstLineChars="200"/>
        <w:rPr>
          <w:rFonts w:hint="eastAsia" w:ascii="仿宋_GB2312" w:eastAsia="仿宋_GB2312"/>
          <w:color w:val="auto"/>
          <w:sz w:val="32"/>
          <w:szCs w:val="32"/>
          <w:highlight w:val="none"/>
          <w:lang w:val="en-US" w:eastAsia="zh-CN"/>
        </w:rPr>
      </w:pPr>
      <w:r>
        <w:rPr>
          <w:rFonts w:hint="eastAsia" w:ascii="仿宋_GB2312" w:hAnsi="仿宋" w:eastAsia="仿宋_GB2312" w:cs="Times New Roman"/>
          <w:color w:val="auto"/>
          <w:sz w:val="32"/>
          <w:highlight w:val="none"/>
        </w:rPr>
        <w:t>2020年9月</w:t>
      </w:r>
      <w:r>
        <w:rPr>
          <w:rFonts w:hint="eastAsia" w:ascii="仿宋_GB2312" w:hAnsi="仿宋" w:eastAsia="仿宋_GB2312" w:cs="Times New Roman"/>
          <w:color w:val="auto"/>
          <w:sz w:val="32"/>
          <w:highlight w:val="none"/>
          <w:lang w:eastAsia="zh-CN"/>
        </w:rPr>
        <w:t>，</w:t>
      </w:r>
      <w:r>
        <w:rPr>
          <w:rFonts w:hint="eastAsia" w:ascii="仿宋_GB2312" w:hAnsi="仿宋" w:eastAsia="仿宋_GB2312" w:cs="Times New Roman"/>
          <w:color w:val="auto"/>
          <w:sz w:val="32"/>
          <w:highlight w:val="none"/>
        </w:rPr>
        <w:t>省财政厅根据《广东省人民政府办公厅关于印发常态化疫情防控下促进财政可持续发展实施方案的通知》（粤府办〔2020〕18号）收回</w:t>
      </w:r>
      <w:r>
        <w:rPr>
          <w:rFonts w:hint="eastAsia" w:ascii="仿宋_GB2312" w:hAnsi="仿宋" w:eastAsia="仿宋_GB2312" w:cs="Times New Roman"/>
          <w:color w:val="auto"/>
          <w:sz w:val="32"/>
          <w:highlight w:val="none"/>
          <w:lang w:eastAsia="zh-CN"/>
        </w:rPr>
        <w:t>专项资金共</w:t>
      </w:r>
      <w:r>
        <w:rPr>
          <w:rFonts w:hint="eastAsia" w:ascii="仿宋_GB2312" w:hAnsi="仿宋" w:eastAsia="仿宋_GB2312" w:cs="Times New Roman"/>
          <w:color w:val="auto"/>
          <w:sz w:val="32"/>
          <w:highlight w:val="none"/>
        </w:rPr>
        <w:t>675万元，</w:t>
      </w:r>
      <w:r>
        <w:rPr>
          <w:rFonts w:hint="eastAsia" w:ascii="仿宋_GB2312" w:hAnsi="仿宋" w:eastAsia="仿宋_GB2312" w:cs="Times New Roman"/>
          <w:color w:val="auto"/>
          <w:sz w:val="32"/>
          <w:highlight w:val="none"/>
          <w:lang w:eastAsia="zh-CN"/>
        </w:rPr>
        <w:t>收回部分资金后，</w:t>
      </w:r>
      <w:r>
        <w:rPr>
          <w:rFonts w:hint="eastAsia" w:ascii="仿宋_GB2312" w:eastAsia="仿宋_GB2312"/>
          <w:color w:val="auto"/>
          <w:sz w:val="32"/>
          <w:szCs w:val="32"/>
          <w:highlight w:val="none"/>
          <w:lang w:val="en-US" w:eastAsia="zh-CN"/>
        </w:rPr>
        <w:t>2020年社区体育公园补助资金实际预算数为3,825万元。调整后资金分配结果见表1-2。</w:t>
      </w:r>
    </w:p>
    <w:p>
      <w:pPr>
        <w:pStyle w:val="2"/>
        <w:pageBreakBefore w:val="0"/>
        <w:kinsoku/>
        <w:wordWrap/>
        <w:overflowPunct/>
        <w:topLinePunct w:val="0"/>
        <w:autoSpaceDE/>
        <w:autoSpaceDN/>
        <w:bidi w:val="0"/>
        <w:adjustRightInd/>
        <w:spacing w:line="600" w:lineRule="exact"/>
        <w:rPr>
          <w:rFonts w:hint="default"/>
          <w:lang w:val="en-US" w:eastAsia="zh-CN"/>
        </w:rPr>
      </w:pPr>
    </w:p>
    <w:tbl>
      <w:tblPr>
        <w:tblStyle w:val="17"/>
        <w:tblW w:w="8760" w:type="dxa"/>
        <w:jc w:val="center"/>
        <w:tblInd w:w="0" w:type="dxa"/>
        <w:tblLayout w:type="fixed"/>
        <w:tblCellMar>
          <w:top w:w="0" w:type="dxa"/>
          <w:left w:w="0" w:type="dxa"/>
          <w:bottom w:w="0" w:type="dxa"/>
          <w:right w:w="0" w:type="dxa"/>
        </w:tblCellMar>
      </w:tblPr>
      <w:tblGrid>
        <w:gridCol w:w="800"/>
        <w:gridCol w:w="1371"/>
        <w:gridCol w:w="1287"/>
        <w:gridCol w:w="1287"/>
        <w:gridCol w:w="1287"/>
        <w:gridCol w:w="1290"/>
        <w:gridCol w:w="1438"/>
      </w:tblGrid>
      <w:tr>
        <w:tblPrEx>
          <w:tblLayout w:type="fixed"/>
          <w:tblCellMar>
            <w:top w:w="0" w:type="dxa"/>
            <w:left w:w="0" w:type="dxa"/>
            <w:bottom w:w="0" w:type="dxa"/>
            <w:right w:w="0" w:type="dxa"/>
          </w:tblCellMar>
        </w:tblPrEx>
        <w:trPr>
          <w:trHeight w:val="433" w:hRule="atLeast"/>
          <w:jc w:val="center"/>
        </w:trPr>
        <w:tc>
          <w:tcPr>
            <w:tcW w:w="8760" w:type="dxa"/>
            <w:gridSpan w:val="7"/>
            <w:tcBorders>
              <w:top w:val="nil"/>
              <w:left w:val="nil"/>
              <w:bottom w:val="nil"/>
              <w:right w:val="nil"/>
            </w:tcBorders>
            <w:shd w:val="clear" w:color="auto" w:fill="FFFFFF"/>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ascii="黑体" w:hAnsi="宋体" w:eastAsia="黑体" w:cs="黑体"/>
                <w:i w:val="0"/>
                <w:color w:val="auto"/>
                <w:sz w:val="24"/>
                <w:szCs w:val="24"/>
                <w:highlight w:val="none"/>
                <w:u w:val="none"/>
              </w:rPr>
            </w:pPr>
            <w:r>
              <w:rPr>
                <w:rFonts w:hint="eastAsia" w:ascii="黑体" w:hAnsi="黑体" w:eastAsia="黑体" w:cs="Times New Roman"/>
                <w:color w:val="auto"/>
                <w:sz w:val="28"/>
                <w:szCs w:val="28"/>
                <w:highlight w:val="none"/>
                <w:lang w:val="en-US" w:eastAsia="zh-CN"/>
              </w:rPr>
              <w:t>表1-2 2020年社区体育公园补助资金收回资金后分配情况表</w:t>
            </w:r>
          </w:p>
        </w:tc>
      </w:tr>
      <w:tr>
        <w:tblPrEx>
          <w:tblLayout w:type="fixed"/>
          <w:tblCellMar>
            <w:top w:w="0" w:type="dxa"/>
            <w:left w:w="0" w:type="dxa"/>
            <w:bottom w:w="0" w:type="dxa"/>
            <w:right w:w="0" w:type="dxa"/>
          </w:tblCellMar>
        </w:tblPrEx>
        <w:trPr>
          <w:trHeight w:val="691"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b/>
                <w:i w:val="0"/>
                <w:color w:val="auto"/>
                <w:sz w:val="24"/>
                <w:szCs w:val="24"/>
                <w:highlight w:val="none"/>
                <w:u w:val="none"/>
              </w:rPr>
            </w:pPr>
            <w:r>
              <w:rPr>
                <w:rFonts w:hint="default" w:ascii="仿宋_GB2312" w:hAnsi="宋体" w:eastAsia="仿宋_GB2312" w:cs="仿宋_GB2312"/>
                <w:b/>
                <w:i w:val="0"/>
                <w:color w:val="auto"/>
                <w:kern w:val="0"/>
                <w:sz w:val="24"/>
                <w:szCs w:val="24"/>
                <w:highlight w:val="none"/>
                <w:u w:val="none"/>
                <w:lang w:val="en-US" w:eastAsia="zh-CN" w:bidi="ar"/>
              </w:rPr>
              <w:t>序号</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b/>
                <w:i w:val="0"/>
                <w:color w:val="auto"/>
                <w:sz w:val="24"/>
                <w:szCs w:val="24"/>
                <w:highlight w:val="none"/>
                <w:u w:val="none"/>
              </w:rPr>
            </w:pPr>
            <w:r>
              <w:rPr>
                <w:rFonts w:hint="default" w:ascii="仿宋_GB2312" w:hAnsi="宋体" w:eastAsia="仿宋_GB2312" w:cs="仿宋_GB2312"/>
                <w:b/>
                <w:i w:val="0"/>
                <w:color w:val="auto"/>
                <w:kern w:val="0"/>
                <w:sz w:val="24"/>
                <w:szCs w:val="24"/>
                <w:highlight w:val="none"/>
                <w:u w:val="none"/>
                <w:lang w:val="en-US" w:eastAsia="zh-CN" w:bidi="ar"/>
              </w:rPr>
              <w:t>地市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b/>
                <w:i w:val="0"/>
                <w:color w:val="auto"/>
                <w:sz w:val="24"/>
                <w:szCs w:val="24"/>
                <w:highlight w:val="none"/>
                <w:u w:val="none"/>
                <w:lang w:val="en-US"/>
              </w:rPr>
            </w:pPr>
            <w:r>
              <w:rPr>
                <w:rFonts w:hint="default" w:ascii="仿宋_GB2312" w:hAnsi="宋体" w:eastAsia="仿宋_GB2312" w:cs="仿宋_GB2312"/>
                <w:b/>
                <w:i w:val="0"/>
                <w:color w:val="auto"/>
                <w:kern w:val="0"/>
                <w:sz w:val="24"/>
                <w:szCs w:val="24"/>
                <w:highlight w:val="none"/>
                <w:u w:val="none"/>
                <w:lang w:val="en-US" w:eastAsia="zh-CN" w:bidi="ar"/>
              </w:rPr>
              <w:t>数量合计</w:t>
            </w:r>
            <w:r>
              <w:rPr>
                <w:rFonts w:hint="eastAsia" w:ascii="仿宋_GB2312" w:hAnsi="宋体" w:eastAsia="仿宋_GB2312" w:cs="仿宋_GB2312"/>
                <w:b/>
                <w:i w:val="0"/>
                <w:color w:val="auto"/>
                <w:kern w:val="0"/>
                <w:sz w:val="24"/>
                <w:szCs w:val="24"/>
                <w:highlight w:val="none"/>
                <w:u w:val="none"/>
                <w:lang w:val="en-US" w:eastAsia="zh-CN" w:bidi="ar"/>
              </w:rPr>
              <w:t>（个）</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b/>
                <w:i w:val="0"/>
                <w:color w:val="auto"/>
                <w:sz w:val="24"/>
                <w:szCs w:val="24"/>
                <w:highlight w:val="none"/>
                <w:u w:val="none"/>
              </w:rPr>
            </w:pPr>
            <w:r>
              <w:rPr>
                <w:rFonts w:hint="default" w:ascii="仿宋_GB2312" w:hAnsi="宋体" w:eastAsia="仿宋_GB2312" w:cs="仿宋_GB2312"/>
                <w:b/>
                <w:i w:val="0"/>
                <w:color w:val="auto"/>
                <w:kern w:val="0"/>
                <w:sz w:val="24"/>
                <w:szCs w:val="24"/>
                <w:highlight w:val="none"/>
                <w:u w:val="none"/>
                <w:lang w:val="en-US" w:eastAsia="zh-CN" w:bidi="ar"/>
              </w:rPr>
              <w:t>大型（个）</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b/>
                <w:i w:val="0"/>
                <w:color w:val="auto"/>
                <w:sz w:val="24"/>
                <w:szCs w:val="24"/>
                <w:highlight w:val="none"/>
                <w:u w:val="none"/>
              </w:rPr>
            </w:pPr>
            <w:r>
              <w:rPr>
                <w:rFonts w:hint="default" w:ascii="仿宋_GB2312" w:hAnsi="宋体" w:eastAsia="仿宋_GB2312" w:cs="仿宋_GB2312"/>
                <w:b/>
                <w:i w:val="0"/>
                <w:color w:val="auto"/>
                <w:kern w:val="0"/>
                <w:sz w:val="24"/>
                <w:szCs w:val="24"/>
                <w:highlight w:val="none"/>
                <w:u w:val="none"/>
                <w:lang w:val="en-US" w:eastAsia="zh-CN" w:bidi="ar"/>
              </w:rPr>
              <w:t>中型（个）</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b/>
                <w:i w:val="0"/>
                <w:color w:val="auto"/>
                <w:sz w:val="24"/>
                <w:szCs w:val="24"/>
                <w:highlight w:val="none"/>
                <w:u w:val="none"/>
              </w:rPr>
            </w:pPr>
            <w:r>
              <w:rPr>
                <w:rFonts w:hint="default" w:ascii="仿宋_GB2312" w:hAnsi="宋体" w:eastAsia="仿宋_GB2312" w:cs="仿宋_GB2312"/>
                <w:b/>
                <w:i w:val="0"/>
                <w:color w:val="auto"/>
                <w:kern w:val="0"/>
                <w:sz w:val="24"/>
                <w:szCs w:val="24"/>
                <w:highlight w:val="none"/>
                <w:u w:val="none"/>
                <w:lang w:val="en-US" w:eastAsia="zh-CN" w:bidi="ar"/>
              </w:rPr>
              <w:t>小型（个）</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b/>
                <w:i w:val="0"/>
                <w:color w:val="auto"/>
                <w:sz w:val="24"/>
                <w:szCs w:val="24"/>
                <w:highlight w:val="none"/>
                <w:u w:val="none"/>
              </w:rPr>
            </w:pPr>
            <w:r>
              <w:rPr>
                <w:rFonts w:hint="eastAsia" w:ascii="仿宋_GB2312" w:hAnsi="宋体" w:eastAsia="仿宋_GB2312" w:cs="仿宋_GB2312"/>
                <w:b/>
                <w:i w:val="0"/>
                <w:color w:val="auto"/>
                <w:kern w:val="0"/>
                <w:sz w:val="24"/>
                <w:szCs w:val="24"/>
                <w:highlight w:val="none"/>
                <w:u w:val="none"/>
                <w:lang w:val="en-US" w:eastAsia="zh-CN" w:bidi="ar"/>
              </w:rPr>
              <w:t>金额合计  （万元）</w:t>
            </w:r>
          </w:p>
        </w:tc>
      </w:tr>
      <w:tr>
        <w:tblPrEx>
          <w:tblLayout w:type="fixed"/>
          <w:tblCellMar>
            <w:top w:w="0" w:type="dxa"/>
            <w:left w:w="0" w:type="dxa"/>
            <w:bottom w:w="0" w:type="dxa"/>
            <w:right w:w="0" w:type="dxa"/>
          </w:tblCellMar>
        </w:tblPrEx>
        <w:trPr>
          <w:trHeight w:val="302" w:hRule="atLeast"/>
          <w:jc w:val="center"/>
        </w:trPr>
        <w:tc>
          <w:tcPr>
            <w:tcW w:w="2171"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合计</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59</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18</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lang w:val="en-US"/>
              </w:rPr>
            </w:pPr>
            <w:r>
              <w:rPr>
                <w:rFonts w:hint="eastAsia" w:ascii="仿宋_GB2312" w:hAnsi="宋体" w:eastAsia="仿宋_GB2312" w:cs="仿宋_GB2312"/>
                <w:i w:val="0"/>
                <w:color w:val="auto"/>
                <w:kern w:val="0"/>
                <w:sz w:val="24"/>
                <w:szCs w:val="24"/>
                <w:highlight w:val="none"/>
                <w:u w:val="none"/>
                <w:lang w:val="en-US" w:eastAsia="zh-CN" w:bidi="ar"/>
              </w:rPr>
              <w:t>31</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10</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3825</w:t>
            </w:r>
          </w:p>
        </w:tc>
      </w:tr>
      <w:tr>
        <w:tblPrEx>
          <w:tblLayout w:type="fixed"/>
          <w:tblCellMar>
            <w:top w:w="0" w:type="dxa"/>
            <w:left w:w="0" w:type="dxa"/>
            <w:bottom w:w="0" w:type="dxa"/>
            <w:right w:w="0" w:type="dxa"/>
          </w:tblCellMar>
        </w:tblPrEx>
        <w:trPr>
          <w:trHeight w:val="343"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1</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汕头市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6</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2</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1</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310</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2</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韶关市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2</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2</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1</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1000</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3</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河源市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4</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0</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3</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1</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150</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4</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梅州市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5</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3</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1</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230</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5</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汕尾市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0</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0</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80</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6</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江门市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6</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2</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1</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310</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7</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湛江市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3</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4</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3</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540</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8</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茂名市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3</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0</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3</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0</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100</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9</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清远市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4</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2</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1</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195</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10</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潮州市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4</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3</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1</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0</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200</w:t>
            </w:r>
          </w:p>
        </w:tc>
      </w:tr>
      <w:tr>
        <w:tblPrEx>
          <w:tblLayout w:type="fixed"/>
          <w:tblCellMar>
            <w:top w:w="0" w:type="dxa"/>
            <w:left w:w="0" w:type="dxa"/>
            <w:bottom w:w="0" w:type="dxa"/>
            <w:right w:w="0" w:type="dxa"/>
          </w:tblCellMar>
        </w:tblPrEx>
        <w:trPr>
          <w:trHeight w:val="404"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11</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揭阳市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4</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3</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eastAsia" w:ascii="仿宋_GB2312" w:hAnsi="宋体" w:eastAsia="仿宋_GB2312" w:cs="仿宋_GB2312"/>
                <w:i w:val="0"/>
                <w:color w:val="auto"/>
                <w:kern w:val="0"/>
                <w:sz w:val="24"/>
                <w:szCs w:val="24"/>
                <w:highlight w:val="none"/>
                <w:u w:val="none"/>
                <w:lang w:val="en-US" w:eastAsia="zh-CN" w:bidi="ar"/>
              </w:rPr>
              <w:t>0</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1</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150</w:t>
            </w:r>
          </w:p>
        </w:tc>
      </w:tr>
      <w:tr>
        <w:tblPrEx>
          <w:tblLayout w:type="fixed"/>
          <w:tblCellMar>
            <w:top w:w="0" w:type="dxa"/>
            <w:left w:w="0" w:type="dxa"/>
            <w:bottom w:w="0" w:type="dxa"/>
            <w:right w:w="0" w:type="dxa"/>
          </w:tblCellMar>
        </w:tblPrEx>
        <w:trPr>
          <w:trHeight w:val="90" w:hRule="atLeast"/>
          <w:jc w:val="center"/>
        </w:trPr>
        <w:tc>
          <w:tcPr>
            <w:tcW w:w="80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color w:val="auto"/>
                <w:kern w:val="0"/>
                <w:sz w:val="24"/>
                <w:szCs w:val="24"/>
                <w:highlight w:val="none"/>
                <w:u w:val="none"/>
                <w:lang w:val="en-US" w:eastAsia="zh-CN" w:bidi="ar"/>
              </w:rPr>
              <w:t>12</w:t>
            </w:r>
          </w:p>
        </w:tc>
        <w:tc>
          <w:tcPr>
            <w:tcW w:w="1371"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云浮市</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default" w:ascii="仿宋_GB2312" w:hAnsi="宋体" w:eastAsia="仿宋_GB2312" w:cs="仿宋_GB2312"/>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3</w:t>
            </w:r>
          </w:p>
        </w:tc>
        <w:tc>
          <w:tcPr>
            <w:tcW w:w="1287"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4</w:t>
            </w:r>
          </w:p>
        </w:tc>
        <w:tc>
          <w:tcPr>
            <w:tcW w:w="129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600" w:lineRule="exact"/>
              <w:jc w:val="center"/>
              <w:rPr>
                <w:rFonts w:hint="eastAsia" w:ascii="仿宋_GB2312" w:hAnsi="宋体" w:eastAsia="仿宋_GB2312" w:cs="仿宋_GB2312"/>
                <w:i w:val="0"/>
                <w:color w:val="auto"/>
                <w:sz w:val="24"/>
                <w:szCs w:val="24"/>
                <w:highlight w:val="none"/>
                <w:u w:val="none"/>
                <w:lang w:val="en-US" w:eastAsia="zh-CN"/>
              </w:rPr>
            </w:pPr>
            <w:r>
              <w:rPr>
                <w:rFonts w:hint="eastAsia" w:ascii="仿宋_GB2312" w:hAnsi="宋体" w:eastAsia="仿宋_GB2312" w:cs="仿宋_GB2312"/>
                <w:i w:val="0"/>
                <w:color w:val="auto"/>
                <w:sz w:val="24"/>
                <w:szCs w:val="24"/>
                <w:highlight w:val="none"/>
                <w:u w:val="none"/>
                <w:lang w:val="en-US" w:eastAsia="zh-CN"/>
              </w:rPr>
              <w:t>0</w:t>
            </w:r>
          </w:p>
        </w:tc>
        <w:tc>
          <w:tcPr>
            <w:tcW w:w="143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560</w:t>
            </w:r>
          </w:p>
        </w:tc>
      </w:tr>
    </w:tbl>
    <w:p>
      <w:pPr>
        <w:keepNext w:val="0"/>
        <w:keepLines w:val="0"/>
        <w:pageBreakBefore w:val="0"/>
        <w:kinsoku/>
        <w:wordWrap/>
        <w:overflowPunct/>
        <w:topLinePunct w:val="0"/>
        <w:autoSpaceDE/>
        <w:autoSpaceDN/>
        <w:bidi w:val="0"/>
        <w:adjustRightInd/>
        <w:snapToGrid/>
        <w:spacing w:line="600" w:lineRule="exact"/>
        <w:ind w:firstLine="420"/>
        <w:rPr>
          <w:rFonts w:hint="eastAsia" w:ascii="仿宋_GB2312" w:hAnsi="仿宋_GB2312" w:eastAsia="仿宋_GB2312" w:cs="仿宋_GB2312"/>
          <w:b w:val="0"/>
          <w:bCs w:val="0"/>
          <w:color w:val="auto"/>
          <w:kern w:val="2"/>
          <w:sz w:val="21"/>
          <w:szCs w:val="21"/>
          <w:highlight w:val="none"/>
          <w:lang w:val="en-US" w:eastAsia="zh-CN" w:bidi="ar-SA"/>
        </w:rPr>
      </w:pPr>
      <w:r>
        <w:rPr>
          <w:rFonts w:hint="eastAsia" w:ascii="仿宋_GB2312" w:hAnsi="仿宋_GB2312" w:eastAsia="仿宋_GB2312" w:cs="仿宋_GB2312"/>
          <w:b w:val="0"/>
          <w:bCs w:val="0"/>
          <w:color w:val="auto"/>
          <w:kern w:val="2"/>
          <w:sz w:val="21"/>
          <w:szCs w:val="21"/>
          <w:highlight w:val="none"/>
          <w:lang w:val="en-US" w:eastAsia="zh-CN" w:bidi="ar-SA"/>
        </w:rPr>
        <w:t>说明：社区体育公园建设项目数量共调增3个，其中：潮州市增加2个，云浮市增加1个。</w:t>
      </w:r>
    </w:p>
    <w:p>
      <w:pPr>
        <w:pStyle w:val="2"/>
        <w:pageBreakBefore w:val="0"/>
        <w:kinsoku/>
        <w:wordWrap/>
        <w:overflowPunct/>
        <w:topLinePunct w:val="0"/>
        <w:autoSpaceDE/>
        <w:autoSpaceDN/>
        <w:bidi w:val="0"/>
        <w:adjustRightInd/>
        <w:spacing w:line="600" w:lineRule="exact"/>
        <w:rPr>
          <w:rFonts w:hint="eastAsia"/>
          <w:color w:val="auto"/>
          <w:highlight w:val="none"/>
          <w:lang w:val="en-US" w:eastAsia="zh-CN"/>
        </w:rPr>
      </w:pPr>
    </w:p>
    <w:p>
      <w:pPr>
        <w:pageBreakBefore w:val="0"/>
        <w:numPr>
          <w:ilvl w:val="0"/>
          <w:numId w:val="0"/>
        </w:numPr>
        <w:kinsoku/>
        <w:wordWrap/>
        <w:overflowPunct/>
        <w:topLinePunct w:val="0"/>
        <w:autoSpaceDE/>
        <w:autoSpaceDN/>
        <w:bidi w:val="0"/>
        <w:adjustRightInd/>
        <w:snapToGrid w:val="0"/>
        <w:spacing w:beforeLines="0" w:afterLines="0" w:line="600" w:lineRule="exact"/>
        <w:ind w:firstLine="640" w:firstLineChars="200"/>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省级专项资金和任务清单逐级下达到县（市、区）后，由有关县（市、区）住房城乡建设部门组织实施（或主要由县级住房城乡建设部门牵头、体育主管部门配合组织实施）。</w:t>
      </w:r>
    </w:p>
    <w:p>
      <w:pPr>
        <w:pageBreakBefore w:val="0"/>
        <w:numPr>
          <w:ilvl w:val="0"/>
          <w:numId w:val="0"/>
        </w:numPr>
        <w:kinsoku/>
        <w:wordWrap/>
        <w:overflowPunct/>
        <w:topLinePunct w:val="0"/>
        <w:autoSpaceDE/>
        <w:autoSpaceDN/>
        <w:bidi w:val="0"/>
        <w:adjustRightInd/>
        <w:snapToGrid w:val="0"/>
        <w:spacing w:beforeLines="0" w:afterLines="0" w:line="600" w:lineRule="exact"/>
        <w:ind w:firstLine="643" w:firstLineChars="200"/>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2.城镇老旧小区改造省级补助资金。</w:t>
      </w:r>
    </w:p>
    <w:p>
      <w:pPr>
        <w:pageBreakBefore w:val="0"/>
        <w:numPr>
          <w:ilvl w:val="0"/>
          <w:numId w:val="0"/>
        </w:numPr>
        <w:kinsoku/>
        <w:wordWrap/>
        <w:overflowPunct/>
        <w:topLinePunct w:val="0"/>
        <w:autoSpaceDE/>
        <w:autoSpaceDN/>
        <w:bidi w:val="0"/>
        <w:adjustRightInd/>
        <w:snapToGrid w:val="0"/>
        <w:spacing w:beforeLines="0" w:afterLines="0" w:line="600" w:lineRule="exact"/>
        <w:ind w:firstLine="640" w:firstLineChars="200"/>
        <w:rPr>
          <w:rFonts w:hint="eastAsia" w:ascii="仿宋_GB2312" w:hAnsi="Times New Roman" w:eastAsia="仿宋_GB2312" w:cs="Times New Roman"/>
          <w:color w:val="auto"/>
          <w:sz w:val="32"/>
          <w:szCs w:val="32"/>
          <w:highlight w:val="none"/>
          <w:lang w:val="en-US" w:eastAsia="zh-CN"/>
        </w:rPr>
      </w:pPr>
      <w:r>
        <w:rPr>
          <w:rFonts w:hint="eastAsia" w:ascii="仿宋_GB2312" w:hAnsi="Times New Roman" w:eastAsia="仿宋_GB2312" w:cs="Times New Roman"/>
          <w:color w:val="auto"/>
          <w:sz w:val="32"/>
          <w:szCs w:val="32"/>
          <w:highlight w:val="none"/>
          <w:lang w:val="en-US" w:eastAsia="zh-CN"/>
        </w:rPr>
        <w:t>资金分配方法</w:t>
      </w:r>
      <w:r>
        <w:rPr>
          <w:rFonts w:hint="eastAsia" w:ascii="仿宋_GB2312" w:eastAsia="仿宋_GB2312" w:cs="Times New Roman"/>
          <w:color w:val="auto"/>
          <w:sz w:val="32"/>
          <w:szCs w:val="32"/>
          <w:highlight w:val="none"/>
          <w:lang w:val="en-US" w:eastAsia="zh-CN"/>
        </w:rPr>
        <w:t>为“其他”。</w:t>
      </w:r>
      <w:r>
        <w:rPr>
          <w:rFonts w:hint="eastAsia" w:ascii="仿宋_GB2312" w:hAnsi="Times New Roman" w:eastAsia="仿宋_GB2312" w:cs="Times New Roman"/>
          <w:color w:val="auto"/>
          <w:sz w:val="32"/>
          <w:szCs w:val="32"/>
          <w:highlight w:val="none"/>
          <w:lang w:val="en-US" w:eastAsia="zh-CN"/>
        </w:rPr>
        <w:t>分配</w:t>
      </w:r>
      <w:r>
        <w:rPr>
          <w:rFonts w:hint="eastAsia" w:ascii="仿宋_GB2312" w:eastAsia="仿宋_GB2312" w:cs="Times New Roman"/>
          <w:color w:val="auto"/>
          <w:sz w:val="32"/>
          <w:szCs w:val="32"/>
          <w:highlight w:val="none"/>
          <w:lang w:val="en-US" w:eastAsia="zh-CN"/>
        </w:rPr>
        <w:t>2个试点单位（韶关市、梅州市）各350万元。</w:t>
      </w:r>
      <w:r>
        <w:rPr>
          <w:rFonts w:hint="eastAsia" w:ascii="仿宋_GB2312" w:hAnsi="Times New Roman" w:eastAsia="仿宋_GB2312" w:cs="Times New Roman"/>
          <w:color w:val="auto"/>
          <w:sz w:val="32"/>
          <w:szCs w:val="32"/>
          <w:highlight w:val="none"/>
          <w:lang w:val="en-US" w:eastAsia="zh-CN"/>
        </w:rPr>
        <w:t>省级专项资金和任务清单逐级下达到县（市、区）后，由有关县（市、区）住房城乡建设部门组织实施。</w:t>
      </w:r>
    </w:p>
    <w:p>
      <w:pPr>
        <w:pageBreakBefore w:val="0"/>
        <w:kinsoku/>
        <w:wordWrap/>
        <w:overflowPunct/>
        <w:topLinePunct w:val="0"/>
        <w:autoSpaceDE/>
        <w:autoSpaceDN/>
        <w:bidi w:val="0"/>
        <w:adjustRightInd/>
        <w:spacing w:line="600" w:lineRule="exact"/>
        <w:ind w:firstLine="643" w:firstLineChars="200"/>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3.农村削坡建房风险排查专项资金。</w:t>
      </w:r>
    </w:p>
    <w:p>
      <w:pPr>
        <w:pageBreakBefore w:val="0"/>
        <w:kinsoku/>
        <w:wordWrap/>
        <w:overflowPunct/>
        <w:topLinePunct w:val="0"/>
        <w:autoSpaceDE/>
        <w:autoSpaceDN/>
        <w:bidi w:val="0"/>
        <w:adjustRightInd/>
        <w:spacing w:line="600" w:lineRule="exact"/>
        <w:ind w:firstLine="640" w:firstLineChars="200"/>
        <w:rPr>
          <w:rFonts w:hint="eastAsia" w:ascii="仿宋_GB2312" w:hAnsi="仿宋_GB2312" w:eastAsia="仿宋_GB2312" w:cstheme="minorBidi"/>
          <w:color w:val="auto"/>
          <w:sz w:val="32"/>
          <w:highlight w:val="none"/>
          <w:lang w:val="en-US" w:eastAsia="zh-CN"/>
        </w:rPr>
      </w:pPr>
      <w:r>
        <w:rPr>
          <w:rFonts w:hint="eastAsia" w:ascii="仿宋_GB2312" w:hAnsi="Times New Roman" w:eastAsia="仿宋_GB2312" w:cs="Times New Roman"/>
          <w:color w:val="auto"/>
          <w:sz w:val="32"/>
          <w:szCs w:val="32"/>
          <w:highlight w:val="none"/>
          <w:lang w:val="en-US" w:eastAsia="zh-CN"/>
        </w:rPr>
        <w:t>资金分配方法</w:t>
      </w:r>
      <w:r>
        <w:rPr>
          <w:rFonts w:hint="eastAsia" w:ascii="仿宋_GB2312" w:eastAsia="仿宋_GB2312" w:cs="Times New Roman"/>
          <w:color w:val="auto"/>
          <w:sz w:val="32"/>
          <w:szCs w:val="32"/>
          <w:highlight w:val="none"/>
          <w:lang w:val="en-US" w:eastAsia="zh-CN"/>
        </w:rPr>
        <w:t>为“因素法”。</w:t>
      </w:r>
      <w:r>
        <w:rPr>
          <w:rFonts w:hint="eastAsia" w:ascii="仿宋_GB2312" w:hAnsi="仿宋_GB2312" w:eastAsia="仿宋_GB2312" w:cstheme="minorBidi"/>
          <w:color w:val="auto"/>
          <w:sz w:val="32"/>
          <w:highlight w:val="none"/>
          <w:lang w:val="en-US" w:eastAsia="zh-CN"/>
        </w:rPr>
        <w:t>根据《广东省住房和城乡建设厅关于下达2020年农村削坡建房风险排查资金任务清单的通知》（粤建村函〔2020〕215号），2020年农村削坡建房风险排查专项资金项目内容是：任务要求为完成新一轮农村削坡建房风险点的排查和风险等级认定。任务性质为约束性任务。实施方式为以奖代补。实施标准为广东省农村削坡建房地质灾害风险管控指引（试行）。工作量为制定风险点排查工作方案；全面完成农村削坡建房风险点排查和风险等级认定，摸清项目底数，锁定既有风险点，建立整治台账；初步拟定风险点整治技术方案，精准估算风险点整治费用。</w:t>
      </w:r>
    </w:p>
    <w:p>
      <w:pPr>
        <w:pageBreakBefore w:val="0"/>
        <w:kinsoku/>
        <w:wordWrap/>
        <w:overflowPunct/>
        <w:topLinePunct w:val="0"/>
        <w:autoSpaceDE/>
        <w:autoSpaceDN/>
        <w:bidi w:val="0"/>
        <w:adjustRightInd/>
        <w:spacing w:line="600" w:lineRule="exact"/>
        <w:ind w:firstLine="640" w:firstLineChars="200"/>
        <w:rPr>
          <w:rFonts w:hint="eastAsia" w:ascii="仿宋_GB2312" w:hAnsi="仿宋_GB2312" w:eastAsia="仿宋_GB2312" w:cstheme="minorBidi"/>
          <w:color w:val="auto"/>
          <w:sz w:val="32"/>
          <w:highlight w:val="none"/>
          <w:lang w:val="en-US" w:eastAsia="zh-CN"/>
        </w:rPr>
      </w:pPr>
      <w:r>
        <w:rPr>
          <w:rFonts w:hint="eastAsia" w:ascii="仿宋_GB2312" w:hAnsi="仿宋_GB2312" w:eastAsia="仿宋_GB2312" w:cstheme="minorBidi"/>
          <w:color w:val="auto"/>
          <w:sz w:val="32"/>
          <w:highlight w:val="none"/>
          <w:lang w:val="en-US" w:eastAsia="zh-CN"/>
        </w:rPr>
        <w:t>省住房城乡建设厅要求各有关地级市加强该项资金的使用管理，进一步明确细化任务，根据所辖的市本级和省直管县农村削坡建房风险点排查工作具体情况统筹安排使用专项资金。其中，省直管县的排查专项资金由省直管县统筹安排使用；非省直管县的排查专项资金，全部由市本级统筹安排使用。按照粤财建 〔2020〕23号文件要求，加强资金使用监管，确保专款专用，加快项目实施推进和预算执行进度。</w:t>
      </w:r>
    </w:p>
    <w:p>
      <w:pPr>
        <w:pageBreakBefore w:val="0"/>
        <w:kinsoku/>
        <w:wordWrap/>
        <w:overflowPunct/>
        <w:topLinePunct w:val="0"/>
        <w:autoSpaceDE/>
        <w:autoSpaceDN/>
        <w:bidi w:val="0"/>
        <w:adjustRightInd/>
        <w:spacing w:line="600" w:lineRule="exact"/>
        <w:ind w:firstLine="640" w:firstLineChars="200"/>
        <w:rPr>
          <w:rFonts w:hint="eastAsia" w:ascii="楷体_GB2312" w:hAnsi="宋体" w:eastAsia="楷体_GB2312"/>
          <w:b/>
          <w:bCs/>
          <w:color w:val="auto"/>
          <w:kern w:val="0"/>
          <w:sz w:val="21"/>
          <w:szCs w:val="21"/>
          <w:highlight w:val="none"/>
        </w:rPr>
      </w:pPr>
      <w:r>
        <w:rPr>
          <w:rFonts w:hint="eastAsia" w:ascii="仿宋_GB2312" w:hAnsi="仿宋_GB2312" w:eastAsia="仿宋_GB2312" w:cstheme="minorBidi"/>
          <w:color w:val="auto"/>
          <w:sz w:val="32"/>
          <w:highlight w:val="none"/>
          <w:lang w:val="en-US" w:eastAsia="zh-CN"/>
        </w:rPr>
        <w:t>按照《广东省住房和城乡建设厅关于印发&lt;广东省农村削坡建房风险排查整治工作方案&gt;的通知》（粤建村〔2020〕76号）要求，建立“省指导、市统筹、县主体、镇落实”的分级负责机制。省级建立工作协调机制形成统一领导、部门联动、职责明确的农村削坡建房整治工作机制。各市、县(市、区)要成立由政府主要领导为组长,住房城乡建设、财政、自然资源、农业农村、应急管理等部门主要负责人为成员的领导小组,统筹推进农村削坡建房整治工作,确保“有领导机构、有整治资金、有技术力量、有工作方案、有整治台账”。各市要遵循安全优先、循序渐进、分类施策的原则，加强对县（市、区）农村削坡建房整治工作的督导督查，建立严格的监督工作机制，采取抽查、交叉检查、专项督查、实地勘查、定期通报工作进展等方式，形成省、市、县、镇、村五级齐抓共管，确保农村削坡建房整治工作顺利完成。</w:t>
      </w:r>
    </w:p>
    <w:p>
      <w:pPr>
        <w:pStyle w:val="3"/>
        <w:pageBreakBefore w:val="0"/>
        <w:kinsoku/>
        <w:wordWrap/>
        <w:overflowPunct/>
        <w:topLinePunct w:val="0"/>
        <w:autoSpaceDE/>
        <w:autoSpaceDN/>
        <w:bidi w:val="0"/>
        <w:adjustRightInd/>
        <w:spacing w:before="0" w:after="0" w:line="600" w:lineRule="exact"/>
        <w:ind w:firstLine="640" w:firstLineChars="200"/>
        <w:rPr>
          <w:rFonts w:hint="eastAsia" w:ascii="楷体_GB2312" w:hAnsi="宋体" w:eastAsia="楷体_GB2312" w:cs="Times New Roman"/>
          <w:b w:val="0"/>
          <w:bCs w:val="0"/>
          <w:color w:val="auto"/>
          <w:kern w:val="0"/>
          <w:sz w:val="32"/>
          <w:szCs w:val="32"/>
          <w:highlight w:val="none"/>
        </w:rPr>
      </w:pPr>
      <w:r>
        <w:rPr>
          <w:rFonts w:hint="eastAsia" w:ascii="楷体_GB2312" w:hAnsi="宋体" w:eastAsia="楷体_GB2312" w:cs="Times New Roman"/>
          <w:b w:val="0"/>
          <w:bCs w:val="0"/>
          <w:color w:val="auto"/>
          <w:kern w:val="0"/>
          <w:sz w:val="32"/>
          <w:szCs w:val="32"/>
          <w:highlight w:val="none"/>
        </w:rPr>
        <w:t>（</w:t>
      </w:r>
      <w:r>
        <w:rPr>
          <w:rFonts w:hint="eastAsia" w:ascii="楷体_GB2312" w:hAnsi="宋体" w:eastAsia="楷体_GB2312" w:cs="Times New Roman"/>
          <w:b w:val="0"/>
          <w:bCs w:val="0"/>
          <w:color w:val="auto"/>
          <w:kern w:val="0"/>
          <w:sz w:val="32"/>
          <w:szCs w:val="32"/>
          <w:highlight w:val="none"/>
          <w:lang w:eastAsia="zh-CN"/>
        </w:rPr>
        <w:t>三</w:t>
      </w:r>
      <w:r>
        <w:rPr>
          <w:rFonts w:hint="eastAsia" w:ascii="楷体_GB2312" w:hAnsi="宋体" w:eastAsia="楷体_GB2312" w:cs="Times New Roman"/>
          <w:b w:val="0"/>
          <w:bCs w:val="0"/>
          <w:color w:val="auto"/>
          <w:kern w:val="0"/>
          <w:sz w:val="32"/>
          <w:szCs w:val="32"/>
          <w:highlight w:val="none"/>
        </w:rPr>
        <w:t>）主要用途</w:t>
      </w:r>
    </w:p>
    <w:p>
      <w:pPr>
        <w:pStyle w:val="30"/>
        <w:pageBreakBefore w:val="0"/>
        <w:tabs>
          <w:tab w:val="left" w:pos="1843"/>
        </w:tabs>
        <w:kinsoku/>
        <w:wordWrap/>
        <w:overflowPunct/>
        <w:topLinePunct w:val="0"/>
        <w:autoSpaceDE/>
        <w:autoSpaceDN/>
        <w:bidi w:val="0"/>
        <w:adjustRightInd/>
        <w:spacing w:line="600" w:lineRule="exact"/>
        <w:ind w:firstLine="643" w:firstLineChars="201"/>
        <w:rPr>
          <w:rFonts w:hint="eastAsia" w:ascii="仿宋_GB2312" w:eastAsia="仿宋_GB2312"/>
          <w:color w:val="auto"/>
          <w:sz w:val="32"/>
          <w:szCs w:val="32"/>
          <w:highlight w:val="none"/>
          <w:lang w:eastAsia="zh-CN"/>
        </w:rPr>
      </w:pPr>
      <w:r>
        <w:rPr>
          <w:rFonts w:hint="eastAsia" w:ascii="仿宋_GB2312" w:eastAsia="仿宋_GB2312"/>
          <w:color w:val="auto"/>
          <w:sz w:val="32"/>
          <w:highlight w:val="none"/>
          <w:lang w:val="en-US" w:eastAsia="zh-CN"/>
        </w:rPr>
        <w:t>社区体育公园补助资金</w:t>
      </w:r>
      <w:r>
        <w:rPr>
          <w:rFonts w:hint="eastAsia" w:ascii="仿宋_GB2312" w:hAnsi="Times New Roman" w:eastAsia="仿宋_GB2312" w:cs="Times New Roman"/>
          <w:color w:val="auto"/>
          <w:sz w:val="32"/>
          <w:szCs w:val="32"/>
          <w:highlight w:val="none"/>
          <w:lang w:eastAsia="zh-CN"/>
        </w:rPr>
        <w:t>专项资金</w:t>
      </w:r>
      <w:r>
        <w:rPr>
          <w:rFonts w:hint="eastAsia" w:ascii="仿宋_GB2312" w:hAnsi="Times New Roman" w:eastAsia="仿宋_GB2312" w:cs="Times New Roman"/>
          <w:color w:val="auto"/>
          <w:sz w:val="32"/>
          <w:szCs w:val="32"/>
          <w:highlight w:val="none"/>
          <w:lang w:val="en-US" w:eastAsia="zh-CN"/>
        </w:rPr>
        <w:t>项目内容及资金用途为补助2020年有关地市新建社区体育公园项目的建设工程费用等</w:t>
      </w:r>
      <w:r>
        <w:rPr>
          <w:rFonts w:hint="eastAsia" w:ascii="仿宋_GB2312" w:eastAsia="仿宋_GB2312" w:cs="Times New Roman"/>
          <w:color w:val="auto"/>
          <w:sz w:val="32"/>
          <w:szCs w:val="32"/>
          <w:highlight w:val="none"/>
          <w:lang w:val="en-US" w:eastAsia="zh-CN"/>
        </w:rPr>
        <w:t>；</w:t>
      </w:r>
      <w:r>
        <w:rPr>
          <w:rFonts w:hint="eastAsia" w:ascii="仿宋_GB2312" w:eastAsia="仿宋_GB2312"/>
          <w:color w:val="auto"/>
          <w:sz w:val="32"/>
          <w:highlight w:val="none"/>
          <w:lang w:val="en-US" w:eastAsia="zh-CN"/>
        </w:rPr>
        <w:t>城镇老旧小区改造省级补助资金</w:t>
      </w:r>
      <w:r>
        <w:rPr>
          <w:rFonts w:hint="eastAsia" w:ascii="仿宋_GB2312" w:eastAsia="仿宋_GB2312" w:cs="Times New Roman"/>
          <w:color w:val="auto"/>
          <w:sz w:val="32"/>
          <w:szCs w:val="32"/>
          <w:highlight w:val="none"/>
          <w:lang w:val="en-US" w:eastAsia="zh-CN"/>
        </w:rPr>
        <w:t>专项资金由韶关市、梅州市根据试点工作要求，将省财政下达的专项资金统筹安排给本市有关县（市、区）用于</w:t>
      </w:r>
      <w:r>
        <w:rPr>
          <w:rFonts w:hint="eastAsia" w:ascii="仿宋_GB2312" w:eastAsia="仿宋_GB2312"/>
          <w:color w:val="auto"/>
          <w:sz w:val="32"/>
          <w:highlight w:val="none"/>
          <w:lang w:val="en-US" w:eastAsia="zh-CN"/>
        </w:rPr>
        <w:t>城镇老旧小区改造项目；农村削坡建房风险排查专项资金</w:t>
      </w:r>
      <w:r>
        <w:rPr>
          <w:rFonts w:hint="eastAsia" w:ascii="仿宋_GB2312" w:eastAsia="仿宋_GB2312" w:cs="Times New Roman"/>
          <w:color w:val="auto"/>
          <w:sz w:val="32"/>
          <w:szCs w:val="32"/>
          <w:highlight w:val="none"/>
          <w:lang w:val="en-US" w:eastAsia="zh-CN"/>
        </w:rPr>
        <w:t>用于补助</w:t>
      </w:r>
      <w:r>
        <w:rPr>
          <w:rFonts w:hint="eastAsia" w:ascii="仿宋_GB2312" w:eastAsia="仿宋_GB2312"/>
          <w:color w:val="auto"/>
          <w:sz w:val="32"/>
          <w:highlight w:val="none"/>
          <w:lang w:val="en-US" w:eastAsia="zh-CN"/>
        </w:rPr>
        <w:t>农村削坡建房风险排查费用，市县完成风险排查后，如有结余资金可用于补助农村削坡建房风险整治费用。</w:t>
      </w:r>
    </w:p>
    <w:p>
      <w:pPr>
        <w:pStyle w:val="3"/>
        <w:pageBreakBefore w:val="0"/>
        <w:kinsoku/>
        <w:wordWrap/>
        <w:overflowPunct/>
        <w:topLinePunct w:val="0"/>
        <w:autoSpaceDE/>
        <w:autoSpaceDN/>
        <w:bidi w:val="0"/>
        <w:adjustRightInd/>
        <w:spacing w:before="0" w:after="0" w:line="600" w:lineRule="exact"/>
        <w:ind w:firstLine="640" w:firstLineChars="200"/>
        <w:rPr>
          <w:rFonts w:hint="eastAsia" w:ascii="楷体_GB2312" w:hAnsi="宋体" w:eastAsia="楷体_GB2312"/>
          <w:b w:val="0"/>
          <w:bCs w:val="0"/>
          <w:color w:val="auto"/>
          <w:kern w:val="0"/>
          <w:sz w:val="32"/>
          <w:szCs w:val="32"/>
          <w:highlight w:val="none"/>
        </w:rPr>
      </w:pPr>
      <w:r>
        <w:rPr>
          <w:rFonts w:hint="eastAsia" w:ascii="楷体_GB2312" w:hAnsi="宋体" w:eastAsia="楷体_GB2312"/>
          <w:b w:val="0"/>
          <w:bCs w:val="0"/>
          <w:color w:val="auto"/>
          <w:kern w:val="0"/>
          <w:sz w:val="32"/>
          <w:szCs w:val="32"/>
          <w:highlight w:val="none"/>
        </w:rPr>
        <w:t>（</w:t>
      </w:r>
      <w:r>
        <w:rPr>
          <w:rFonts w:hint="eastAsia" w:ascii="楷体_GB2312" w:hAnsi="宋体" w:eastAsia="楷体_GB2312"/>
          <w:b w:val="0"/>
          <w:bCs w:val="0"/>
          <w:color w:val="auto"/>
          <w:kern w:val="0"/>
          <w:sz w:val="32"/>
          <w:szCs w:val="32"/>
          <w:highlight w:val="none"/>
          <w:lang w:eastAsia="zh-CN"/>
        </w:rPr>
        <w:t>四</w:t>
      </w:r>
      <w:r>
        <w:rPr>
          <w:rFonts w:hint="eastAsia" w:ascii="楷体_GB2312" w:hAnsi="宋体" w:eastAsia="楷体_GB2312"/>
          <w:b w:val="0"/>
          <w:bCs w:val="0"/>
          <w:color w:val="auto"/>
          <w:kern w:val="0"/>
          <w:sz w:val="32"/>
          <w:szCs w:val="32"/>
          <w:highlight w:val="none"/>
        </w:rPr>
        <w:t>）绩效目标</w:t>
      </w:r>
    </w:p>
    <w:p>
      <w:pPr>
        <w:pageBreakBefore w:val="0"/>
        <w:numPr>
          <w:ilvl w:val="0"/>
          <w:numId w:val="0"/>
        </w:numPr>
        <w:kinsoku/>
        <w:wordWrap/>
        <w:overflowPunct/>
        <w:topLinePunct w:val="0"/>
        <w:autoSpaceDE/>
        <w:autoSpaceDN/>
        <w:bidi w:val="0"/>
        <w:adjustRightInd/>
        <w:snapToGrid w:val="0"/>
        <w:spacing w:beforeLines="0" w:afterLines="0" w:line="600" w:lineRule="exact"/>
        <w:ind w:firstLine="643" w:firstLineChars="200"/>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1.社区体育公园补助资金。</w:t>
      </w:r>
    </w:p>
    <w:p>
      <w:pPr>
        <w:pageBreakBefore w:val="0"/>
        <w:kinsoku/>
        <w:wordWrap/>
        <w:overflowPunct/>
        <w:topLinePunct w:val="0"/>
        <w:autoSpaceDE/>
        <w:autoSpaceDN/>
        <w:bidi w:val="0"/>
        <w:adjustRightInd/>
        <w:spacing w:line="600" w:lineRule="exact"/>
        <w:ind w:firstLine="640" w:firstLineChars="200"/>
        <w:rPr>
          <w:rFonts w:hint="eastAsia" w:ascii="仿宋_GB2312" w:hAnsi="Times New Roman" w:eastAsia="仿宋_GB2312" w:cs="Times New Roman"/>
          <w:color w:val="auto"/>
          <w:sz w:val="32"/>
          <w:highlight w:val="none"/>
          <w:lang w:val="en-US" w:eastAsia="zh-CN"/>
        </w:rPr>
      </w:pPr>
      <w:r>
        <w:rPr>
          <w:rFonts w:hint="eastAsia" w:ascii="仿宋_GB2312" w:hAnsi="Times New Roman" w:eastAsia="仿宋_GB2312" w:cs="Times New Roman"/>
          <w:color w:val="auto"/>
          <w:sz w:val="32"/>
          <w:highlight w:val="none"/>
        </w:rPr>
        <w:t>专项资金的绩效目标</w:t>
      </w:r>
      <w:r>
        <w:rPr>
          <w:rFonts w:hint="eastAsia" w:ascii="仿宋_GB2312" w:hAnsi="Times New Roman" w:eastAsia="仿宋_GB2312" w:cs="Times New Roman"/>
          <w:color w:val="auto"/>
          <w:sz w:val="32"/>
          <w:highlight w:val="none"/>
          <w:lang w:val="en-US" w:eastAsia="zh-CN"/>
        </w:rPr>
        <w:t>为</w:t>
      </w:r>
      <w:r>
        <w:rPr>
          <w:rFonts w:hint="eastAsia" w:ascii="仿宋_GB2312" w:hAnsi="Times New Roman" w:eastAsia="仿宋_GB2312" w:cs="Times New Roman"/>
          <w:color w:val="auto"/>
          <w:sz w:val="32"/>
          <w:highlight w:val="none"/>
        </w:rPr>
        <w:t>：</w:t>
      </w:r>
      <w:r>
        <w:rPr>
          <w:rFonts w:hint="eastAsia" w:ascii="仿宋_GB2312" w:hAnsi="Times New Roman" w:eastAsia="仿宋_GB2312" w:cs="Times New Roman"/>
          <w:color w:val="auto"/>
          <w:sz w:val="32"/>
          <w:highlight w:val="none"/>
          <w:lang w:val="en-US" w:eastAsia="zh-CN"/>
        </w:rPr>
        <w:t>一是归纳总结社区体育公园建设工作中的成功经验，促进全省加快社区体育公园建设，提高服务水平；二是按照各地上报的申请表，对社区体育公园场地建设给予补助，改善社区体育公园的场地情况，提高建设标准和服务水平。（</w:t>
      </w:r>
      <w:r>
        <w:rPr>
          <w:rFonts w:hint="eastAsia" w:ascii="仿宋_GB2312" w:eastAsia="仿宋_GB2312" w:cs="Times New Roman"/>
          <w:color w:val="auto"/>
          <w:sz w:val="32"/>
          <w:highlight w:val="none"/>
          <w:lang w:val="en-US" w:eastAsia="zh-CN"/>
        </w:rPr>
        <w:t>绩效</w:t>
      </w:r>
      <w:r>
        <w:rPr>
          <w:rFonts w:hint="eastAsia" w:ascii="仿宋_GB2312" w:hAnsi="Times New Roman" w:eastAsia="仿宋_GB2312" w:cs="Times New Roman"/>
          <w:color w:val="auto"/>
          <w:sz w:val="32"/>
          <w:highlight w:val="none"/>
          <w:lang w:val="en-US" w:eastAsia="zh-CN"/>
        </w:rPr>
        <w:t>目标</w:t>
      </w:r>
      <w:r>
        <w:rPr>
          <w:rFonts w:hint="eastAsia" w:ascii="仿宋_GB2312" w:eastAsia="仿宋_GB2312" w:cs="Times New Roman"/>
          <w:color w:val="auto"/>
          <w:sz w:val="32"/>
          <w:highlight w:val="none"/>
          <w:lang w:val="en-US" w:eastAsia="zh-CN"/>
        </w:rPr>
        <w:t>详</w:t>
      </w:r>
      <w:r>
        <w:rPr>
          <w:rFonts w:hint="eastAsia" w:ascii="仿宋_GB2312" w:hAnsi="Times New Roman" w:eastAsia="仿宋_GB2312" w:cs="Times New Roman"/>
          <w:color w:val="auto"/>
          <w:sz w:val="32"/>
          <w:highlight w:val="none"/>
          <w:lang w:val="en-US" w:eastAsia="zh-CN"/>
        </w:rPr>
        <w:t>见表1-3）。质量标准和预期效果按照《广东省住房和城乡建设厅 广东省体育局关于印发</w:t>
      </w:r>
      <w:r>
        <w:rPr>
          <w:rFonts w:hint="eastAsia" w:ascii="仿宋_GB2312" w:eastAsia="仿宋_GB2312"/>
          <w:color w:val="auto"/>
          <w:sz w:val="32"/>
          <w:highlight w:val="none"/>
        </w:rPr>
        <w:t>〈</w:t>
      </w:r>
      <w:r>
        <w:rPr>
          <w:rFonts w:hint="eastAsia" w:ascii="仿宋_GB2312" w:hAnsi="Times New Roman" w:eastAsia="仿宋_GB2312" w:cs="Times New Roman"/>
          <w:color w:val="auto"/>
          <w:sz w:val="32"/>
          <w:highlight w:val="none"/>
          <w:lang w:val="en-US" w:eastAsia="zh-CN"/>
        </w:rPr>
        <w:t>广东省社区体育公园规划建设指引（第二版）</w:t>
      </w:r>
      <w:r>
        <w:rPr>
          <w:rFonts w:hint="eastAsia" w:ascii="仿宋_GB2312" w:eastAsia="仿宋_GB2312"/>
          <w:color w:val="auto"/>
          <w:sz w:val="32"/>
          <w:highlight w:val="none"/>
        </w:rPr>
        <w:t>〉</w:t>
      </w:r>
      <w:r>
        <w:rPr>
          <w:rFonts w:hint="eastAsia" w:ascii="仿宋_GB2312" w:hAnsi="Times New Roman" w:eastAsia="仿宋_GB2312" w:cs="Times New Roman"/>
          <w:color w:val="auto"/>
          <w:sz w:val="32"/>
          <w:highlight w:val="none"/>
          <w:lang w:val="en-US" w:eastAsia="zh-CN"/>
        </w:rPr>
        <w:t>的函》（粤建节函〔2019〕1232号）的规定执行。</w:t>
      </w:r>
    </w:p>
    <w:tbl>
      <w:tblPr>
        <w:tblStyle w:val="17"/>
        <w:tblW w:w="9374" w:type="dxa"/>
        <w:jc w:val="center"/>
        <w:tblInd w:w="0" w:type="dxa"/>
        <w:tblLayout w:type="fixed"/>
        <w:tblCellMar>
          <w:top w:w="0" w:type="dxa"/>
          <w:left w:w="108" w:type="dxa"/>
          <w:bottom w:w="0" w:type="dxa"/>
          <w:right w:w="108" w:type="dxa"/>
        </w:tblCellMar>
      </w:tblPr>
      <w:tblGrid>
        <w:gridCol w:w="1488"/>
        <w:gridCol w:w="1828"/>
        <w:gridCol w:w="2444"/>
        <w:gridCol w:w="1704"/>
        <w:gridCol w:w="1910"/>
      </w:tblGrid>
      <w:tr>
        <w:tblPrEx>
          <w:tblLayout w:type="fixed"/>
          <w:tblCellMar>
            <w:top w:w="0" w:type="dxa"/>
            <w:left w:w="108" w:type="dxa"/>
            <w:bottom w:w="0" w:type="dxa"/>
            <w:right w:w="108" w:type="dxa"/>
          </w:tblCellMar>
        </w:tblPrEx>
        <w:trPr>
          <w:trHeight w:val="500" w:hRule="atLeast"/>
          <w:jc w:val="center"/>
        </w:trPr>
        <w:tc>
          <w:tcPr>
            <w:tcW w:w="9374" w:type="dxa"/>
            <w:gridSpan w:val="5"/>
            <w:tcBorders>
              <w:top w:val="nil"/>
              <w:left w:val="nil"/>
              <w:bottom w:val="nil"/>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宋体" w:hAnsi="宋体" w:eastAsia="宋体" w:cs="宋体"/>
                <w:i w:val="0"/>
                <w:iCs w:val="0"/>
                <w:color w:val="auto"/>
                <w:sz w:val="24"/>
                <w:szCs w:val="24"/>
                <w:highlight w:val="none"/>
                <w:u w:val="none"/>
              </w:rPr>
            </w:pPr>
            <w:r>
              <w:rPr>
                <w:rFonts w:hint="eastAsia" w:ascii="黑体" w:hAnsi="黑体" w:eastAsia="黑体" w:cs="黑体"/>
                <w:i w:val="0"/>
                <w:iCs w:val="0"/>
                <w:color w:val="auto"/>
                <w:kern w:val="0"/>
                <w:sz w:val="28"/>
                <w:szCs w:val="28"/>
                <w:highlight w:val="none"/>
                <w:u w:val="none"/>
                <w:lang w:val="en-US" w:eastAsia="zh-CN" w:bidi="ar"/>
              </w:rPr>
              <w:t>表1-3 2020年社区体育公园绩效目标表</w:t>
            </w:r>
          </w:p>
        </w:tc>
      </w:tr>
      <w:tr>
        <w:tblPrEx>
          <w:tblLayout w:type="fixed"/>
          <w:tblCellMar>
            <w:top w:w="0" w:type="dxa"/>
            <w:left w:w="108" w:type="dxa"/>
            <w:bottom w:w="0" w:type="dxa"/>
            <w:right w:w="108" w:type="dxa"/>
          </w:tblCellMar>
        </w:tblPrEx>
        <w:trPr>
          <w:trHeight w:val="360" w:hRule="atLeast"/>
          <w:jc w:val="center"/>
        </w:trPr>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所属一级 项目</w:t>
            </w:r>
          </w:p>
        </w:tc>
        <w:tc>
          <w:tcPr>
            <w:tcW w:w="788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区域协调战略发展专项资金</w:t>
            </w:r>
          </w:p>
        </w:tc>
      </w:tr>
      <w:tr>
        <w:tblPrEx>
          <w:tblLayout w:type="fixed"/>
          <w:tblCellMar>
            <w:top w:w="0" w:type="dxa"/>
            <w:left w:w="108" w:type="dxa"/>
            <w:bottom w:w="0" w:type="dxa"/>
            <w:right w:w="108" w:type="dxa"/>
          </w:tblCellMar>
        </w:tblPrEx>
        <w:trPr>
          <w:trHeight w:val="360" w:hRule="atLeast"/>
          <w:jc w:val="center"/>
        </w:trPr>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项目名称</w:t>
            </w:r>
          </w:p>
        </w:tc>
        <w:tc>
          <w:tcPr>
            <w:tcW w:w="788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区域协调发展战略专项资金－住房和城乡建设-社区体育公园补助</w:t>
            </w:r>
          </w:p>
        </w:tc>
      </w:tr>
      <w:tr>
        <w:tblPrEx>
          <w:tblLayout w:type="fixed"/>
          <w:tblCellMar>
            <w:top w:w="0" w:type="dxa"/>
            <w:left w:w="108" w:type="dxa"/>
            <w:bottom w:w="0" w:type="dxa"/>
            <w:right w:w="108" w:type="dxa"/>
          </w:tblCellMar>
        </w:tblPrEx>
        <w:trPr>
          <w:trHeight w:val="360" w:hRule="atLeast"/>
          <w:jc w:val="center"/>
        </w:trPr>
        <w:tc>
          <w:tcPr>
            <w:tcW w:w="1488" w:type="dxa"/>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实施期限</w:t>
            </w:r>
          </w:p>
        </w:tc>
        <w:tc>
          <w:tcPr>
            <w:tcW w:w="1828" w:type="dxa"/>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起始年度</w:t>
            </w:r>
          </w:p>
        </w:tc>
        <w:tc>
          <w:tcPr>
            <w:tcW w:w="2444"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2020年</w:t>
            </w:r>
          </w:p>
        </w:tc>
        <w:tc>
          <w:tcPr>
            <w:tcW w:w="1704" w:type="dxa"/>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到期年度</w:t>
            </w:r>
          </w:p>
        </w:tc>
        <w:tc>
          <w:tcPr>
            <w:tcW w:w="1910"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2022年</w:t>
            </w:r>
          </w:p>
        </w:tc>
      </w:tr>
      <w:tr>
        <w:tblPrEx>
          <w:tblLayout w:type="fixed"/>
          <w:tblCellMar>
            <w:top w:w="0" w:type="dxa"/>
            <w:left w:w="108" w:type="dxa"/>
            <w:bottom w:w="0" w:type="dxa"/>
            <w:right w:w="108" w:type="dxa"/>
          </w:tblCellMar>
        </w:tblPrEx>
        <w:trPr>
          <w:trHeight w:val="360" w:hRule="atLeast"/>
          <w:jc w:val="center"/>
        </w:trPr>
        <w:tc>
          <w:tcPr>
            <w:tcW w:w="1488" w:type="dxa"/>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预算金额</w:t>
            </w:r>
          </w:p>
        </w:tc>
        <w:tc>
          <w:tcPr>
            <w:tcW w:w="1828" w:type="dxa"/>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总金额</w:t>
            </w:r>
          </w:p>
        </w:tc>
        <w:tc>
          <w:tcPr>
            <w:tcW w:w="2444"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13500万元</w:t>
            </w:r>
          </w:p>
        </w:tc>
        <w:tc>
          <w:tcPr>
            <w:tcW w:w="1704" w:type="dxa"/>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当年度金额</w:t>
            </w:r>
          </w:p>
        </w:tc>
        <w:tc>
          <w:tcPr>
            <w:tcW w:w="1910"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4500万元</w:t>
            </w:r>
          </w:p>
        </w:tc>
      </w:tr>
      <w:tr>
        <w:tblPrEx>
          <w:tblLayout w:type="fixed"/>
          <w:tblCellMar>
            <w:top w:w="0" w:type="dxa"/>
            <w:left w:w="108" w:type="dxa"/>
            <w:bottom w:w="0" w:type="dxa"/>
            <w:right w:w="108" w:type="dxa"/>
          </w:tblCellMar>
        </w:tblPrEx>
        <w:trPr>
          <w:trHeight w:val="360" w:hRule="atLeast"/>
          <w:jc w:val="center"/>
        </w:trPr>
        <w:tc>
          <w:tcPr>
            <w:tcW w:w="9374"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 xml:space="preserve">绩效描述 </w:t>
            </w:r>
          </w:p>
        </w:tc>
      </w:tr>
      <w:tr>
        <w:tblPrEx>
          <w:tblLayout w:type="fixed"/>
          <w:tblCellMar>
            <w:top w:w="0" w:type="dxa"/>
            <w:left w:w="108" w:type="dxa"/>
            <w:bottom w:w="0" w:type="dxa"/>
            <w:right w:w="108" w:type="dxa"/>
          </w:tblCellMar>
        </w:tblPrEx>
        <w:trPr>
          <w:trHeight w:val="4679" w:hRule="atLeast"/>
          <w:jc w:val="center"/>
        </w:trPr>
        <w:tc>
          <w:tcPr>
            <w:tcW w:w="1488" w:type="dxa"/>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论证材料及相关依据</w:t>
            </w:r>
          </w:p>
        </w:tc>
        <w:tc>
          <w:tcPr>
            <w:tcW w:w="788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一）《党的十九大报告》提出健康中国战略。《国务院关于实施健康中国行动的意见》中提出，努力打造百姓身边健身组织和“15分钟健身圈”。推进公共体育设施免费或低收费开放。《“健康中国2030”规划纲要》中提出把健康融入城乡规划、建设、治理的全过程。（二）《中共广东省委 广东省人民政府关于进一步加强城市规划建设管理工作的实施意见》（粤发〔2016〕14号）将完善城市公共服务作为今后城市工作的重要内容之一。（三）2018年《 广东省政府工作报告》中提出推进健康广东建设抓好社区体育公园的建设是我省深入开展全民健身活动的重要举措，将完善全民健身活动设施作为扎实办好十件民生实事之一，提出新建100个社区体育公园的年度目标。《2019年广东省政府工作报告》提出“建设更多公共体育场地设施”。（四）省住房城乡建设厅、省体育局联合印发了《广东省社区体育公园建设试点实施方案》（粤建规[2013]115号）。广东省体育局印发了关于印发《广东省公共体育设施建设实施意见》的通知（粤体群[2018]224号。对全省的社区体育公园建设做了总体部署。（五）2019年3月，许瑞生副省长在《关于报送“在社区体育公园开辟固定活动场所给私伙局表演”落实情况的函》上的批示，指出同意在社区体育公园中开辟私伙局表演的意见。社区体育公园逐渐向社区“文体”公园转变。（六）2019年5月，许瑞生副省长在《省领导对2018年全国公共服务质量监测结果通报》的“加大社区体育公园的建设力度”批示。</w:t>
            </w:r>
          </w:p>
        </w:tc>
      </w:tr>
      <w:tr>
        <w:tblPrEx>
          <w:tblLayout w:type="fixed"/>
          <w:tblCellMar>
            <w:top w:w="0" w:type="dxa"/>
            <w:left w:w="108" w:type="dxa"/>
            <w:bottom w:w="0" w:type="dxa"/>
            <w:right w:w="108" w:type="dxa"/>
          </w:tblCellMar>
        </w:tblPrEx>
        <w:trPr>
          <w:trHeight w:val="1060" w:hRule="atLeast"/>
          <w:jc w:val="center"/>
        </w:trPr>
        <w:tc>
          <w:tcPr>
            <w:tcW w:w="1488" w:type="dxa"/>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当年度绩效目标</w:t>
            </w:r>
          </w:p>
        </w:tc>
        <w:tc>
          <w:tcPr>
            <w:tcW w:w="788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1.归纳总结社区体育公园全覆盖在工作组织和建设组织方面的成功经验，促进全省加快社区体育公园建设，提高服务水平；2.按照各地上报的申请表，对社区体育公园场地建设给予补助，改善社区体育公园的场地情况，提高建设标准和服务水平。</w:t>
            </w:r>
          </w:p>
        </w:tc>
      </w:tr>
      <w:tr>
        <w:tblPrEx>
          <w:tblLayout w:type="fixed"/>
          <w:tblCellMar>
            <w:top w:w="0" w:type="dxa"/>
            <w:left w:w="108" w:type="dxa"/>
            <w:bottom w:w="0" w:type="dxa"/>
            <w:right w:w="108" w:type="dxa"/>
          </w:tblCellMar>
        </w:tblPrEx>
        <w:trPr>
          <w:trHeight w:val="371" w:hRule="atLeast"/>
          <w:jc w:val="center"/>
        </w:trPr>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427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实施期目标（跨年度项目需填写）</w:t>
            </w:r>
          </w:p>
        </w:tc>
        <w:tc>
          <w:tcPr>
            <w:tcW w:w="3614" w:type="dxa"/>
            <w:gridSpan w:val="2"/>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当年度目标</w:t>
            </w:r>
          </w:p>
        </w:tc>
      </w:tr>
      <w:tr>
        <w:tblPrEx>
          <w:tblLayout w:type="fixed"/>
          <w:tblCellMar>
            <w:top w:w="0" w:type="dxa"/>
            <w:left w:w="108" w:type="dxa"/>
            <w:bottom w:w="0" w:type="dxa"/>
            <w:right w:w="108" w:type="dxa"/>
          </w:tblCellMar>
        </w:tblPrEx>
        <w:trPr>
          <w:trHeight w:val="1811" w:hRule="atLeast"/>
          <w:jc w:val="center"/>
        </w:trPr>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总体目标</w:t>
            </w:r>
          </w:p>
        </w:tc>
        <w:tc>
          <w:tcPr>
            <w:tcW w:w="4272"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支持粤东西北公共服务提升、实现加强构建宜居舒适生活环境，提升城乡社区空间品质，提高公共服务设施覆盖率目标。其中，2020年计划安排4500万元，2021年计划安排4500万元，2022年计划安排4500万元。</w:t>
            </w:r>
          </w:p>
        </w:tc>
        <w:tc>
          <w:tcPr>
            <w:tcW w:w="361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left"/>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目标1：增加社区体育公园覆盖率；</w:t>
            </w:r>
            <w:r>
              <w:rPr>
                <w:rFonts w:hint="eastAsia" w:ascii="仿宋_GB2312" w:hAnsi="宋体" w:eastAsia="仿宋_GB2312" w:cs="宋体"/>
                <w:color w:val="auto"/>
                <w:sz w:val="24"/>
                <w:szCs w:val="24"/>
                <w:highlight w:val="none"/>
                <w:lang w:val="en-US" w:eastAsia="zh-CN"/>
              </w:rPr>
              <w:br w:type="textWrapping"/>
            </w:r>
            <w:r>
              <w:rPr>
                <w:rFonts w:hint="eastAsia" w:ascii="仿宋_GB2312" w:hAnsi="宋体" w:eastAsia="仿宋_GB2312" w:cs="宋体"/>
                <w:color w:val="auto"/>
                <w:sz w:val="24"/>
                <w:szCs w:val="24"/>
                <w:highlight w:val="none"/>
                <w:lang w:val="en-US" w:eastAsia="zh-CN"/>
              </w:rPr>
              <w:t>目标2：增加社区体育公园服务人口；</w:t>
            </w:r>
            <w:r>
              <w:rPr>
                <w:rFonts w:hint="eastAsia" w:ascii="仿宋_GB2312" w:hAnsi="宋体" w:eastAsia="仿宋_GB2312" w:cs="宋体"/>
                <w:color w:val="auto"/>
                <w:sz w:val="24"/>
                <w:szCs w:val="24"/>
                <w:highlight w:val="none"/>
                <w:lang w:val="en-US" w:eastAsia="zh-CN"/>
              </w:rPr>
              <w:br w:type="textWrapping"/>
            </w:r>
            <w:r>
              <w:rPr>
                <w:rFonts w:hint="eastAsia" w:ascii="仿宋_GB2312" w:hAnsi="宋体" w:eastAsia="仿宋_GB2312" w:cs="宋体"/>
                <w:color w:val="auto"/>
                <w:sz w:val="24"/>
                <w:szCs w:val="24"/>
                <w:highlight w:val="none"/>
                <w:lang w:val="en-US" w:eastAsia="zh-CN"/>
              </w:rPr>
              <w:t>目标3：提高社区体育公园场地建设标准和体育设施类型；</w:t>
            </w:r>
            <w:r>
              <w:rPr>
                <w:rFonts w:hint="eastAsia" w:ascii="仿宋_GB2312" w:hAnsi="宋体" w:eastAsia="仿宋_GB2312" w:cs="宋体"/>
                <w:color w:val="auto"/>
                <w:sz w:val="24"/>
                <w:szCs w:val="24"/>
                <w:highlight w:val="none"/>
                <w:lang w:val="en-US" w:eastAsia="zh-CN"/>
              </w:rPr>
              <w:br w:type="textWrapping"/>
            </w:r>
            <w:r>
              <w:rPr>
                <w:rFonts w:hint="eastAsia" w:ascii="仿宋_GB2312" w:hAnsi="宋体" w:eastAsia="仿宋_GB2312" w:cs="宋体"/>
                <w:color w:val="auto"/>
                <w:sz w:val="24"/>
                <w:szCs w:val="24"/>
                <w:highlight w:val="none"/>
                <w:lang w:val="en-US" w:eastAsia="zh-CN"/>
              </w:rPr>
              <w:t>目标4：增加社区足球场的数量。</w:t>
            </w:r>
          </w:p>
        </w:tc>
      </w:tr>
      <w:tr>
        <w:tblPrEx>
          <w:tblLayout w:type="fixed"/>
          <w:tblCellMar>
            <w:top w:w="0" w:type="dxa"/>
            <w:left w:w="108" w:type="dxa"/>
            <w:bottom w:w="0" w:type="dxa"/>
            <w:right w:w="108" w:type="dxa"/>
          </w:tblCellMar>
        </w:tblPrEx>
        <w:trPr>
          <w:trHeight w:val="360" w:hRule="atLeast"/>
          <w:jc w:val="center"/>
        </w:trPr>
        <w:tc>
          <w:tcPr>
            <w:tcW w:w="9374"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绩效目标</w:t>
            </w:r>
          </w:p>
        </w:tc>
      </w:tr>
      <w:tr>
        <w:tblPrEx>
          <w:tblLayout w:type="fixed"/>
          <w:tblCellMar>
            <w:top w:w="0" w:type="dxa"/>
            <w:left w:w="108" w:type="dxa"/>
            <w:bottom w:w="0" w:type="dxa"/>
            <w:right w:w="108" w:type="dxa"/>
          </w:tblCellMar>
        </w:tblPrEx>
        <w:trPr>
          <w:trHeight w:val="360" w:hRule="atLeast"/>
          <w:jc w:val="center"/>
        </w:trPr>
        <w:tc>
          <w:tcPr>
            <w:tcW w:w="148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一级指标</w:t>
            </w:r>
          </w:p>
        </w:tc>
        <w:tc>
          <w:tcPr>
            <w:tcW w:w="18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二级指标</w:t>
            </w:r>
          </w:p>
        </w:tc>
        <w:tc>
          <w:tcPr>
            <w:tcW w:w="24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三级指标</w:t>
            </w:r>
          </w:p>
        </w:tc>
        <w:tc>
          <w:tcPr>
            <w:tcW w:w="361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 xml:space="preserve">   三级指标目标值（当年度）</w:t>
            </w:r>
          </w:p>
        </w:tc>
      </w:tr>
      <w:tr>
        <w:tblPrEx>
          <w:tblLayout w:type="fixed"/>
          <w:tblCellMar>
            <w:top w:w="0" w:type="dxa"/>
            <w:left w:w="108" w:type="dxa"/>
            <w:bottom w:w="0" w:type="dxa"/>
            <w:right w:w="108" w:type="dxa"/>
          </w:tblCellMar>
        </w:tblPrEx>
        <w:trPr>
          <w:trHeight w:val="576" w:hRule="atLeast"/>
          <w:jc w:val="center"/>
        </w:trPr>
        <w:tc>
          <w:tcPr>
            <w:tcW w:w="148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 xml:space="preserve">产出指标                           </w:t>
            </w:r>
          </w:p>
        </w:tc>
        <w:tc>
          <w:tcPr>
            <w:tcW w:w="182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数量指标</w:t>
            </w:r>
          </w:p>
        </w:tc>
        <w:tc>
          <w:tcPr>
            <w:tcW w:w="244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建成或者改善社区体育公园个数（个）</w:t>
            </w:r>
          </w:p>
        </w:tc>
        <w:tc>
          <w:tcPr>
            <w:tcW w:w="3614" w:type="dxa"/>
            <w:gridSpan w:val="2"/>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56个</w:t>
            </w:r>
          </w:p>
        </w:tc>
      </w:tr>
      <w:tr>
        <w:tblPrEx>
          <w:tblLayout w:type="fixed"/>
          <w:tblCellMar>
            <w:top w:w="0" w:type="dxa"/>
            <w:left w:w="108" w:type="dxa"/>
            <w:bottom w:w="0" w:type="dxa"/>
            <w:right w:w="108" w:type="dxa"/>
          </w:tblCellMar>
        </w:tblPrEx>
        <w:trPr>
          <w:trHeight w:val="864" w:hRule="atLeast"/>
          <w:jc w:val="center"/>
        </w:trPr>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182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244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中、大型社区体育公园配套社区足球场。（指导性任务）</w:t>
            </w:r>
          </w:p>
        </w:tc>
        <w:tc>
          <w:tcPr>
            <w:tcW w:w="3614" w:type="dxa"/>
            <w:gridSpan w:val="2"/>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both"/>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计划建设大型社区体育公园的市，在每1个大型社区体育公园中建成不少于1个社区足球场。全省建成不少于22个社区足球场</w:t>
            </w:r>
          </w:p>
        </w:tc>
      </w:tr>
      <w:tr>
        <w:tblPrEx>
          <w:tblLayout w:type="fixed"/>
          <w:tblCellMar>
            <w:top w:w="0" w:type="dxa"/>
            <w:left w:w="108" w:type="dxa"/>
            <w:bottom w:w="0" w:type="dxa"/>
            <w:right w:w="108" w:type="dxa"/>
          </w:tblCellMar>
        </w:tblPrEx>
        <w:trPr>
          <w:trHeight w:val="576" w:hRule="atLeast"/>
          <w:jc w:val="center"/>
        </w:trPr>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182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24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在保障房建设中配套社区体育公园</w:t>
            </w:r>
          </w:p>
        </w:tc>
        <w:tc>
          <w:tcPr>
            <w:tcW w:w="361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优先补助保障房中配套的社区体育公园</w:t>
            </w:r>
          </w:p>
        </w:tc>
      </w:tr>
      <w:tr>
        <w:tblPrEx>
          <w:tblLayout w:type="fixed"/>
          <w:tblCellMar>
            <w:top w:w="0" w:type="dxa"/>
            <w:left w:w="108" w:type="dxa"/>
            <w:bottom w:w="0" w:type="dxa"/>
            <w:right w:w="108" w:type="dxa"/>
          </w:tblCellMar>
        </w:tblPrEx>
        <w:trPr>
          <w:trHeight w:val="288" w:hRule="atLeast"/>
          <w:jc w:val="center"/>
        </w:trPr>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182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质量指标</w:t>
            </w:r>
          </w:p>
        </w:tc>
        <w:tc>
          <w:tcPr>
            <w:tcW w:w="2444" w:type="dxa"/>
            <w:vMerge w:val="restart"/>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符合《广东省社区体育公园规划建设指引》（第二版）的要求</w:t>
            </w:r>
          </w:p>
        </w:tc>
        <w:tc>
          <w:tcPr>
            <w:tcW w:w="3614"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验收合格率&gt;100%以上</w:t>
            </w:r>
          </w:p>
        </w:tc>
      </w:tr>
      <w:tr>
        <w:tblPrEx>
          <w:tblLayout w:type="fixed"/>
          <w:tblCellMar>
            <w:top w:w="0" w:type="dxa"/>
            <w:left w:w="108" w:type="dxa"/>
            <w:bottom w:w="0" w:type="dxa"/>
            <w:right w:w="108" w:type="dxa"/>
          </w:tblCellMar>
        </w:tblPrEx>
        <w:trPr>
          <w:trHeight w:val="288" w:hRule="atLeast"/>
          <w:jc w:val="center"/>
        </w:trPr>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182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2444" w:type="dxa"/>
            <w:vMerge w:val="continue"/>
            <w:tcBorders>
              <w:top w:val="single" w:color="000000" w:sz="4" w:space="0"/>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3614"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r>
      <w:tr>
        <w:tblPrEx>
          <w:tblLayout w:type="fixed"/>
          <w:tblCellMar>
            <w:top w:w="0" w:type="dxa"/>
            <w:left w:w="108" w:type="dxa"/>
            <w:bottom w:w="0" w:type="dxa"/>
            <w:right w:w="108" w:type="dxa"/>
          </w:tblCellMar>
        </w:tblPrEx>
        <w:trPr>
          <w:trHeight w:val="288" w:hRule="atLeast"/>
          <w:jc w:val="center"/>
        </w:trPr>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18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时效指标</w:t>
            </w:r>
          </w:p>
        </w:tc>
        <w:tc>
          <w:tcPr>
            <w:tcW w:w="24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当年度的项目建设</w:t>
            </w:r>
          </w:p>
        </w:tc>
        <w:tc>
          <w:tcPr>
            <w:tcW w:w="361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项目建设及时率&gt;80%</w:t>
            </w:r>
          </w:p>
        </w:tc>
      </w:tr>
      <w:tr>
        <w:tblPrEx>
          <w:tblLayout w:type="fixed"/>
          <w:tblCellMar>
            <w:top w:w="0" w:type="dxa"/>
            <w:left w:w="108" w:type="dxa"/>
            <w:bottom w:w="0" w:type="dxa"/>
            <w:right w:w="108" w:type="dxa"/>
          </w:tblCellMar>
        </w:tblPrEx>
        <w:trPr>
          <w:trHeight w:val="576" w:hRule="atLeast"/>
          <w:jc w:val="center"/>
        </w:trPr>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18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成本指标</w:t>
            </w:r>
          </w:p>
        </w:tc>
        <w:tc>
          <w:tcPr>
            <w:tcW w:w="24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场地建设成本与体育设施配套成本</w:t>
            </w:r>
          </w:p>
        </w:tc>
        <w:tc>
          <w:tcPr>
            <w:tcW w:w="3614" w:type="dxa"/>
            <w:gridSpan w:val="2"/>
            <w:tcBorders>
              <w:top w:val="nil"/>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低于当地平均成本</w:t>
            </w:r>
          </w:p>
        </w:tc>
      </w:tr>
      <w:tr>
        <w:tblPrEx>
          <w:tblLayout w:type="fixed"/>
          <w:tblCellMar>
            <w:top w:w="0" w:type="dxa"/>
            <w:left w:w="108" w:type="dxa"/>
            <w:bottom w:w="0" w:type="dxa"/>
            <w:right w:w="108" w:type="dxa"/>
          </w:tblCellMar>
        </w:tblPrEx>
        <w:trPr>
          <w:trHeight w:val="600" w:hRule="atLeast"/>
          <w:jc w:val="center"/>
        </w:trPr>
        <w:tc>
          <w:tcPr>
            <w:tcW w:w="148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效益指标</w:t>
            </w:r>
          </w:p>
        </w:tc>
        <w:tc>
          <w:tcPr>
            <w:tcW w:w="18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社会效益指标</w:t>
            </w:r>
          </w:p>
        </w:tc>
        <w:tc>
          <w:tcPr>
            <w:tcW w:w="244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各地区社区体育公园服务水平不断提升</w:t>
            </w:r>
          </w:p>
        </w:tc>
        <w:tc>
          <w:tcPr>
            <w:tcW w:w="3614" w:type="dxa"/>
            <w:gridSpan w:val="2"/>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社区体育公园增加&gt;20公顷；</w:t>
            </w:r>
            <w:r>
              <w:rPr>
                <w:rFonts w:hint="eastAsia" w:ascii="仿宋_GB2312" w:hAnsi="宋体" w:eastAsia="仿宋_GB2312" w:cs="宋体"/>
                <w:color w:val="auto"/>
                <w:sz w:val="24"/>
                <w:szCs w:val="24"/>
                <w:highlight w:val="none"/>
                <w:lang w:val="en-US" w:eastAsia="zh-CN"/>
              </w:rPr>
              <w:br w:type="textWrapping"/>
            </w:r>
            <w:r>
              <w:rPr>
                <w:rFonts w:hint="eastAsia" w:ascii="仿宋_GB2312" w:hAnsi="宋体" w:eastAsia="仿宋_GB2312" w:cs="宋体"/>
                <w:color w:val="auto"/>
                <w:sz w:val="24"/>
                <w:szCs w:val="24"/>
                <w:highlight w:val="none"/>
                <w:lang w:val="en-US" w:eastAsia="zh-CN"/>
              </w:rPr>
              <w:t>全民健身人口增加&gt;40万人</w:t>
            </w:r>
          </w:p>
        </w:tc>
      </w:tr>
      <w:tr>
        <w:tblPrEx>
          <w:tblLayout w:type="fixed"/>
          <w:tblCellMar>
            <w:top w:w="0" w:type="dxa"/>
            <w:left w:w="108" w:type="dxa"/>
            <w:bottom w:w="0" w:type="dxa"/>
            <w:right w:w="108" w:type="dxa"/>
          </w:tblCellMar>
        </w:tblPrEx>
        <w:trPr>
          <w:trHeight w:val="360" w:hRule="atLeast"/>
          <w:jc w:val="center"/>
        </w:trPr>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18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生态效益指标</w:t>
            </w:r>
          </w:p>
        </w:tc>
        <w:tc>
          <w:tcPr>
            <w:tcW w:w="244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增添社区活力</w:t>
            </w:r>
          </w:p>
        </w:tc>
        <w:tc>
          <w:tcPr>
            <w:tcW w:w="3614"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社区整体环境改善，吸引力增加</w:t>
            </w:r>
          </w:p>
        </w:tc>
      </w:tr>
      <w:tr>
        <w:tblPrEx>
          <w:tblLayout w:type="fixed"/>
          <w:tblCellMar>
            <w:top w:w="0" w:type="dxa"/>
            <w:left w:w="108" w:type="dxa"/>
            <w:bottom w:w="0" w:type="dxa"/>
            <w:right w:w="108" w:type="dxa"/>
          </w:tblCellMar>
        </w:tblPrEx>
        <w:trPr>
          <w:trHeight w:val="360" w:hRule="atLeast"/>
          <w:jc w:val="center"/>
        </w:trPr>
        <w:tc>
          <w:tcPr>
            <w:tcW w:w="1488"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p>
        </w:tc>
        <w:tc>
          <w:tcPr>
            <w:tcW w:w="182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可持续影响指标</w:t>
            </w:r>
          </w:p>
        </w:tc>
        <w:tc>
          <w:tcPr>
            <w:tcW w:w="2444"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对健康广东的建设影响</w:t>
            </w:r>
          </w:p>
        </w:tc>
        <w:tc>
          <w:tcPr>
            <w:tcW w:w="3614" w:type="dxa"/>
            <w:gridSpan w:val="2"/>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积极</w:t>
            </w:r>
          </w:p>
        </w:tc>
      </w:tr>
      <w:tr>
        <w:tblPrEx>
          <w:tblLayout w:type="fixed"/>
          <w:tblCellMar>
            <w:top w:w="0" w:type="dxa"/>
            <w:left w:w="108" w:type="dxa"/>
            <w:bottom w:w="0" w:type="dxa"/>
            <w:right w:w="108" w:type="dxa"/>
          </w:tblCellMar>
        </w:tblPrEx>
        <w:trPr>
          <w:trHeight w:val="576" w:hRule="atLeast"/>
          <w:jc w:val="center"/>
        </w:trPr>
        <w:tc>
          <w:tcPr>
            <w:tcW w:w="1488" w:type="dxa"/>
            <w:tcBorders>
              <w:top w:val="nil"/>
              <w:left w:val="single" w:color="000000" w:sz="4" w:space="0"/>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满意度指标</w:t>
            </w:r>
          </w:p>
        </w:tc>
        <w:tc>
          <w:tcPr>
            <w:tcW w:w="1828"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服务对象满意度指标</w:t>
            </w:r>
          </w:p>
        </w:tc>
        <w:tc>
          <w:tcPr>
            <w:tcW w:w="2444" w:type="dxa"/>
            <w:tcBorders>
              <w:top w:val="nil"/>
              <w:left w:val="nil"/>
              <w:bottom w:val="single" w:color="000000" w:sz="4" w:space="0"/>
              <w:right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社区群众对项目的满意度</w:t>
            </w:r>
          </w:p>
        </w:tc>
        <w:tc>
          <w:tcPr>
            <w:tcW w:w="3614" w:type="dxa"/>
            <w:gridSpan w:val="2"/>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600" w:lineRule="exact"/>
              <w:jc w:val="center"/>
              <w:textAlignment w:val="center"/>
              <w:rPr>
                <w:rFonts w:hint="eastAsia" w:ascii="仿宋_GB2312" w:hAnsi="宋体" w:eastAsia="仿宋_GB2312" w:cs="宋体"/>
                <w:color w:val="auto"/>
                <w:sz w:val="24"/>
                <w:szCs w:val="24"/>
                <w:highlight w:val="none"/>
                <w:lang w:val="en-US" w:eastAsia="zh-CN"/>
              </w:rPr>
            </w:pPr>
            <w:r>
              <w:rPr>
                <w:rFonts w:hint="eastAsia" w:ascii="仿宋_GB2312" w:hAnsi="宋体" w:eastAsia="仿宋_GB2312" w:cs="宋体"/>
                <w:color w:val="auto"/>
                <w:sz w:val="24"/>
                <w:szCs w:val="24"/>
                <w:highlight w:val="none"/>
                <w:lang w:val="en-US" w:eastAsia="zh-CN"/>
              </w:rPr>
              <w:t>&gt;90%</w:t>
            </w:r>
          </w:p>
        </w:tc>
      </w:tr>
    </w:tbl>
    <w:p>
      <w:pPr>
        <w:pStyle w:val="30"/>
        <w:pageBreakBefore w:val="0"/>
        <w:tabs>
          <w:tab w:val="left" w:pos="1843"/>
        </w:tabs>
        <w:kinsoku/>
        <w:wordWrap/>
        <w:overflowPunct/>
        <w:topLinePunct w:val="0"/>
        <w:autoSpaceDE/>
        <w:autoSpaceDN/>
        <w:bidi w:val="0"/>
        <w:adjustRightInd/>
        <w:spacing w:line="600" w:lineRule="exact"/>
        <w:ind w:left="0" w:leftChars="0" w:firstLine="0" w:firstLineChars="0"/>
        <w:rPr>
          <w:rFonts w:hint="eastAsia" w:ascii="仿宋_GB2312" w:eastAsia="仿宋_GB2312"/>
          <w:color w:val="auto"/>
          <w:sz w:val="21"/>
          <w:szCs w:val="21"/>
          <w:highlight w:val="none"/>
          <w:lang w:val="en-US" w:eastAsia="zh-CN"/>
        </w:rPr>
      </w:pPr>
    </w:p>
    <w:p>
      <w:pPr>
        <w:pStyle w:val="30"/>
        <w:pageBreakBefore w:val="0"/>
        <w:tabs>
          <w:tab w:val="left" w:pos="1843"/>
        </w:tabs>
        <w:kinsoku/>
        <w:wordWrap/>
        <w:overflowPunct/>
        <w:topLinePunct w:val="0"/>
        <w:autoSpaceDE/>
        <w:autoSpaceDN/>
        <w:bidi w:val="0"/>
        <w:adjustRightInd/>
        <w:spacing w:line="600" w:lineRule="exact"/>
        <w:ind w:left="0" w:leftChars="0" w:firstLine="643" w:firstLineChars="200"/>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2.城镇老旧小区改造省级补助资金。</w:t>
      </w:r>
    </w:p>
    <w:p>
      <w:pPr>
        <w:pageBreakBefore w:val="0"/>
        <w:kinsoku/>
        <w:wordWrap/>
        <w:overflowPunct/>
        <w:topLinePunct w:val="0"/>
        <w:autoSpaceDE/>
        <w:autoSpaceDN/>
        <w:bidi w:val="0"/>
        <w:adjustRightInd/>
        <w:spacing w:line="600" w:lineRule="exact"/>
        <w:ind w:firstLine="640" w:firstLineChars="200"/>
        <w:rPr>
          <w:rFonts w:hint="eastAsia" w:ascii="仿宋_GB2312" w:hAnsi="Times New Roman" w:eastAsia="仿宋_GB2312" w:cs="Times New Roman"/>
          <w:color w:val="auto"/>
          <w:sz w:val="32"/>
          <w:highlight w:val="none"/>
          <w:lang w:val="en-US" w:eastAsia="zh-CN"/>
        </w:rPr>
      </w:pPr>
      <w:r>
        <w:rPr>
          <w:rFonts w:hint="eastAsia" w:ascii="仿宋_GB2312" w:hAnsi="Times New Roman" w:eastAsia="仿宋_GB2312" w:cs="Times New Roman"/>
          <w:color w:val="auto"/>
          <w:sz w:val="32"/>
          <w:highlight w:val="none"/>
          <w:lang w:val="en-US" w:eastAsia="zh-CN"/>
        </w:rPr>
        <w:t>城镇老旧小区改造省级补助资金</w:t>
      </w:r>
      <w:r>
        <w:rPr>
          <w:rFonts w:hint="eastAsia" w:ascii="仿宋_GB2312" w:hAnsi="Times New Roman" w:eastAsia="仿宋_GB2312" w:cs="Times New Roman"/>
          <w:color w:val="auto"/>
          <w:sz w:val="32"/>
          <w:highlight w:val="none"/>
        </w:rPr>
        <w:t>绩效目标</w:t>
      </w:r>
      <w:r>
        <w:rPr>
          <w:rFonts w:hint="eastAsia" w:ascii="仿宋_GB2312" w:hAnsi="Times New Roman" w:eastAsia="仿宋_GB2312" w:cs="Times New Roman"/>
          <w:color w:val="auto"/>
          <w:sz w:val="32"/>
          <w:highlight w:val="none"/>
          <w:lang w:val="en-US" w:eastAsia="zh-CN"/>
        </w:rPr>
        <w:t>详见表1-</w:t>
      </w:r>
      <w:r>
        <w:rPr>
          <w:rFonts w:hint="eastAsia" w:ascii="仿宋_GB2312" w:eastAsia="仿宋_GB2312" w:cs="Times New Roman"/>
          <w:color w:val="auto"/>
          <w:sz w:val="32"/>
          <w:highlight w:val="none"/>
          <w:lang w:val="en-US" w:eastAsia="zh-CN"/>
        </w:rPr>
        <w:t>4</w:t>
      </w:r>
      <w:r>
        <w:rPr>
          <w:rFonts w:hint="eastAsia" w:ascii="仿宋_GB2312" w:hAnsi="Times New Roman" w:eastAsia="仿宋_GB2312" w:cs="Times New Roman"/>
          <w:color w:val="auto"/>
          <w:sz w:val="32"/>
          <w:highlight w:val="none"/>
          <w:lang w:val="en-US" w:eastAsia="zh-CN"/>
        </w:rPr>
        <w:t>。</w:t>
      </w:r>
    </w:p>
    <w:p>
      <w:pPr>
        <w:pStyle w:val="2"/>
        <w:pageBreakBefore w:val="0"/>
        <w:kinsoku/>
        <w:wordWrap/>
        <w:overflowPunct/>
        <w:topLinePunct w:val="0"/>
        <w:autoSpaceDE/>
        <w:autoSpaceDN/>
        <w:bidi w:val="0"/>
        <w:adjustRightInd/>
        <w:spacing w:line="600" w:lineRule="exact"/>
        <w:rPr>
          <w:rFonts w:hint="eastAsia"/>
          <w:sz w:val="21"/>
          <w:szCs w:val="21"/>
        </w:rPr>
      </w:pPr>
    </w:p>
    <w:tbl>
      <w:tblPr>
        <w:tblStyle w:val="17"/>
        <w:tblW w:w="8640" w:type="dxa"/>
        <w:jc w:val="center"/>
        <w:tblInd w:w="0" w:type="dxa"/>
        <w:shd w:val="clear" w:color="auto" w:fill="auto"/>
        <w:tblLayout w:type="fixed"/>
        <w:tblCellMar>
          <w:top w:w="0" w:type="dxa"/>
          <w:left w:w="108" w:type="dxa"/>
          <w:bottom w:w="0" w:type="dxa"/>
          <w:right w:w="108" w:type="dxa"/>
        </w:tblCellMar>
      </w:tblPr>
      <w:tblGrid>
        <w:gridCol w:w="732"/>
        <w:gridCol w:w="1488"/>
        <w:gridCol w:w="1703"/>
        <w:gridCol w:w="3250"/>
        <w:gridCol w:w="1467"/>
      </w:tblGrid>
      <w:tr>
        <w:tblPrEx>
          <w:shd w:val="clear" w:color="auto" w:fill="auto"/>
          <w:tblLayout w:type="fixed"/>
          <w:tblCellMar>
            <w:top w:w="0" w:type="dxa"/>
            <w:left w:w="108" w:type="dxa"/>
            <w:bottom w:w="0" w:type="dxa"/>
            <w:right w:w="108" w:type="dxa"/>
          </w:tblCellMar>
        </w:tblPrEx>
        <w:trPr>
          <w:trHeight w:val="400" w:hRule="atLeast"/>
          <w:jc w:val="center"/>
        </w:trPr>
        <w:tc>
          <w:tcPr>
            <w:tcW w:w="8640" w:type="dxa"/>
            <w:gridSpan w:val="5"/>
            <w:tcBorders>
              <w:top w:val="nil"/>
              <w:left w:val="nil"/>
              <w:bottom w:val="nil"/>
              <w:right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ascii="方正小标宋简体" w:hAnsi="方正小标宋简体" w:eastAsia="方正小标宋简体" w:cs="方正小标宋简体"/>
                <w:i w:val="0"/>
                <w:iCs w:val="0"/>
                <w:color w:val="auto"/>
                <w:sz w:val="28"/>
                <w:szCs w:val="28"/>
                <w:highlight w:val="none"/>
                <w:u w:val="none"/>
              </w:rPr>
            </w:pPr>
            <w:r>
              <w:rPr>
                <w:rFonts w:hint="eastAsia" w:ascii="黑体" w:hAnsi="黑体" w:eastAsia="黑体" w:cs="黑体"/>
                <w:i w:val="0"/>
                <w:iCs w:val="0"/>
                <w:color w:val="auto"/>
                <w:kern w:val="0"/>
                <w:sz w:val="28"/>
                <w:szCs w:val="28"/>
                <w:highlight w:val="none"/>
                <w:u w:val="none"/>
                <w:lang w:val="en-US" w:eastAsia="zh-CN" w:bidi="ar"/>
              </w:rPr>
              <w:t>表1-4 2020年城镇老旧小区改造省级补助资金绩效目标表</w:t>
            </w:r>
          </w:p>
        </w:tc>
      </w:tr>
      <w:tr>
        <w:tblPrEx>
          <w:tblLayout w:type="fixed"/>
          <w:tblCellMar>
            <w:top w:w="0" w:type="dxa"/>
            <w:left w:w="108" w:type="dxa"/>
            <w:bottom w:w="0" w:type="dxa"/>
            <w:right w:w="108" w:type="dxa"/>
          </w:tblCellMar>
        </w:tblPrEx>
        <w:trPr>
          <w:trHeight w:val="360" w:hRule="atLeast"/>
          <w:jc w:val="center"/>
        </w:trPr>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ascii="仿宋_GB2312" w:hAnsi="宋体" w:eastAsia="仿宋_GB2312" w:cs="仿宋_GB2312"/>
                <w:i w:val="0"/>
                <w:iCs w:val="0"/>
                <w:color w:val="auto"/>
                <w:sz w:val="24"/>
                <w:szCs w:val="24"/>
                <w:highlight w:val="none"/>
                <w:u w:val="none"/>
              </w:rPr>
            </w:pPr>
            <w:r>
              <w:rPr>
                <w:rFonts w:hint="default" w:ascii="仿宋_GB2312" w:hAnsi="Times New Roman" w:eastAsia="仿宋_GB2312" w:cs="Times New Roman"/>
                <w:color w:val="auto"/>
                <w:sz w:val="24"/>
                <w:szCs w:val="24"/>
                <w:highlight w:val="none"/>
                <w:lang w:val="en-US" w:eastAsia="zh-CN"/>
              </w:rPr>
              <w:t>项目名称</w:t>
            </w:r>
          </w:p>
        </w:tc>
        <w:tc>
          <w:tcPr>
            <w:tcW w:w="64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2020年城镇老旧小区改造省级补助资金</w:t>
            </w:r>
          </w:p>
        </w:tc>
      </w:tr>
      <w:tr>
        <w:tblPrEx>
          <w:tblLayout w:type="fixed"/>
          <w:tblCellMar>
            <w:top w:w="0" w:type="dxa"/>
            <w:left w:w="108" w:type="dxa"/>
            <w:bottom w:w="0" w:type="dxa"/>
            <w:right w:w="108" w:type="dxa"/>
          </w:tblCellMar>
        </w:tblPrEx>
        <w:trPr>
          <w:trHeight w:val="360" w:hRule="atLeast"/>
          <w:jc w:val="center"/>
        </w:trPr>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预算年度</w:t>
            </w:r>
          </w:p>
        </w:tc>
        <w:tc>
          <w:tcPr>
            <w:tcW w:w="64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2020年</w:t>
            </w:r>
          </w:p>
        </w:tc>
      </w:tr>
      <w:tr>
        <w:tblPrEx>
          <w:tblLayout w:type="fixed"/>
          <w:tblCellMar>
            <w:top w:w="0" w:type="dxa"/>
            <w:left w:w="108" w:type="dxa"/>
            <w:bottom w:w="0" w:type="dxa"/>
            <w:right w:w="108" w:type="dxa"/>
          </w:tblCellMar>
        </w:tblPrEx>
        <w:trPr>
          <w:trHeight w:val="360" w:hRule="atLeast"/>
          <w:jc w:val="center"/>
        </w:trPr>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资金需求</w:t>
            </w:r>
          </w:p>
        </w:tc>
        <w:tc>
          <w:tcPr>
            <w:tcW w:w="64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700万元</w:t>
            </w:r>
          </w:p>
        </w:tc>
      </w:tr>
      <w:tr>
        <w:tblPrEx>
          <w:tblLayout w:type="fixed"/>
          <w:tblCellMar>
            <w:top w:w="0" w:type="dxa"/>
            <w:left w:w="108" w:type="dxa"/>
            <w:bottom w:w="0" w:type="dxa"/>
            <w:right w:w="108" w:type="dxa"/>
          </w:tblCellMar>
        </w:tblPrEx>
        <w:trPr>
          <w:trHeight w:val="360" w:hRule="atLeast"/>
          <w:jc w:val="center"/>
        </w:trPr>
        <w:tc>
          <w:tcPr>
            <w:tcW w:w="222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支出内容</w:t>
            </w:r>
          </w:p>
        </w:tc>
        <w:tc>
          <w:tcPr>
            <w:tcW w:w="64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城镇老旧小区改造项目支出</w:t>
            </w:r>
          </w:p>
        </w:tc>
      </w:tr>
      <w:tr>
        <w:tblPrEx>
          <w:tblLayout w:type="fixed"/>
          <w:tblCellMar>
            <w:top w:w="0" w:type="dxa"/>
            <w:left w:w="108" w:type="dxa"/>
            <w:bottom w:w="0" w:type="dxa"/>
            <w:right w:w="108" w:type="dxa"/>
          </w:tblCellMar>
        </w:tblPrEx>
        <w:trPr>
          <w:trHeight w:val="600" w:hRule="atLeast"/>
          <w:jc w:val="center"/>
        </w:trPr>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总体绩效目标</w:t>
            </w:r>
          </w:p>
        </w:tc>
        <w:tc>
          <w:tcPr>
            <w:tcW w:w="64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韶关市、梅州市涉及1463户的城镇老旧小区改造项目2020年底前开工（韶关市786户、梅州市677户）。</w:t>
            </w:r>
          </w:p>
        </w:tc>
      </w:tr>
      <w:tr>
        <w:tblPrEx>
          <w:tblLayout w:type="fixed"/>
          <w:tblCellMar>
            <w:top w:w="0" w:type="dxa"/>
            <w:left w:w="108" w:type="dxa"/>
            <w:bottom w:w="0" w:type="dxa"/>
            <w:right w:w="108" w:type="dxa"/>
          </w:tblCellMar>
        </w:tblPrEx>
        <w:trPr>
          <w:trHeight w:val="360" w:hRule="atLeast"/>
          <w:jc w:val="center"/>
        </w:trPr>
        <w:tc>
          <w:tcPr>
            <w:tcW w:w="73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48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一级指标</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二级指标</w:t>
            </w:r>
          </w:p>
        </w:tc>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三级指标</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指标值</w:t>
            </w:r>
          </w:p>
        </w:tc>
      </w:tr>
      <w:tr>
        <w:tblPrEx>
          <w:tblLayout w:type="fixed"/>
          <w:tblCellMar>
            <w:top w:w="0" w:type="dxa"/>
            <w:left w:w="108" w:type="dxa"/>
            <w:bottom w:w="0" w:type="dxa"/>
            <w:right w:w="108" w:type="dxa"/>
          </w:tblCellMar>
        </w:tblPrEx>
        <w:trPr>
          <w:trHeight w:val="360" w:hRule="atLeast"/>
          <w:jc w:val="center"/>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绩</w:t>
            </w:r>
            <w:r>
              <w:rPr>
                <w:rFonts w:hint="default" w:ascii="仿宋_GB2312" w:hAnsi="Times New Roman" w:eastAsia="仿宋_GB2312" w:cs="Times New Roman"/>
                <w:color w:val="auto"/>
                <w:sz w:val="24"/>
                <w:szCs w:val="24"/>
                <w:highlight w:val="none"/>
                <w:lang w:val="en-US" w:eastAsia="zh-CN"/>
              </w:rPr>
              <w:br w:type="textWrapping"/>
            </w:r>
            <w:r>
              <w:rPr>
                <w:rFonts w:hint="default" w:ascii="仿宋_GB2312" w:hAnsi="Times New Roman" w:eastAsia="仿宋_GB2312" w:cs="Times New Roman"/>
                <w:color w:val="auto"/>
                <w:sz w:val="24"/>
                <w:szCs w:val="24"/>
                <w:highlight w:val="none"/>
                <w:lang w:val="en-US" w:eastAsia="zh-CN"/>
              </w:rPr>
              <w:br w:type="textWrapping"/>
            </w:r>
            <w:r>
              <w:rPr>
                <w:rFonts w:hint="default" w:ascii="仿宋_GB2312" w:hAnsi="Times New Roman" w:eastAsia="仿宋_GB2312" w:cs="Times New Roman"/>
                <w:color w:val="auto"/>
                <w:sz w:val="24"/>
                <w:szCs w:val="24"/>
                <w:highlight w:val="none"/>
                <w:lang w:val="en-US" w:eastAsia="zh-CN"/>
              </w:rPr>
              <w:t>效</w:t>
            </w:r>
            <w:r>
              <w:rPr>
                <w:rFonts w:hint="default" w:ascii="仿宋_GB2312" w:hAnsi="Times New Roman" w:eastAsia="仿宋_GB2312" w:cs="Times New Roman"/>
                <w:color w:val="auto"/>
                <w:sz w:val="24"/>
                <w:szCs w:val="24"/>
                <w:highlight w:val="none"/>
                <w:lang w:val="en-US" w:eastAsia="zh-CN"/>
              </w:rPr>
              <w:br w:type="textWrapping"/>
            </w:r>
            <w:r>
              <w:rPr>
                <w:rFonts w:hint="default" w:ascii="仿宋_GB2312" w:hAnsi="Times New Roman" w:eastAsia="仿宋_GB2312" w:cs="Times New Roman"/>
                <w:color w:val="auto"/>
                <w:sz w:val="24"/>
                <w:szCs w:val="24"/>
                <w:highlight w:val="none"/>
                <w:lang w:val="en-US" w:eastAsia="zh-CN"/>
              </w:rPr>
              <w:br w:type="textWrapping"/>
            </w:r>
            <w:r>
              <w:rPr>
                <w:rFonts w:hint="default" w:ascii="仿宋_GB2312" w:hAnsi="Times New Roman" w:eastAsia="仿宋_GB2312" w:cs="Times New Roman"/>
                <w:color w:val="auto"/>
                <w:sz w:val="24"/>
                <w:szCs w:val="24"/>
                <w:highlight w:val="none"/>
                <w:lang w:val="en-US" w:eastAsia="zh-CN"/>
              </w:rPr>
              <w:t>指</w:t>
            </w:r>
            <w:r>
              <w:rPr>
                <w:rFonts w:hint="default" w:ascii="仿宋_GB2312" w:hAnsi="Times New Roman" w:eastAsia="仿宋_GB2312" w:cs="Times New Roman"/>
                <w:color w:val="auto"/>
                <w:sz w:val="24"/>
                <w:szCs w:val="24"/>
                <w:highlight w:val="none"/>
                <w:lang w:val="en-US" w:eastAsia="zh-CN"/>
              </w:rPr>
              <w:br w:type="textWrapping"/>
            </w:r>
            <w:r>
              <w:rPr>
                <w:rFonts w:hint="default" w:ascii="仿宋_GB2312" w:hAnsi="Times New Roman" w:eastAsia="仿宋_GB2312" w:cs="Times New Roman"/>
                <w:color w:val="auto"/>
                <w:sz w:val="24"/>
                <w:szCs w:val="24"/>
                <w:highlight w:val="none"/>
                <w:lang w:val="en-US" w:eastAsia="zh-CN"/>
              </w:rPr>
              <w:br w:type="textWrapping"/>
            </w:r>
            <w:r>
              <w:rPr>
                <w:rFonts w:hint="default" w:ascii="仿宋_GB2312" w:hAnsi="Times New Roman" w:eastAsia="仿宋_GB2312" w:cs="Times New Roman"/>
                <w:color w:val="auto"/>
                <w:sz w:val="24"/>
                <w:szCs w:val="24"/>
                <w:highlight w:val="none"/>
                <w:lang w:val="en-US" w:eastAsia="zh-CN"/>
              </w:rPr>
              <w:t>标</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产</w:t>
            </w:r>
            <w:r>
              <w:rPr>
                <w:rFonts w:hint="default" w:ascii="仿宋_GB2312" w:hAnsi="Times New Roman" w:eastAsia="仿宋_GB2312" w:cs="Times New Roman"/>
                <w:color w:val="auto"/>
                <w:sz w:val="24"/>
                <w:szCs w:val="24"/>
                <w:highlight w:val="none"/>
                <w:lang w:val="en-US" w:eastAsia="zh-CN"/>
              </w:rPr>
              <w:br w:type="textWrapping"/>
            </w:r>
            <w:r>
              <w:rPr>
                <w:rFonts w:hint="default" w:ascii="仿宋_GB2312" w:hAnsi="Times New Roman" w:eastAsia="仿宋_GB2312" w:cs="Times New Roman"/>
                <w:color w:val="auto"/>
                <w:sz w:val="24"/>
                <w:szCs w:val="24"/>
                <w:highlight w:val="none"/>
                <w:lang w:val="en-US" w:eastAsia="zh-CN"/>
              </w:rPr>
              <w:t>出</w:t>
            </w:r>
            <w:r>
              <w:rPr>
                <w:rFonts w:hint="default" w:ascii="仿宋_GB2312" w:hAnsi="Times New Roman" w:eastAsia="仿宋_GB2312" w:cs="Times New Roman"/>
                <w:color w:val="auto"/>
                <w:sz w:val="24"/>
                <w:szCs w:val="24"/>
                <w:highlight w:val="none"/>
                <w:lang w:val="en-US" w:eastAsia="zh-CN"/>
              </w:rPr>
              <w:br w:type="textWrapping"/>
            </w:r>
            <w:r>
              <w:rPr>
                <w:rFonts w:hint="default" w:ascii="仿宋_GB2312" w:hAnsi="Times New Roman" w:eastAsia="仿宋_GB2312" w:cs="Times New Roman"/>
                <w:color w:val="auto"/>
                <w:sz w:val="24"/>
                <w:szCs w:val="24"/>
                <w:highlight w:val="none"/>
                <w:lang w:val="en-US" w:eastAsia="zh-CN"/>
              </w:rPr>
              <w:t>指</w:t>
            </w:r>
            <w:r>
              <w:rPr>
                <w:rFonts w:hint="default" w:ascii="仿宋_GB2312" w:hAnsi="Times New Roman" w:eastAsia="仿宋_GB2312" w:cs="Times New Roman"/>
                <w:color w:val="auto"/>
                <w:sz w:val="24"/>
                <w:szCs w:val="24"/>
                <w:highlight w:val="none"/>
                <w:lang w:val="en-US" w:eastAsia="zh-CN"/>
              </w:rPr>
              <w:br w:type="textWrapping"/>
            </w:r>
            <w:r>
              <w:rPr>
                <w:rFonts w:hint="default" w:ascii="仿宋_GB2312" w:hAnsi="Times New Roman" w:eastAsia="仿宋_GB2312" w:cs="Times New Roman"/>
                <w:color w:val="auto"/>
                <w:sz w:val="24"/>
                <w:szCs w:val="24"/>
                <w:highlight w:val="none"/>
                <w:lang w:val="en-US" w:eastAsia="zh-CN"/>
              </w:rPr>
              <w:t>标</w:t>
            </w:r>
          </w:p>
        </w:tc>
        <w:tc>
          <w:tcPr>
            <w:tcW w:w="17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数量指标</w:t>
            </w:r>
          </w:p>
        </w:tc>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改造面积（万平方米）</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&gt;=11.972</w:t>
            </w:r>
          </w:p>
        </w:tc>
      </w:tr>
      <w:tr>
        <w:tblPrEx>
          <w:tblLayout w:type="fixed"/>
          <w:tblCellMar>
            <w:top w:w="0" w:type="dxa"/>
            <w:left w:w="108" w:type="dxa"/>
            <w:bottom w:w="0" w:type="dxa"/>
            <w:right w:w="108" w:type="dxa"/>
          </w:tblCellMar>
        </w:tblPrEx>
        <w:trPr>
          <w:trHeight w:val="360" w:hRule="atLeast"/>
          <w:jc w:val="center"/>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改造户数（户）</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&gt;=1463</w:t>
            </w:r>
          </w:p>
        </w:tc>
      </w:tr>
      <w:tr>
        <w:tblPrEx>
          <w:tblLayout w:type="fixed"/>
          <w:tblCellMar>
            <w:top w:w="0" w:type="dxa"/>
            <w:left w:w="108" w:type="dxa"/>
            <w:bottom w:w="0" w:type="dxa"/>
            <w:right w:w="108" w:type="dxa"/>
          </w:tblCellMar>
        </w:tblPrEx>
        <w:trPr>
          <w:trHeight w:val="360" w:hRule="atLeast"/>
          <w:jc w:val="center"/>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改造楼栋数（栋）</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&gt;=105</w:t>
            </w:r>
          </w:p>
        </w:tc>
      </w:tr>
      <w:tr>
        <w:tblPrEx>
          <w:tblLayout w:type="fixed"/>
          <w:tblCellMar>
            <w:top w:w="0" w:type="dxa"/>
            <w:left w:w="108" w:type="dxa"/>
            <w:bottom w:w="0" w:type="dxa"/>
            <w:right w:w="108" w:type="dxa"/>
          </w:tblCellMar>
        </w:tblPrEx>
        <w:trPr>
          <w:trHeight w:val="360" w:hRule="atLeast"/>
          <w:jc w:val="center"/>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7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改造小区数（个）</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&gt;=29</w:t>
            </w:r>
          </w:p>
        </w:tc>
      </w:tr>
      <w:tr>
        <w:tblPrEx>
          <w:tblLayout w:type="fixed"/>
          <w:tblCellMar>
            <w:top w:w="0" w:type="dxa"/>
            <w:left w:w="108" w:type="dxa"/>
            <w:bottom w:w="0" w:type="dxa"/>
            <w:right w:w="108" w:type="dxa"/>
          </w:tblCellMar>
        </w:tblPrEx>
        <w:trPr>
          <w:trHeight w:val="360" w:hRule="atLeast"/>
          <w:jc w:val="center"/>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质量指标</w:t>
            </w:r>
          </w:p>
        </w:tc>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验收合格率（%）</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100</w:t>
            </w:r>
          </w:p>
        </w:tc>
      </w:tr>
      <w:tr>
        <w:tblPrEx>
          <w:tblLayout w:type="fixed"/>
          <w:tblCellMar>
            <w:top w:w="0" w:type="dxa"/>
            <w:left w:w="108" w:type="dxa"/>
            <w:bottom w:w="0" w:type="dxa"/>
            <w:right w:w="108" w:type="dxa"/>
          </w:tblCellMar>
        </w:tblPrEx>
        <w:trPr>
          <w:trHeight w:val="360" w:hRule="atLeast"/>
          <w:jc w:val="center"/>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时效指标</w:t>
            </w:r>
          </w:p>
        </w:tc>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开工目标完成率（%）</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100</w:t>
            </w:r>
          </w:p>
        </w:tc>
      </w:tr>
      <w:tr>
        <w:tblPrEx>
          <w:tblLayout w:type="fixed"/>
          <w:tblCellMar>
            <w:top w:w="0" w:type="dxa"/>
            <w:left w:w="108" w:type="dxa"/>
            <w:bottom w:w="0" w:type="dxa"/>
            <w:right w:w="108" w:type="dxa"/>
          </w:tblCellMar>
        </w:tblPrEx>
        <w:trPr>
          <w:trHeight w:val="600" w:hRule="atLeast"/>
          <w:jc w:val="center"/>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效益指标</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社会效益</w:t>
            </w:r>
            <w:r>
              <w:rPr>
                <w:rFonts w:hint="eastAsia" w:ascii="仿宋_GB2312" w:hAnsi="Times New Roman" w:eastAsia="仿宋_GB2312" w:cs="Times New Roman"/>
                <w:color w:val="auto"/>
                <w:sz w:val="24"/>
                <w:szCs w:val="24"/>
                <w:highlight w:val="none"/>
                <w:lang w:val="en-US" w:eastAsia="zh-CN"/>
              </w:rPr>
              <w:br w:type="textWrapping"/>
            </w:r>
            <w:r>
              <w:rPr>
                <w:rFonts w:hint="eastAsia" w:ascii="仿宋_GB2312" w:hAnsi="Times New Roman" w:eastAsia="仿宋_GB2312" w:cs="Times New Roman"/>
                <w:color w:val="auto"/>
                <w:sz w:val="24"/>
                <w:szCs w:val="24"/>
                <w:highlight w:val="none"/>
                <w:lang w:val="en-US" w:eastAsia="zh-CN"/>
              </w:rPr>
              <w:t>指标</w:t>
            </w:r>
          </w:p>
        </w:tc>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群众居住条件是否改善</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是</w:t>
            </w:r>
          </w:p>
        </w:tc>
      </w:tr>
      <w:tr>
        <w:tblPrEx>
          <w:tblLayout w:type="fixed"/>
          <w:tblCellMar>
            <w:top w:w="0" w:type="dxa"/>
            <w:left w:w="108" w:type="dxa"/>
            <w:bottom w:w="0" w:type="dxa"/>
            <w:right w:w="108" w:type="dxa"/>
          </w:tblCellMar>
        </w:tblPrEx>
        <w:trPr>
          <w:trHeight w:val="600" w:hRule="atLeast"/>
          <w:jc w:val="center"/>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满意度指标</w:t>
            </w:r>
          </w:p>
        </w:tc>
        <w:tc>
          <w:tcPr>
            <w:tcW w:w="17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服务对象</w:t>
            </w:r>
            <w:r>
              <w:rPr>
                <w:rFonts w:hint="eastAsia" w:ascii="仿宋_GB2312" w:hAnsi="Times New Roman" w:eastAsia="仿宋_GB2312" w:cs="Times New Roman"/>
                <w:color w:val="auto"/>
                <w:sz w:val="24"/>
                <w:szCs w:val="24"/>
                <w:highlight w:val="none"/>
                <w:lang w:val="en-US" w:eastAsia="zh-CN"/>
              </w:rPr>
              <w:br w:type="textWrapping"/>
            </w:r>
            <w:r>
              <w:rPr>
                <w:rFonts w:hint="eastAsia" w:ascii="仿宋_GB2312" w:hAnsi="Times New Roman" w:eastAsia="仿宋_GB2312" w:cs="Times New Roman"/>
                <w:color w:val="auto"/>
                <w:sz w:val="24"/>
                <w:szCs w:val="24"/>
                <w:highlight w:val="none"/>
                <w:lang w:val="en-US" w:eastAsia="zh-CN"/>
              </w:rPr>
              <w:t>满意度指标</w:t>
            </w:r>
          </w:p>
        </w:tc>
        <w:tc>
          <w:tcPr>
            <w:tcW w:w="3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Times New Roman" w:eastAsia="仿宋_GB2312" w:cs="Times New Roman"/>
                <w:color w:val="auto"/>
                <w:sz w:val="24"/>
                <w:szCs w:val="24"/>
                <w:highlight w:val="none"/>
                <w:lang w:val="en-US" w:eastAsia="zh-CN"/>
              </w:rPr>
            </w:pPr>
            <w:r>
              <w:rPr>
                <w:rFonts w:hint="eastAsia" w:ascii="仿宋_GB2312" w:hAnsi="Times New Roman" w:eastAsia="仿宋_GB2312" w:cs="Times New Roman"/>
                <w:color w:val="auto"/>
                <w:sz w:val="24"/>
                <w:szCs w:val="24"/>
                <w:highlight w:val="none"/>
                <w:lang w:val="en-US" w:eastAsia="zh-CN"/>
              </w:rPr>
              <w:t>老旧小区居民满意度（%）</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Times New Roman" w:eastAsia="仿宋_GB2312" w:cs="Times New Roman"/>
                <w:color w:val="auto"/>
                <w:sz w:val="24"/>
                <w:szCs w:val="24"/>
                <w:highlight w:val="none"/>
                <w:lang w:val="en-US" w:eastAsia="zh-CN"/>
              </w:rPr>
            </w:pPr>
            <w:r>
              <w:rPr>
                <w:rFonts w:hint="default" w:ascii="仿宋_GB2312" w:hAnsi="Times New Roman" w:eastAsia="仿宋_GB2312" w:cs="Times New Roman"/>
                <w:color w:val="auto"/>
                <w:sz w:val="24"/>
                <w:szCs w:val="24"/>
                <w:highlight w:val="none"/>
                <w:lang w:val="en-US" w:eastAsia="zh-CN"/>
              </w:rPr>
              <w:t>80</w:t>
            </w:r>
          </w:p>
        </w:tc>
      </w:tr>
    </w:tbl>
    <w:p>
      <w:pPr>
        <w:pageBreakBefore w:val="0"/>
        <w:numPr>
          <w:ilvl w:val="0"/>
          <w:numId w:val="0"/>
        </w:numPr>
        <w:kinsoku/>
        <w:wordWrap/>
        <w:overflowPunct/>
        <w:topLinePunct w:val="0"/>
        <w:autoSpaceDE/>
        <w:autoSpaceDN/>
        <w:bidi w:val="0"/>
        <w:adjustRightInd/>
        <w:snapToGrid w:val="0"/>
        <w:spacing w:beforeLines="0" w:afterLines="0" w:line="600" w:lineRule="exact"/>
        <w:ind w:firstLine="643" w:firstLineChars="200"/>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3.农村削坡建房风险排查专项资金。</w:t>
      </w:r>
    </w:p>
    <w:p>
      <w:pPr>
        <w:pageBreakBefore w:val="0"/>
        <w:numPr>
          <w:ilvl w:val="0"/>
          <w:numId w:val="0"/>
        </w:numPr>
        <w:kinsoku/>
        <w:wordWrap/>
        <w:overflowPunct/>
        <w:topLinePunct w:val="0"/>
        <w:autoSpaceDE/>
        <w:autoSpaceDN/>
        <w:bidi w:val="0"/>
        <w:adjustRightInd/>
        <w:snapToGrid w:val="0"/>
        <w:spacing w:beforeLines="0" w:afterLines="0" w:line="600" w:lineRule="exact"/>
        <w:ind w:firstLine="640" w:firstLineChars="200"/>
        <w:rPr>
          <w:rFonts w:hint="eastAsia" w:ascii="仿宋_GB2312" w:eastAsia="仿宋_GB2312"/>
          <w:b/>
          <w:bCs/>
          <w:color w:val="auto"/>
          <w:sz w:val="32"/>
          <w:highlight w:val="none"/>
          <w:lang w:val="en-US" w:eastAsia="zh-CN"/>
        </w:rPr>
      </w:pPr>
      <w:r>
        <w:rPr>
          <w:rFonts w:hint="eastAsia" w:ascii="仿宋_GB2312" w:hAnsi="仿宋_GB2312" w:eastAsia="仿宋_GB2312" w:cstheme="minorBidi"/>
          <w:color w:val="auto"/>
          <w:sz w:val="32"/>
          <w:highlight w:val="none"/>
          <w:lang w:val="en-US" w:eastAsia="zh-CN"/>
        </w:rPr>
        <w:t>《广东省财政厅关于下达2020年农村削坡建房风险排查专项资金的通知》（粤财建〔2020〕23号）在下达预算资金的同时一并下达了绩效目标。总体绩效目标是：完成新一轮农村削坡建房风险点的排查和风险等级认定，建立新的农村削坡建房风险点工作台账，锁定存量。具体绩效指标是：农村削坡建房风险点的排查和风险等级认定覆盖率100%，风险点工作台账验收通过比例100%，排查完成时间2020年5月底前，降低受隐患威胁人口比例100%，公众满意度≧90%。</w:t>
      </w:r>
    </w:p>
    <w:p>
      <w:pPr>
        <w:pStyle w:val="13"/>
        <w:pageBreakBefore w:val="0"/>
        <w:kinsoku/>
        <w:wordWrap/>
        <w:overflowPunct/>
        <w:topLinePunct w:val="0"/>
        <w:autoSpaceDE/>
        <w:autoSpaceDN/>
        <w:bidi w:val="0"/>
        <w:adjustRightInd/>
        <w:spacing w:before="0" w:after="0" w:line="600" w:lineRule="exact"/>
        <w:ind w:firstLine="640"/>
        <w:jc w:val="both"/>
        <w:rPr>
          <w:rFonts w:ascii="黑体" w:hAnsi="黑体"/>
          <w:bCs/>
          <w:color w:val="auto"/>
          <w:highlight w:val="none"/>
        </w:rPr>
      </w:pPr>
      <w:bookmarkStart w:id="1" w:name="_Toc42021430"/>
      <w:r>
        <w:rPr>
          <w:rFonts w:hint="eastAsia" w:ascii="黑体" w:hAnsi="黑体"/>
          <w:bCs/>
          <w:color w:val="auto"/>
          <w:highlight w:val="none"/>
        </w:rPr>
        <w:t>二、自评情况</w:t>
      </w:r>
      <w:bookmarkEnd w:id="1"/>
    </w:p>
    <w:p>
      <w:pPr>
        <w:pStyle w:val="3"/>
        <w:pageBreakBefore w:val="0"/>
        <w:kinsoku/>
        <w:wordWrap/>
        <w:overflowPunct/>
        <w:topLinePunct w:val="0"/>
        <w:autoSpaceDE/>
        <w:autoSpaceDN/>
        <w:bidi w:val="0"/>
        <w:adjustRightInd/>
        <w:spacing w:before="0" w:after="0" w:line="600" w:lineRule="exact"/>
        <w:ind w:firstLine="640" w:firstLineChars="200"/>
        <w:rPr>
          <w:rFonts w:ascii="Calibri" w:hAnsi="宋体"/>
          <w:b w:val="0"/>
          <w:bCs w:val="0"/>
          <w:color w:val="auto"/>
          <w:highlight w:val="none"/>
        </w:rPr>
      </w:pPr>
      <w:bookmarkStart w:id="2" w:name="_Toc42021431"/>
      <w:r>
        <w:rPr>
          <w:rFonts w:hint="eastAsia" w:ascii="Calibri" w:hAnsi="宋体"/>
          <w:b w:val="0"/>
          <w:bCs w:val="0"/>
          <w:color w:val="auto"/>
          <w:highlight w:val="none"/>
        </w:rPr>
        <w:t>（一）自评分数</w:t>
      </w:r>
      <w:bookmarkEnd w:id="2"/>
    </w:p>
    <w:p>
      <w:pPr>
        <w:pageBreakBefore w:val="0"/>
        <w:kinsoku/>
        <w:wordWrap/>
        <w:overflowPunct/>
        <w:topLinePunct w:val="0"/>
        <w:autoSpaceDE/>
        <w:autoSpaceDN/>
        <w:bidi w:val="0"/>
        <w:adjustRightInd/>
        <w:spacing w:line="600" w:lineRule="exact"/>
        <w:ind w:firstLine="640" w:firstLineChars="200"/>
        <w:rPr>
          <w:rFonts w:hint="eastAsia" w:ascii="仿宋_GB2312" w:hAnsi="仿宋_GB2312" w:eastAsia="仿宋_GB2312" w:cs="Calibri"/>
          <w:color w:val="auto"/>
          <w:sz w:val="32"/>
          <w:highlight w:val="none"/>
        </w:rPr>
      </w:pPr>
      <w:r>
        <w:rPr>
          <w:rFonts w:hint="eastAsia" w:ascii="仿宋_GB2312" w:hAnsi="仿宋_GB2312" w:eastAsia="仿宋_GB2312" w:cs="Calibri"/>
          <w:color w:val="auto"/>
          <w:sz w:val="32"/>
          <w:highlight w:val="none"/>
          <w:lang w:eastAsia="zh-CN"/>
        </w:rPr>
        <w:t>综合各市自评材料审核分析结果和现场评价情况，</w:t>
      </w:r>
      <w:r>
        <w:rPr>
          <w:rFonts w:hint="eastAsia" w:ascii="仿宋_GB2312" w:hAnsi="仿宋" w:eastAsia="仿宋_GB2312"/>
          <w:color w:val="auto"/>
          <w:sz w:val="32"/>
          <w:highlight w:val="none"/>
        </w:rPr>
        <w:t>依据既定的评价指标体系和评分</w:t>
      </w:r>
      <w:r>
        <w:rPr>
          <w:rFonts w:hint="eastAsia" w:ascii="仿宋_GB2312" w:eastAsia="仿宋_GB2312"/>
          <w:color w:val="auto"/>
          <w:sz w:val="32"/>
          <w:highlight w:val="none"/>
        </w:rPr>
        <w:t>标准，</w:t>
      </w:r>
      <w:r>
        <w:rPr>
          <w:rFonts w:hint="eastAsia" w:ascii="仿宋_GB2312" w:eastAsia="仿宋_GB2312"/>
          <w:color w:val="auto"/>
          <w:sz w:val="32"/>
          <w:szCs w:val="32"/>
          <w:highlight w:val="none"/>
          <w:lang w:val="en-US" w:eastAsia="zh-CN"/>
        </w:rPr>
        <w:t>2020年住房和城乡建设专项资金绩效自评得分为</w:t>
      </w:r>
      <w:r>
        <w:rPr>
          <w:rFonts w:hint="eastAsia" w:ascii="仿宋_GB2312" w:eastAsia="仿宋_GB2312"/>
          <w:color w:val="auto"/>
          <w:sz w:val="32"/>
          <w:highlight w:val="none"/>
          <w:lang w:val="en-US" w:eastAsia="zh-CN"/>
        </w:rPr>
        <w:t>90.26</w:t>
      </w:r>
      <w:r>
        <w:rPr>
          <w:rFonts w:hint="eastAsia" w:ascii="仿宋_GB2312" w:eastAsia="仿宋_GB2312"/>
          <w:color w:val="auto"/>
          <w:sz w:val="32"/>
          <w:highlight w:val="none"/>
        </w:rPr>
        <w:t>分</w:t>
      </w:r>
      <w:r>
        <w:rPr>
          <w:rFonts w:hint="eastAsia" w:ascii="仿宋_GB2312" w:hAnsi="Times New Roman" w:eastAsia="仿宋_GB2312" w:cs="Times New Roman"/>
          <w:color w:val="auto"/>
          <w:sz w:val="32"/>
          <w:highlight w:val="none"/>
          <w:lang w:val="en-US" w:eastAsia="zh-CN"/>
        </w:rPr>
        <w:t>（</w:t>
      </w:r>
      <w:r>
        <w:rPr>
          <w:rFonts w:hint="eastAsia" w:ascii="仿宋_GB2312" w:eastAsia="仿宋_GB2312" w:cs="Times New Roman"/>
          <w:color w:val="auto"/>
          <w:sz w:val="32"/>
          <w:highlight w:val="none"/>
          <w:lang w:val="en-US" w:eastAsia="zh-CN"/>
        </w:rPr>
        <w:t>详见表2-1</w:t>
      </w:r>
      <w:r>
        <w:rPr>
          <w:rFonts w:hint="eastAsia" w:ascii="仿宋_GB2312" w:hAnsi="Times New Roman" w:eastAsia="仿宋_GB2312" w:cs="Times New Roman"/>
          <w:color w:val="auto"/>
          <w:sz w:val="32"/>
          <w:highlight w:val="none"/>
          <w:lang w:val="en-US" w:eastAsia="zh-CN"/>
        </w:rPr>
        <w:t>），</w:t>
      </w:r>
      <w:r>
        <w:rPr>
          <w:rFonts w:hint="eastAsia" w:ascii="仿宋_GB2312" w:eastAsia="仿宋_GB2312"/>
          <w:color w:val="auto"/>
          <w:sz w:val="32"/>
          <w:highlight w:val="none"/>
        </w:rPr>
        <w:t>绩效等级为“</w:t>
      </w:r>
      <w:r>
        <w:rPr>
          <w:rFonts w:hint="eastAsia" w:ascii="仿宋_GB2312" w:eastAsia="仿宋_GB2312"/>
          <w:color w:val="auto"/>
          <w:sz w:val="32"/>
          <w:highlight w:val="none"/>
          <w:lang w:val="en-US" w:eastAsia="zh-CN"/>
        </w:rPr>
        <w:t>优</w:t>
      </w:r>
      <w:r>
        <w:rPr>
          <w:rFonts w:hint="eastAsia" w:ascii="仿宋_GB2312" w:hAnsi="Times New Roman" w:eastAsia="仿宋_GB2312" w:cs="Times New Roman"/>
          <w:color w:val="auto"/>
          <w:sz w:val="32"/>
          <w:szCs w:val="32"/>
          <w:highlight w:val="none"/>
          <w:lang w:val="en-US" w:eastAsia="zh-CN"/>
        </w:rPr>
        <w:t>”</w:t>
      </w:r>
      <w:r>
        <w:rPr>
          <w:rFonts w:hint="eastAsia" w:ascii="仿宋_GB2312" w:hAnsi="仿宋_GB2312" w:eastAsia="仿宋_GB2312" w:cs="Calibri"/>
          <w:color w:val="auto"/>
          <w:sz w:val="32"/>
          <w:highlight w:val="none"/>
        </w:rPr>
        <w:t>。</w:t>
      </w:r>
    </w:p>
    <w:p>
      <w:pPr>
        <w:pStyle w:val="2"/>
        <w:pageBreakBefore w:val="0"/>
        <w:kinsoku/>
        <w:wordWrap/>
        <w:overflowPunct/>
        <w:topLinePunct w:val="0"/>
        <w:autoSpaceDE/>
        <w:autoSpaceDN/>
        <w:bidi w:val="0"/>
        <w:adjustRightInd/>
        <w:spacing w:line="600" w:lineRule="exact"/>
        <w:rPr>
          <w:rFonts w:hint="eastAsia"/>
        </w:rPr>
      </w:pPr>
    </w:p>
    <w:tbl>
      <w:tblPr>
        <w:tblStyle w:val="17"/>
        <w:tblW w:w="8856" w:type="dxa"/>
        <w:jc w:val="center"/>
        <w:tblInd w:w="0" w:type="dxa"/>
        <w:shd w:val="clear" w:color="auto" w:fill="auto"/>
        <w:tblLayout w:type="fixed"/>
        <w:tblCellMar>
          <w:top w:w="0" w:type="dxa"/>
          <w:left w:w="108" w:type="dxa"/>
          <w:bottom w:w="0" w:type="dxa"/>
          <w:right w:w="108" w:type="dxa"/>
        </w:tblCellMar>
      </w:tblPr>
      <w:tblGrid>
        <w:gridCol w:w="3962"/>
        <w:gridCol w:w="1631"/>
        <w:gridCol w:w="1631"/>
        <w:gridCol w:w="1632"/>
      </w:tblGrid>
      <w:tr>
        <w:tblPrEx>
          <w:shd w:val="clear" w:color="auto" w:fill="auto"/>
          <w:tblLayout w:type="fixed"/>
          <w:tblCellMar>
            <w:top w:w="0" w:type="dxa"/>
            <w:left w:w="108" w:type="dxa"/>
            <w:bottom w:w="0" w:type="dxa"/>
            <w:right w:w="108" w:type="dxa"/>
          </w:tblCellMar>
        </w:tblPrEx>
        <w:trPr>
          <w:trHeight w:val="312" w:hRule="atLeast"/>
          <w:jc w:val="center"/>
        </w:trPr>
        <w:tc>
          <w:tcPr>
            <w:tcW w:w="8856" w:type="dxa"/>
            <w:gridSpan w:val="4"/>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ascii="黑体" w:hAnsi="宋体" w:eastAsia="黑体" w:cs="黑体"/>
                <w:i w:val="0"/>
                <w:iCs w:val="0"/>
                <w:color w:val="auto"/>
                <w:sz w:val="24"/>
                <w:szCs w:val="24"/>
                <w:u w:val="none"/>
              </w:rPr>
            </w:pPr>
            <w:r>
              <w:rPr>
                <w:rFonts w:hint="eastAsia" w:ascii="黑体" w:hAnsi="宋体" w:eastAsia="黑体" w:cs="黑体"/>
                <w:i w:val="0"/>
                <w:iCs w:val="0"/>
                <w:color w:val="auto"/>
                <w:kern w:val="0"/>
                <w:sz w:val="28"/>
                <w:szCs w:val="28"/>
                <w:u w:val="none"/>
                <w:lang w:val="en-US" w:eastAsia="zh-CN" w:bidi="ar"/>
              </w:rPr>
              <w:t>表2-1</w:t>
            </w:r>
            <w:r>
              <w:rPr>
                <w:rFonts w:hint="eastAsia" w:ascii="仿宋_GB2312" w:eastAsia="仿宋_GB2312" w:cs="Times New Roman"/>
                <w:color w:val="auto"/>
                <w:sz w:val="32"/>
                <w:highlight w:val="none"/>
                <w:lang w:val="en-US" w:eastAsia="zh-CN"/>
              </w:rPr>
              <w:t xml:space="preserve"> </w:t>
            </w:r>
            <w:r>
              <w:rPr>
                <w:rFonts w:hint="eastAsia" w:ascii="黑体" w:hAnsi="宋体" w:eastAsia="黑体" w:cs="黑体"/>
                <w:i w:val="0"/>
                <w:iCs w:val="0"/>
                <w:color w:val="auto"/>
                <w:kern w:val="0"/>
                <w:sz w:val="28"/>
                <w:szCs w:val="28"/>
                <w:u w:val="none"/>
                <w:lang w:val="en-US" w:eastAsia="zh-CN" w:bidi="ar"/>
              </w:rPr>
              <w:t>2020年住房和城乡建设专项资金自评得分情况表</w:t>
            </w:r>
          </w:p>
        </w:tc>
      </w:tr>
      <w:tr>
        <w:tblPrEx>
          <w:tblLayout w:type="fixed"/>
          <w:tblCellMar>
            <w:top w:w="0" w:type="dxa"/>
            <w:left w:w="108" w:type="dxa"/>
            <w:bottom w:w="0" w:type="dxa"/>
            <w:right w:w="108" w:type="dxa"/>
          </w:tblCellMar>
        </w:tblPrEx>
        <w:trPr>
          <w:trHeight w:val="354" w:hRule="atLeast"/>
          <w:jc w:val="center"/>
        </w:trPr>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ascii="仿宋_GB2312" w:hAnsi="宋体" w:eastAsia="仿宋_GB2312" w:cs="仿宋_GB2312"/>
                <w:b/>
                <w:bCs/>
                <w:i w:val="0"/>
                <w:iCs w:val="0"/>
                <w:color w:val="auto"/>
                <w:sz w:val="24"/>
                <w:szCs w:val="24"/>
                <w:u w:val="none"/>
              </w:rPr>
            </w:pPr>
            <w:r>
              <w:rPr>
                <w:rFonts w:hint="default" w:ascii="仿宋_GB2312" w:hAnsi="宋体" w:eastAsia="仿宋_GB2312" w:cs="仿宋_GB2312"/>
                <w:b/>
                <w:bCs/>
                <w:i w:val="0"/>
                <w:iCs w:val="0"/>
                <w:color w:val="auto"/>
                <w:kern w:val="0"/>
                <w:sz w:val="24"/>
                <w:szCs w:val="24"/>
                <w:u w:val="none"/>
                <w:lang w:val="en-US" w:eastAsia="zh-CN" w:bidi="ar"/>
              </w:rPr>
              <w:t>政策任务</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auto"/>
                <w:sz w:val="24"/>
                <w:szCs w:val="24"/>
                <w:u w:val="none"/>
              </w:rPr>
            </w:pPr>
            <w:r>
              <w:rPr>
                <w:rFonts w:hint="default" w:ascii="仿宋_GB2312" w:hAnsi="宋体" w:eastAsia="仿宋_GB2312" w:cs="仿宋_GB2312"/>
                <w:b/>
                <w:bCs/>
                <w:i w:val="0"/>
                <w:iCs w:val="0"/>
                <w:color w:val="auto"/>
                <w:kern w:val="0"/>
                <w:sz w:val="24"/>
                <w:szCs w:val="24"/>
                <w:u w:val="none"/>
                <w:lang w:val="en-US" w:eastAsia="zh-CN" w:bidi="ar"/>
              </w:rPr>
              <w:t>资金权重</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auto"/>
                <w:sz w:val="24"/>
                <w:szCs w:val="24"/>
                <w:u w:val="none"/>
              </w:rPr>
            </w:pPr>
            <w:r>
              <w:rPr>
                <w:rFonts w:hint="default" w:ascii="仿宋_GB2312" w:hAnsi="宋体" w:eastAsia="仿宋_GB2312" w:cs="仿宋_GB2312"/>
                <w:b/>
                <w:bCs/>
                <w:i w:val="0"/>
                <w:iCs w:val="0"/>
                <w:color w:val="auto"/>
                <w:kern w:val="0"/>
                <w:sz w:val="24"/>
                <w:szCs w:val="24"/>
                <w:u w:val="none"/>
                <w:lang w:val="en-US" w:eastAsia="zh-CN" w:bidi="ar"/>
              </w:rPr>
              <w:t>单项自评分</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auto"/>
                <w:sz w:val="24"/>
                <w:szCs w:val="24"/>
                <w:u w:val="none"/>
              </w:rPr>
            </w:pPr>
            <w:r>
              <w:rPr>
                <w:rFonts w:hint="default" w:ascii="仿宋_GB2312" w:hAnsi="宋体" w:eastAsia="仿宋_GB2312" w:cs="仿宋_GB2312"/>
                <w:b/>
                <w:bCs/>
                <w:i w:val="0"/>
                <w:iCs w:val="0"/>
                <w:color w:val="auto"/>
                <w:kern w:val="0"/>
                <w:sz w:val="24"/>
                <w:szCs w:val="24"/>
                <w:u w:val="none"/>
                <w:lang w:val="en-US" w:eastAsia="zh-CN" w:bidi="ar"/>
              </w:rPr>
              <w:t>权重分数</w:t>
            </w:r>
          </w:p>
        </w:tc>
      </w:tr>
      <w:tr>
        <w:tblPrEx>
          <w:tblLayout w:type="fixed"/>
          <w:tblCellMar>
            <w:top w:w="0" w:type="dxa"/>
            <w:left w:w="108" w:type="dxa"/>
            <w:bottom w:w="0" w:type="dxa"/>
            <w:right w:w="108" w:type="dxa"/>
          </w:tblCellMar>
        </w:tblPrEx>
        <w:trPr>
          <w:trHeight w:val="354" w:hRule="atLeast"/>
          <w:jc w:val="center"/>
        </w:trPr>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auto"/>
                <w:sz w:val="24"/>
                <w:szCs w:val="24"/>
                <w:u w:val="none"/>
              </w:rPr>
            </w:pPr>
            <w:r>
              <w:rPr>
                <w:rFonts w:hint="default" w:ascii="仿宋_GB2312" w:hAnsi="宋体" w:eastAsia="仿宋_GB2312" w:cs="仿宋_GB2312"/>
                <w:b/>
                <w:bCs/>
                <w:i w:val="0"/>
                <w:iCs w:val="0"/>
                <w:color w:val="auto"/>
                <w:kern w:val="0"/>
                <w:sz w:val="24"/>
                <w:szCs w:val="24"/>
                <w:u w:val="none"/>
                <w:lang w:val="en-US" w:eastAsia="zh-CN" w:bidi="ar"/>
              </w:rPr>
              <w:t>合</w:t>
            </w:r>
            <w:r>
              <w:rPr>
                <w:rFonts w:hint="eastAsia" w:ascii="仿宋_GB2312" w:hAnsi="宋体" w:eastAsia="仿宋_GB2312" w:cs="仿宋_GB2312"/>
                <w:b/>
                <w:bCs/>
                <w:i w:val="0"/>
                <w:iCs w:val="0"/>
                <w:color w:val="auto"/>
                <w:kern w:val="0"/>
                <w:sz w:val="24"/>
                <w:szCs w:val="24"/>
                <w:u w:val="none"/>
                <w:lang w:val="en-US" w:eastAsia="zh-CN" w:bidi="ar"/>
              </w:rPr>
              <w:t xml:space="preserve">  </w:t>
            </w:r>
            <w:r>
              <w:rPr>
                <w:rFonts w:hint="default" w:ascii="仿宋_GB2312" w:hAnsi="宋体" w:eastAsia="仿宋_GB2312" w:cs="仿宋_GB2312"/>
                <w:b/>
                <w:bCs/>
                <w:i w:val="0"/>
                <w:iCs w:val="0"/>
                <w:color w:val="auto"/>
                <w:kern w:val="0"/>
                <w:sz w:val="24"/>
                <w:szCs w:val="24"/>
                <w:u w:val="none"/>
                <w:lang w:val="en-US" w:eastAsia="zh-CN" w:bidi="ar"/>
              </w:rPr>
              <w:t>计</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auto"/>
                <w:sz w:val="24"/>
                <w:szCs w:val="24"/>
                <w:u w:val="none"/>
              </w:rPr>
            </w:pPr>
            <w:r>
              <w:rPr>
                <w:rFonts w:hint="default" w:ascii="仿宋_GB2312" w:hAnsi="宋体" w:eastAsia="仿宋_GB2312" w:cs="仿宋_GB2312"/>
                <w:b/>
                <w:bCs/>
                <w:i w:val="0"/>
                <w:iCs w:val="0"/>
                <w:color w:val="auto"/>
                <w:kern w:val="0"/>
                <w:sz w:val="24"/>
                <w:szCs w:val="24"/>
                <w:u w:val="none"/>
                <w:lang w:val="en-US" w:eastAsia="zh-CN" w:bidi="ar"/>
              </w:rPr>
              <w:t>100%</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auto"/>
                <w:sz w:val="24"/>
                <w:szCs w:val="24"/>
                <w:u w:val="none"/>
              </w:rPr>
            </w:pPr>
            <w:r>
              <w:rPr>
                <w:rFonts w:hint="default" w:ascii="仿宋_GB2312" w:hAnsi="宋体" w:eastAsia="仿宋_GB2312" w:cs="仿宋_GB2312"/>
                <w:b/>
                <w:bCs/>
                <w:i w:val="0"/>
                <w:iCs w:val="0"/>
                <w:color w:val="auto"/>
                <w:kern w:val="0"/>
                <w:sz w:val="24"/>
                <w:szCs w:val="24"/>
                <w:u w:val="none"/>
                <w:lang w:val="en-US" w:eastAsia="zh-CN" w:bidi="ar"/>
              </w:rPr>
              <w:t>——</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auto"/>
                <w:sz w:val="24"/>
                <w:szCs w:val="24"/>
                <w:u w:val="none"/>
              </w:rPr>
            </w:pPr>
            <w:r>
              <w:rPr>
                <w:rFonts w:hint="default" w:ascii="仿宋_GB2312" w:hAnsi="宋体" w:eastAsia="仿宋_GB2312" w:cs="仿宋_GB2312"/>
                <w:b/>
                <w:bCs/>
                <w:i w:val="0"/>
                <w:iCs w:val="0"/>
                <w:color w:val="auto"/>
                <w:kern w:val="0"/>
                <w:sz w:val="24"/>
                <w:szCs w:val="24"/>
                <w:u w:val="none"/>
                <w:lang w:val="en-US" w:eastAsia="zh-CN" w:bidi="ar"/>
              </w:rPr>
              <w:t>90.26</w:t>
            </w:r>
          </w:p>
        </w:tc>
      </w:tr>
      <w:tr>
        <w:tblPrEx>
          <w:tblLayout w:type="fixed"/>
          <w:tblCellMar>
            <w:top w:w="0" w:type="dxa"/>
            <w:left w:w="108" w:type="dxa"/>
            <w:bottom w:w="0" w:type="dxa"/>
            <w:right w:w="108" w:type="dxa"/>
          </w:tblCellMar>
        </w:tblPrEx>
        <w:trPr>
          <w:trHeight w:val="354" w:hRule="atLeast"/>
          <w:jc w:val="center"/>
        </w:trPr>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社区体育公园补助资金</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40.16%</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eastAsia" w:ascii="仿宋_GB2312" w:hAnsi="宋体" w:eastAsia="仿宋_GB2312" w:cs="仿宋_GB2312"/>
                <w:i w:val="0"/>
                <w:iCs w:val="0"/>
                <w:color w:val="auto"/>
                <w:kern w:val="0"/>
                <w:sz w:val="24"/>
                <w:szCs w:val="24"/>
                <w:u w:val="none"/>
                <w:lang w:val="en-US" w:eastAsia="zh-CN" w:bidi="ar"/>
              </w:rPr>
              <w:t>93</w:t>
            </w:r>
            <w:r>
              <w:rPr>
                <w:rFonts w:hint="default" w:ascii="仿宋_GB2312" w:hAnsi="宋体" w:eastAsia="仿宋_GB2312" w:cs="仿宋_GB2312"/>
                <w:i w:val="0"/>
                <w:iCs w:val="0"/>
                <w:color w:val="auto"/>
                <w:kern w:val="0"/>
                <w:sz w:val="24"/>
                <w:szCs w:val="24"/>
                <w:u w:val="none"/>
                <w:lang w:val="en-US" w:eastAsia="zh-CN" w:bidi="ar"/>
              </w:rPr>
              <w:t>.36</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37.49</w:t>
            </w:r>
          </w:p>
        </w:tc>
      </w:tr>
      <w:tr>
        <w:tblPrEx>
          <w:tblLayout w:type="fixed"/>
          <w:tblCellMar>
            <w:top w:w="0" w:type="dxa"/>
            <w:left w:w="108" w:type="dxa"/>
            <w:bottom w:w="0" w:type="dxa"/>
            <w:right w:w="108" w:type="dxa"/>
          </w:tblCellMar>
        </w:tblPrEx>
        <w:trPr>
          <w:trHeight w:val="354" w:hRule="atLeast"/>
          <w:jc w:val="center"/>
        </w:trPr>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城镇老旧小区改造省级补助资金</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7.35%</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99</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7.28</w:t>
            </w:r>
          </w:p>
        </w:tc>
      </w:tr>
      <w:tr>
        <w:tblPrEx>
          <w:tblLayout w:type="fixed"/>
          <w:tblCellMar>
            <w:top w:w="0" w:type="dxa"/>
            <w:left w:w="108" w:type="dxa"/>
            <w:bottom w:w="0" w:type="dxa"/>
            <w:right w:w="108" w:type="dxa"/>
          </w:tblCellMar>
        </w:tblPrEx>
        <w:trPr>
          <w:trHeight w:val="354" w:hRule="atLeast"/>
          <w:jc w:val="center"/>
        </w:trPr>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both"/>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农村削坡建房风险排查专项资金</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52.49%</w:t>
            </w:r>
          </w:p>
        </w:tc>
        <w:tc>
          <w:tcPr>
            <w:tcW w:w="1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86.67</w:t>
            </w:r>
          </w:p>
        </w:tc>
        <w:tc>
          <w:tcPr>
            <w:tcW w:w="1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kern w:val="0"/>
                <w:sz w:val="24"/>
                <w:szCs w:val="24"/>
                <w:u w:val="none"/>
                <w:lang w:val="en-US" w:eastAsia="zh-CN" w:bidi="ar"/>
              </w:rPr>
              <w:t>45.49</w:t>
            </w:r>
          </w:p>
        </w:tc>
      </w:tr>
    </w:tbl>
    <w:p>
      <w:pPr>
        <w:pageBreakBefore w:val="0"/>
        <w:kinsoku/>
        <w:wordWrap/>
        <w:overflowPunct/>
        <w:topLinePunct w:val="0"/>
        <w:autoSpaceDE/>
        <w:autoSpaceDN/>
        <w:bidi w:val="0"/>
        <w:adjustRightInd/>
        <w:spacing w:line="600" w:lineRule="exact"/>
        <w:ind w:firstLine="643" w:firstLineChars="200"/>
        <w:rPr>
          <w:rFonts w:hint="eastAsia" w:ascii="仿宋_GB2312" w:hAnsi="仿宋" w:eastAsia="仿宋_GB2312"/>
          <w:b/>
          <w:bCs/>
          <w:color w:val="auto"/>
          <w:sz w:val="32"/>
          <w:highlight w:val="none"/>
          <w:lang w:val="en-US" w:eastAsia="zh-CN"/>
        </w:rPr>
      </w:pPr>
      <w:bookmarkStart w:id="3" w:name="_Toc42021432"/>
    </w:p>
    <w:p>
      <w:pPr>
        <w:pageBreakBefore w:val="0"/>
        <w:kinsoku/>
        <w:wordWrap/>
        <w:overflowPunct/>
        <w:topLinePunct w:val="0"/>
        <w:autoSpaceDE/>
        <w:autoSpaceDN/>
        <w:bidi w:val="0"/>
        <w:adjustRightInd/>
        <w:spacing w:line="600" w:lineRule="exact"/>
        <w:ind w:firstLine="643" w:firstLineChars="200"/>
        <w:rPr>
          <w:rFonts w:hint="eastAsia" w:ascii="仿宋_GB2312" w:hAnsi="仿宋" w:eastAsia="仿宋_GB2312"/>
          <w:b w:val="0"/>
          <w:bCs w:val="0"/>
          <w:color w:val="auto"/>
          <w:sz w:val="32"/>
          <w:highlight w:val="none"/>
          <w:lang w:val="en-US" w:eastAsia="zh-CN"/>
        </w:rPr>
      </w:pPr>
      <w:r>
        <w:rPr>
          <w:rFonts w:hint="eastAsia" w:ascii="仿宋_GB2312" w:hAnsi="仿宋" w:eastAsia="仿宋_GB2312"/>
          <w:b/>
          <w:bCs/>
          <w:color w:val="auto"/>
          <w:sz w:val="32"/>
          <w:highlight w:val="none"/>
          <w:lang w:val="en-US" w:eastAsia="zh-CN"/>
        </w:rPr>
        <w:t>1.投入。</w:t>
      </w:r>
      <w:bookmarkEnd w:id="3"/>
      <w:r>
        <w:rPr>
          <w:rFonts w:hint="eastAsia" w:ascii="仿宋_GB2312" w:hAnsi="仿宋" w:eastAsia="仿宋_GB2312"/>
          <w:b w:val="0"/>
          <w:bCs w:val="0"/>
          <w:color w:val="auto"/>
          <w:sz w:val="32"/>
          <w:highlight w:val="none"/>
        </w:rPr>
        <w:t>该指标主要从项目立项和资金落实两个方面</w:t>
      </w:r>
      <w:r>
        <w:rPr>
          <w:rFonts w:hint="eastAsia" w:ascii="仿宋_GB2312" w:hAnsi="仿宋" w:eastAsia="仿宋_GB2312"/>
          <w:b w:val="0"/>
          <w:bCs w:val="0"/>
          <w:color w:val="auto"/>
          <w:sz w:val="32"/>
          <w:highlight w:val="none"/>
          <w:lang w:eastAsia="zh-CN"/>
        </w:rPr>
        <w:t>考核</w:t>
      </w:r>
      <w:r>
        <w:rPr>
          <w:rFonts w:hint="eastAsia" w:ascii="仿宋_GB2312" w:hAnsi="仿宋_GB2312" w:eastAsia="仿宋_GB2312" w:cs="仿宋_GB2312"/>
          <w:b w:val="0"/>
          <w:bCs w:val="0"/>
          <w:color w:val="auto"/>
          <w:sz w:val="32"/>
          <w:highlight w:val="none"/>
        </w:rPr>
        <w:t>项目论证的充分性，绩效目标的完整性、合理性和可衡量性，制度和计划上的保障措施，以及</w:t>
      </w:r>
      <w:r>
        <w:rPr>
          <w:rFonts w:hint="eastAsia" w:ascii="仿宋_GB2312" w:eastAsia="仿宋_GB2312"/>
          <w:b w:val="0"/>
          <w:bCs w:val="0"/>
          <w:color w:val="auto"/>
          <w:sz w:val="32"/>
          <w:highlight w:val="none"/>
        </w:rPr>
        <w:t>资金</w:t>
      </w:r>
      <w:r>
        <w:rPr>
          <w:rFonts w:hint="eastAsia" w:ascii="仿宋_GB2312" w:hAnsi="仿宋" w:eastAsia="仿宋_GB2312"/>
          <w:b w:val="0"/>
          <w:bCs w:val="0"/>
          <w:color w:val="auto"/>
          <w:sz w:val="32"/>
          <w:highlight w:val="none"/>
        </w:rPr>
        <w:t>投向的合理性和可行性。指标分值20分，评价得分18分，得分率为</w:t>
      </w:r>
      <w:r>
        <w:rPr>
          <w:rFonts w:hint="eastAsia" w:ascii="仿宋_GB2312" w:hAnsi="仿宋" w:eastAsia="仿宋_GB2312"/>
          <w:b w:val="0"/>
          <w:bCs w:val="0"/>
          <w:color w:val="auto"/>
          <w:sz w:val="32"/>
          <w:highlight w:val="none"/>
          <w:lang w:val="en-US" w:eastAsia="zh-CN"/>
        </w:rPr>
        <w:t>90</w:t>
      </w:r>
      <w:r>
        <w:rPr>
          <w:rFonts w:hint="eastAsia" w:ascii="仿宋_GB2312" w:hAnsi="仿宋" w:eastAsia="仿宋_GB2312"/>
          <w:b w:val="0"/>
          <w:bCs w:val="0"/>
          <w:color w:val="auto"/>
          <w:sz w:val="32"/>
          <w:highlight w:val="none"/>
        </w:rPr>
        <w:t>%</w:t>
      </w:r>
      <w:r>
        <w:rPr>
          <w:rFonts w:hint="eastAsia" w:ascii="仿宋_GB2312" w:hAnsi="仿宋" w:eastAsia="仿宋_GB2312"/>
          <w:b w:val="0"/>
          <w:bCs w:val="0"/>
          <w:color w:val="auto"/>
          <w:sz w:val="32"/>
          <w:highlight w:val="none"/>
          <w:lang w:eastAsia="zh-CN"/>
        </w:rPr>
        <w:t>。</w:t>
      </w:r>
    </w:p>
    <w:p>
      <w:pPr>
        <w:pageBreakBefore w:val="0"/>
        <w:widowControl/>
        <w:kinsoku/>
        <w:wordWrap/>
        <w:overflowPunct/>
        <w:topLinePunct w:val="0"/>
        <w:autoSpaceDE/>
        <w:autoSpaceDN/>
        <w:bidi w:val="0"/>
        <w:adjustRightInd/>
        <w:spacing w:before="0" w:after="0" w:line="600" w:lineRule="exact"/>
        <w:ind w:firstLine="640" w:firstLineChars="200"/>
        <w:jc w:val="both"/>
        <w:outlineLvl w:val="2"/>
        <w:rPr>
          <w:rFonts w:hint="eastAsia" w:ascii="仿宋_GB2312" w:hAnsi="仿宋" w:eastAsia="仿宋_GB2312"/>
          <w:color w:val="auto"/>
          <w:sz w:val="32"/>
          <w:highlight w:val="none"/>
        </w:rPr>
      </w:pPr>
      <w:bookmarkStart w:id="4" w:name="_Toc39921329"/>
      <w:bookmarkStart w:id="5" w:name="_Toc16144"/>
      <w:bookmarkStart w:id="6" w:name="_Toc39323949"/>
      <w:bookmarkStart w:id="7" w:name="_Toc39324246"/>
      <w:r>
        <w:rPr>
          <w:rFonts w:hint="eastAsia" w:ascii="仿宋_GB2312" w:hAnsi="仿宋" w:eastAsia="仿宋_GB2312" w:cs="Times New Roman"/>
          <w:color w:val="auto"/>
          <w:sz w:val="32"/>
          <w:highlight w:val="none"/>
          <w:lang w:val="en-US" w:eastAsia="zh-CN"/>
        </w:rPr>
        <w:t>总体上，专项资金设立的</w:t>
      </w:r>
      <w:r>
        <w:rPr>
          <w:rFonts w:hint="eastAsia" w:ascii="仿宋_GB2312" w:hAnsi="仿宋" w:eastAsia="仿宋_GB2312" w:cs="Times New Roman"/>
          <w:color w:val="auto"/>
          <w:sz w:val="32"/>
          <w:highlight w:val="none"/>
        </w:rPr>
        <w:t>决策过程科学合理，资金设立</w:t>
      </w:r>
      <w:r>
        <w:rPr>
          <w:rFonts w:hint="eastAsia" w:ascii="仿宋_GB2312" w:hAnsi="仿宋" w:eastAsia="仿宋_GB2312" w:cs="Times New Roman"/>
          <w:color w:val="auto"/>
          <w:sz w:val="32"/>
          <w:highlight w:val="none"/>
          <w:lang w:eastAsia="zh-CN"/>
        </w:rPr>
        <w:t>程序</w:t>
      </w:r>
      <w:r>
        <w:rPr>
          <w:rFonts w:hint="eastAsia" w:ascii="仿宋_GB2312" w:hAnsi="仿宋" w:eastAsia="仿宋_GB2312" w:cs="Times New Roman"/>
          <w:color w:val="auto"/>
          <w:sz w:val="32"/>
          <w:highlight w:val="none"/>
        </w:rPr>
        <w:t>符合省级专项资金管理办法，资金投向和结</w:t>
      </w:r>
      <w:r>
        <w:rPr>
          <w:rFonts w:hint="eastAsia" w:ascii="仿宋_GB2312" w:hAnsi="仿宋" w:eastAsia="仿宋_GB2312"/>
          <w:color w:val="auto"/>
          <w:sz w:val="32"/>
          <w:highlight w:val="none"/>
        </w:rPr>
        <w:t>构符合公共财政</w:t>
      </w:r>
      <w:r>
        <w:rPr>
          <w:rFonts w:hint="eastAsia" w:ascii="仿宋_GB2312" w:hAnsi="仿宋" w:eastAsia="仿宋_GB2312"/>
          <w:color w:val="auto"/>
          <w:sz w:val="32"/>
          <w:highlight w:val="none"/>
          <w:lang w:eastAsia="zh-CN"/>
        </w:rPr>
        <w:t>支持</w:t>
      </w:r>
      <w:r>
        <w:rPr>
          <w:rFonts w:hint="eastAsia" w:ascii="仿宋_GB2312" w:hAnsi="仿宋" w:eastAsia="仿宋_GB2312"/>
          <w:color w:val="auto"/>
          <w:sz w:val="32"/>
          <w:highlight w:val="none"/>
        </w:rPr>
        <w:t>方向</w:t>
      </w:r>
      <w:bookmarkEnd w:id="4"/>
      <w:bookmarkEnd w:id="5"/>
      <w:bookmarkEnd w:id="6"/>
      <w:bookmarkEnd w:id="7"/>
      <w:bookmarkStart w:id="8" w:name="_Toc4586"/>
      <w:r>
        <w:rPr>
          <w:rFonts w:hint="eastAsia" w:ascii="仿宋_GB2312" w:hAnsi="仿宋" w:eastAsia="仿宋_GB2312"/>
          <w:color w:val="auto"/>
          <w:sz w:val="32"/>
          <w:highlight w:val="none"/>
          <w:lang w:eastAsia="zh-CN"/>
        </w:rPr>
        <w:t>；</w:t>
      </w:r>
      <w:r>
        <w:rPr>
          <w:rFonts w:hint="eastAsia" w:ascii="仿宋_GB2312" w:hAnsi="仿宋" w:eastAsia="仿宋_GB2312" w:cs="Times New Roman"/>
          <w:color w:val="auto"/>
          <w:sz w:val="32"/>
          <w:highlight w:val="none"/>
          <w:lang w:val="en-US" w:eastAsia="zh-CN"/>
        </w:rPr>
        <w:t>专项资金</w:t>
      </w:r>
      <w:r>
        <w:rPr>
          <w:rFonts w:hint="eastAsia" w:ascii="仿宋_GB2312" w:hAnsi="仿宋" w:eastAsia="仿宋_GB2312"/>
          <w:color w:val="auto"/>
          <w:sz w:val="32"/>
          <w:highlight w:val="none"/>
          <w:lang w:eastAsia="zh-CN"/>
        </w:rPr>
        <w:t>按照省级财政资金绩效管理办法设置并</w:t>
      </w:r>
      <w:r>
        <w:rPr>
          <w:rFonts w:hint="eastAsia" w:ascii="仿宋_GB2312" w:hAnsi="仿宋" w:eastAsia="仿宋_GB2312" w:cs="Times New Roman"/>
          <w:color w:val="auto"/>
          <w:sz w:val="32"/>
          <w:highlight w:val="none"/>
          <w:lang w:eastAsia="zh-CN"/>
        </w:rPr>
        <w:t>在下达预算资金的同时</w:t>
      </w:r>
      <w:r>
        <w:rPr>
          <w:rFonts w:hint="eastAsia" w:ascii="仿宋_GB2312" w:hAnsi="仿宋" w:eastAsia="仿宋_GB2312" w:cs="Times New Roman"/>
          <w:color w:val="auto"/>
          <w:sz w:val="32"/>
          <w:highlight w:val="none"/>
          <w:lang w:val="en-US" w:eastAsia="zh-CN"/>
        </w:rPr>
        <w:t>一并下达了绩效目标</w:t>
      </w:r>
      <w:r>
        <w:rPr>
          <w:rFonts w:hint="eastAsia" w:ascii="仿宋_GB2312" w:hAnsi="仿宋" w:eastAsia="仿宋_GB2312" w:cs="Times New Roman"/>
          <w:color w:val="auto"/>
          <w:sz w:val="32"/>
          <w:highlight w:val="none"/>
          <w:lang w:eastAsia="zh-CN"/>
        </w:rPr>
        <w:t>；资金和项目管理制度比较完善；资金分配相对合理，实际安排的资金全部落实到位。</w:t>
      </w:r>
      <w:bookmarkEnd w:id="8"/>
      <w:bookmarkStart w:id="9" w:name="_Toc42021435"/>
      <w:r>
        <w:rPr>
          <w:rFonts w:hint="eastAsia" w:ascii="仿宋_GB2312" w:hAnsi="仿宋" w:eastAsia="仿宋_GB2312" w:cs="Times New Roman"/>
          <w:color w:val="auto"/>
          <w:sz w:val="32"/>
          <w:highlight w:val="none"/>
          <w:lang w:eastAsia="zh-CN"/>
        </w:rPr>
        <w:t>存在问题是部分地市资金到位不够及时。</w:t>
      </w:r>
    </w:p>
    <w:p>
      <w:pPr>
        <w:pStyle w:val="4"/>
        <w:keepNext/>
        <w:keepLines/>
        <w:pageBreakBefore w:val="0"/>
        <w:widowControl w:val="0"/>
        <w:kinsoku/>
        <w:wordWrap/>
        <w:overflowPunct/>
        <w:topLinePunct w:val="0"/>
        <w:autoSpaceDE/>
        <w:autoSpaceDN/>
        <w:bidi w:val="0"/>
        <w:adjustRightInd/>
        <w:snapToGrid/>
        <w:spacing w:before="0" w:after="0" w:line="600" w:lineRule="exact"/>
        <w:ind w:firstLine="643" w:firstLineChars="200"/>
        <w:textAlignment w:val="auto"/>
        <w:rPr>
          <w:rFonts w:hint="eastAsia" w:ascii="仿宋_GB2312" w:hAnsi="仿宋" w:eastAsia="仿宋_GB2312"/>
          <w:b w:val="0"/>
          <w:bCs w:val="0"/>
          <w:color w:val="auto"/>
          <w:sz w:val="32"/>
          <w:highlight w:val="none"/>
          <w:lang w:eastAsia="zh-CN"/>
        </w:rPr>
      </w:pPr>
      <w:r>
        <w:rPr>
          <w:rFonts w:hint="eastAsia" w:ascii="仿宋_GB2312" w:hAnsi="仿宋" w:eastAsia="仿宋_GB2312"/>
          <w:b/>
          <w:bCs/>
          <w:color w:val="auto"/>
          <w:sz w:val="32"/>
          <w:highlight w:val="none"/>
        </w:rPr>
        <w:t>2.过程</w:t>
      </w:r>
      <w:bookmarkEnd w:id="9"/>
      <w:r>
        <w:rPr>
          <w:rFonts w:hint="eastAsia" w:ascii="仿宋_GB2312" w:hAnsi="仿宋" w:eastAsia="仿宋_GB2312"/>
          <w:b/>
          <w:bCs/>
          <w:color w:val="auto"/>
          <w:sz w:val="32"/>
          <w:highlight w:val="none"/>
          <w:lang w:eastAsia="zh-CN"/>
        </w:rPr>
        <w:t>。</w:t>
      </w:r>
      <w:r>
        <w:rPr>
          <w:rFonts w:hint="eastAsia" w:ascii="仿宋_GB2312" w:hAnsi="仿宋" w:eastAsia="仿宋_GB2312"/>
          <w:b w:val="0"/>
          <w:bCs w:val="0"/>
          <w:color w:val="auto"/>
          <w:sz w:val="32"/>
          <w:highlight w:val="none"/>
          <w:lang w:eastAsia="zh-CN"/>
        </w:rPr>
        <w:t>该指标主要从资金管理和事项管理两个方面考核项目资金支付情况，资金支出的规范性，项目实施的规范性和监管的有效性。指标分值20分，评价得分1</w:t>
      </w:r>
      <w:r>
        <w:rPr>
          <w:rFonts w:hint="eastAsia" w:ascii="仿宋_GB2312" w:hAnsi="仿宋" w:eastAsia="仿宋_GB2312"/>
          <w:b w:val="0"/>
          <w:bCs w:val="0"/>
          <w:color w:val="auto"/>
          <w:sz w:val="32"/>
          <w:highlight w:val="none"/>
          <w:lang w:val="en-US" w:eastAsia="zh-CN"/>
        </w:rPr>
        <w:t>7.71</w:t>
      </w:r>
      <w:r>
        <w:rPr>
          <w:rFonts w:hint="eastAsia" w:ascii="仿宋_GB2312" w:hAnsi="仿宋" w:eastAsia="仿宋_GB2312"/>
          <w:b w:val="0"/>
          <w:bCs w:val="0"/>
          <w:color w:val="auto"/>
          <w:sz w:val="32"/>
          <w:highlight w:val="none"/>
          <w:lang w:eastAsia="zh-CN"/>
        </w:rPr>
        <w:t>分，得分率为</w:t>
      </w:r>
      <w:r>
        <w:rPr>
          <w:rFonts w:hint="eastAsia" w:ascii="仿宋_GB2312" w:hAnsi="仿宋" w:eastAsia="仿宋_GB2312"/>
          <w:b w:val="0"/>
          <w:bCs w:val="0"/>
          <w:color w:val="auto"/>
          <w:sz w:val="32"/>
          <w:highlight w:val="none"/>
          <w:lang w:val="en-US" w:eastAsia="zh-CN"/>
        </w:rPr>
        <w:t>88.55</w:t>
      </w:r>
      <w:r>
        <w:rPr>
          <w:rFonts w:hint="eastAsia" w:ascii="仿宋_GB2312" w:hAnsi="仿宋" w:eastAsia="仿宋_GB2312"/>
          <w:b w:val="0"/>
          <w:bCs w:val="0"/>
          <w:color w:val="auto"/>
          <w:sz w:val="32"/>
          <w:highlight w:val="none"/>
          <w:lang w:eastAsia="zh-CN"/>
        </w:rPr>
        <w:t>%。</w:t>
      </w:r>
    </w:p>
    <w:p>
      <w:pPr>
        <w:pageBreakBefore w:val="0"/>
        <w:widowControl/>
        <w:kinsoku/>
        <w:wordWrap/>
        <w:overflowPunct/>
        <w:topLinePunct w:val="0"/>
        <w:autoSpaceDE/>
        <w:autoSpaceDN/>
        <w:bidi w:val="0"/>
        <w:adjustRightInd/>
        <w:spacing w:before="0" w:after="0" w:line="600" w:lineRule="exact"/>
        <w:ind w:firstLine="640" w:firstLineChars="200"/>
        <w:jc w:val="both"/>
        <w:outlineLvl w:val="2"/>
        <w:rPr>
          <w:rFonts w:hint="eastAsia" w:ascii="仿宋_GB2312" w:hAnsi="仿宋" w:eastAsia="仿宋_GB2312"/>
          <w:b w:val="0"/>
          <w:color w:val="auto"/>
          <w:sz w:val="32"/>
          <w:highlight w:val="none"/>
        </w:rPr>
      </w:pPr>
      <w:r>
        <w:rPr>
          <w:rFonts w:hint="eastAsia" w:ascii="仿宋_GB2312" w:hAnsi="仿宋" w:eastAsia="仿宋_GB2312" w:cs="Times New Roman"/>
          <w:b w:val="0"/>
          <w:bCs w:val="0"/>
          <w:color w:val="auto"/>
          <w:sz w:val="32"/>
          <w:highlight w:val="none"/>
          <w:lang w:val="en-US" w:eastAsia="zh-CN"/>
        </w:rPr>
        <w:t>专项资金实际安排金额9525万元，实际支出7814.52万元，支出率</w:t>
      </w:r>
      <w:r>
        <w:rPr>
          <w:rFonts w:hint="eastAsia" w:ascii="仿宋_GB2312" w:hAnsi="仿宋_GB2312" w:eastAsia="仿宋_GB2312" w:cs="仿宋_GB2312"/>
          <w:color w:val="auto"/>
          <w:sz w:val="32"/>
          <w:highlight w:val="none"/>
          <w:lang w:val="en-US" w:eastAsia="zh-CN"/>
        </w:rPr>
        <w:t>82.04%</w:t>
      </w:r>
      <w:r>
        <w:rPr>
          <w:rFonts w:hint="eastAsia" w:ascii="仿宋_GB2312" w:hAnsi="仿宋" w:eastAsia="仿宋_GB2312" w:cs="Times New Roman"/>
          <w:b w:val="0"/>
          <w:bCs w:val="0"/>
          <w:color w:val="auto"/>
          <w:sz w:val="32"/>
          <w:highlight w:val="none"/>
          <w:lang w:val="en-US" w:eastAsia="zh-CN"/>
        </w:rPr>
        <w:t>。有关地市按专项资金管理办法使用资金，按规定程序实施项目。</w:t>
      </w:r>
      <w:r>
        <w:rPr>
          <w:rFonts w:hint="eastAsia" w:ascii="仿宋_GB2312" w:hAnsi="仿宋" w:eastAsia="仿宋_GB2312" w:cs="Times New Roman"/>
          <w:b w:val="0"/>
          <w:bCs w:val="0"/>
          <w:color w:val="auto"/>
          <w:kern w:val="2"/>
          <w:sz w:val="32"/>
          <w:szCs w:val="32"/>
          <w:highlight w:val="none"/>
          <w:lang w:val="en-US" w:eastAsia="zh-CN" w:bidi="ar-SA"/>
        </w:rPr>
        <w:t>我厅认真做好监管，督促市县</w:t>
      </w:r>
      <w:r>
        <w:rPr>
          <w:rFonts w:ascii="仿宋_GB2312" w:hAnsi="仿宋" w:eastAsia="仿宋_GB2312" w:cs="Times New Roman"/>
          <w:b w:val="0"/>
          <w:bCs w:val="0"/>
          <w:color w:val="auto"/>
          <w:kern w:val="2"/>
          <w:sz w:val="32"/>
          <w:szCs w:val="32"/>
          <w:highlight w:val="none"/>
          <w:lang w:val="en-US" w:eastAsia="zh-CN" w:bidi="ar-SA"/>
        </w:rPr>
        <w:t>落实管理责任</w:t>
      </w:r>
      <w:r>
        <w:rPr>
          <w:rFonts w:hint="eastAsia" w:ascii="仿宋_GB2312" w:hAnsi="仿宋" w:eastAsia="仿宋_GB2312" w:cs="Times New Roman"/>
          <w:b w:val="0"/>
          <w:bCs w:val="0"/>
          <w:color w:val="auto"/>
          <w:kern w:val="2"/>
          <w:sz w:val="32"/>
          <w:szCs w:val="32"/>
          <w:highlight w:val="none"/>
          <w:lang w:val="en-US" w:eastAsia="zh-CN" w:bidi="ar-SA"/>
        </w:rPr>
        <w:t>。存在问题是：资金支出率有待提高，部分地市绩效管理制度落实不够到位。</w:t>
      </w:r>
      <w:bookmarkStart w:id="10" w:name="_Toc42021437"/>
    </w:p>
    <w:p>
      <w:pPr>
        <w:pageBreakBefore w:val="0"/>
        <w:widowControl/>
        <w:kinsoku/>
        <w:wordWrap/>
        <w:overflowPunct/>
        <w:topLinePunct w:val="0"/>
        <w:autoSpaceDE/>
        <w:autoSpaceDN/>
        <w:bidi w:val="0"/>
        <w:adjustRightInd/>
        <w:spacing w:before="0" w:after="0" w:line="600" w:lineRule="exact"/>
        <w:ind w:firstLine="643" w:firstLineChars="200"/>
        <w:jc w:val="both"/>
        <w:outlineLvl w:val="2"/>
        <w:rPr>
          <w:rFonts w:hint="default" w:ascii="仿宋_GB2312" w:hAnsi="仿宋" w:eastAsia="仿宋_GB2312"/>
          <w:color w:val="auto"/>
          <w:sz w:val="32"/>
          <w:highlight w:val="none"/>
        </w:rPr>
      </w:pPr>
      <w:r>
        <w:rPr>
          <w:rFonts w:hint="eastAsia" w:ascii="仿宋_GB2312" w:hAnsi="仿宋" w:eastAsia="仿宋_GB2312"/>
          <w:b/>
          <w:bCs/>
          <w:color w:val="auto"/>
          <w:sz w:val="32"/>
          <w:highlight w:val="none"/>
        </w:rPr>
        <w:t>3.产出。</w:t>
      </w:r>
      <w:bookmarkEnd w:id="10"/>
      <w:r>
        <w:rPr>
          <w:rFonts w:hint="eastAsia" w:ascii="仿宋_GB2312" w:hAnsi="黑体" w:eastAsia="仿宋_GB2312"/>
          <w:color w:val="auto"/>
          <w:sz w:val="32"/>
          <w:highlight w:val="none"/>
        </w:rPr>
        <w:t>该指标主要从经济性和效率性两个方面</w:t>
      </w:r>
      <w:r>
        <w:rPr>
          <w:rFonts w:hint="eastAsia" w:ascii="仿宋_GB2312" w:hAnsi="黑体" w:eastAsia="仿宋_GB2312"/>
          <w:color w:val="auto"/>
          <w:sz w:val="32"/>
          <w:highlight w:val="none"/>
          <w:lang w:eastAsia="zh-CN"/>
        </w:rPr>
        <w:t>考核</w:t>
      </w:r>
      <w:r>
        <w:rPr>
          <w:rFonts w:hint="eastAsia" w:ascii="仿宋_GB2312" w:hAnsi="黑体" w:eastAsia="仿宋_GB2312"/>
          <w:color w:val="auto"/>
          <w:sz w:val="32"/>
          <w:highlight w:val="none"/>
        </w:rPr>
        <w:t>预算执行结果是节约还是超支，项目完成的进度、质量和产出等情况。</w:t>
      </w:r>
      <w:r>
        <w:rPr>
          <w:rFonts w:hint="eastAsia" w:ascii="仿宋_GB2312" w:hAnsi="仿宋_GB2312" w:eastAsia="仿宋_GB2312" w:cs="仿宋_GB2312"/>
          <w:color w:val="auto"/>
          <w:sz w:val="32"/>
          <w:highlight w:val="none"/>
        </w:rPr>
        <w:t>指标分值30分，评价得分</w:t>
      </w:r>
      <w:r>
        <w:rPr>
          <w:rFonts w:hint="eastAsia" w:ascii="仿宋_GB2312" w:hAnsi="仿宋_GB2312" w:eastAsia="仿宋_GB2312" w:cs="仿宋_GB2312"/>
          <w:color w:val="auto"/>
          <w:sz w:val="32"/>
          <w:highlight w:val="none"/>
          <w:lang w:val="en-US" w:eastAsia="zh-CN"/>
        </w:rPr>
        <w:t>26.33</w:t>
      </w:r>
      <w:r>
        <w:rPr>
          <w:rFonts w:hint="eastAsia" w:ascii="仿宋_GB2312" w:hAnsi="仿宋_GB2312" w:eastAsia="仿宋_GB2312" w:cs="仿宋_GB2312"/>
          <w:color w:val="auto"/>
          <w:sz w:val="32"/>
          <w:highlight w:val="none"/>
        </w:rPr>
        <w:t>分，得分率为</w:t>
      </w:r>
      <w:r>
        <w:rPr>
          <w:rFonts w:hint="eastAsia" w:ascii="仿宋_GB2312" w:hAnsi="仿宋_GB2312" w:eastAsia="仿宋_GB2312" w:cs="仿宋_GB2312"/>
          <w:color w:val="auto"/>
          <w:sz w:val="32"/>
          <w:highlight w:val="none"/>
          <w:lang w:val="en-US" w:eastAsia="zh-CN"/>
        </w:rPr>
        <w:t>87.77</w:t>
      </w:r>
      <w:r>
        <w:rPr>
          <w:rFonts w:hint="eastAsia" w:ascii="仿宋_GB2312" w:hAnsi="仿宋_GB2312" w:eastAsia="仿宋_GB2312" w:cs="仿宋_GB2312"/>
          <w:color w:val="auto"/>
          <w:sz w:val="32"/>
          <w:highlight w:val="none"/>
        </w:rPr>
        <w:t>%</w:t>
      </w:r>
      <w:r>
        <w:rPr>
          <w:rFonts w:hint="eastAsia" w:ascii="仿宋_GB2312" w:hAnsi="仿宋" w:eastAsia="仿宋_GB2312"/>
          <w:color w:val="auto"/>
          <w:sz w:val="32"/>
          <w:highlight w:val="none"/>
        </w:rPr>
        <w:t>。</w:t>
      </w:r>
    </w:p>
    <w:p>
      <w:pPr>
        <w:pStyle w:val="12"/>
        <w:pageBreakBefore w:val="0"/>
        <w:kinsoku/>
        <w:wordWrap/>
        <w:overflowPunct/>
        <w:topLinePunct w:val="0"/>
        <w:autoSpaceDE/>
        <w:autoSpaceDN/>
        <w:bidi w:val="0"/>
        <w:adjustRightInd/>
        <w:spacing w:before="0" w:after="0" w:line="600" w:lineRule="exact"/>
        <w:ind w:firstLine="640" w:firstLineChars="200"/>
        <w:jc w:val="both"/>
        <w:outlineLvl w:val="2"/>
        <w:rPr>
          <w:rFonts w:hint="default" w:ascii="仿宋_GB2312" w:hAnsi="仿宋" w:eastAsia="仿宋_GB2312" w:cs="Times New Roman"/>
          <w:b w:val="0"/>
          <w:bCs w:val="0"/>
          <w:color w:val="auto"/>
          <w:highlight w:val="none"/>
          <w:lang w:val="en-US" w:eastAsia="zh-CN"/>
        </w:rPr>
      </w:pPr>
      <w:bookmarkStart w:id="11" w:name="_Toc39921338"/>
      <w:bookmarkStart w:id="12" w:name="_Toc42021438"/>
      <w:bookmarkStart w:id="13" w:name="_Toc41334550"/>
      <w:bookmarkStart w:id="14" w:name="_Toc39323958"/>
      <w:bookmarkStart w:id="15" w:name="_Toc39324255"/>
      <w:bookmarkStart w:id="16" w:name="_Toc29119"/>
      <w:bookmarkStart w:id="17" w:name="_Toc42020747"/>
      <w:r>
        <w:rPr>
          <w:rFonts w:hint="eastAsia" w:ascii="仿宋_GB2312" w:hAnsi="仿宋" w:eastAsia="仿宋_GB2312"/>
          <w:b w:val="0"/>
          <w:color w:val="auto"/>
          <w:sz w:val="32"/>
          <w:highlight w:val="none"/>
          <w:lang w:val="en-US" w:eastAsia="zh-CN"/>
        </w:rPr>
        <w:t>专项资金预算执行情况较好，未发生超支等情况。社区体育公园</w:t>
      </w:r>
      <w:r>
        <w:rPr>
          <w:rFonts w:hint="eastAsia" w:ascii="仿宋_GB2312" w:hAnsi="仿宋" w:eastAsia="仿宋_GB2312" w:cs="Times New Roman"/>
          <w:b w:val="0"/>
          <w:color w:val="auto"/>
          <w:sz w:val="32"/>
          <w:highlight w:val="none"/>
          <w:lang w:val="en-US" w:eastAsia="zh-CN"/>
        </w:rPr>
        <w:t>补助资金大部分项目按照计划完成建设任务。城镇老旧小区改造省级补助资金、农村削坡建房风险排查专项资金均完成了产出绩效指标。</w:t>
      </w:r>
      <w:bookmarkEnd w:id="11"/>
      <w:bookmarkEnd w:id="12"/>
      <w:bookmarkEnd w:id="13"/>
      <w:bookmarkEnd w:id="14"/>
      <w:bookmarkEnd w:id="15"/>
      <w:bookmarkEnd w:id="16"/>
      <w:bookmarkEnd w:id="17"/>
      <w:bookmarkStart w:id="18" w:name="_Toc42021441"/>
      <w:bookmarkStart w:id="19" w:name="_Toc39323962"/>
      <w:bookmarkStart w:id="20" w:name="_Toc30749"/>
      <w:bookmarkStart w:id="21" w:name="_Toc39324259"/>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default" w:ascii="仿宋_GB2312" w:hAnsi="仿宋" w:eastAsia="仿宋_GB2312"/>
          <w:b w:val="0"/>
          <w:bCs w:val="0"/>
          <w:color w:val="auto"/>
          <w:sz w:val="32"/>
          <w:highlight w:val="none"/>
        </w:rPr>
      </w:pPr>
      <w:r>
        <w:rPr>
          <w:rFonts w:hint="eastAsia" w:ascii="仿宋_GB2312" w:eastAsia="仿宋_GB2312"/>
          <w:b/>
          <w:bCs/>
          <w:color w:val="auto"/>
          <w:sz w:val="32"/>
          <w:highlight w:val="none"/>
        </w:rPr>
        <w:t>4.</w:t>
      </w:r>
      <w:r>
        <w:rPr>
          <w:rFonts w:hint="eastAsia" w:ascii="仿宋_GB2312" w:hAnsi="仿宋" w:eastAsia="仿宋_GB2312"/>
          <w:b/>
          <w:bCs/>
          <w:color w:val="auto"/>
          <w:sz w:val="32"/>
          <w:highlight w:val="none"/>
        </w:rPr>
        <w:t>效益</w:t>
      </w:r>
      <w:r>
        <w:rPr>
          <w:rFonts w:hint="eastAsia" w:ascii="仿宋_GB2312" w:eastAsia="仿宋_GB2312"/>
          <w:b/>
          <w:bCs/>
          <w:color w:val="auto"/>
          <w:sz w:val="32"/>
          <w:highlight w:val="none"/>
        </w:rPr>
        <w:t>。</w:t>
      </w:r>
      <w:bookmarkEnd w:id="18"/>
      <w:r>
        <w:rPr>
          <w:rFonts w:hint="eastAsia" w:ascii="仿宋_GB2312" w:hAnsi="仿宋" w:eastAsia="仿宋_GB2312"/>
          <w:b w:val="0"/>
          <w:bCs w:val="0"/>
          <w:color w:val="auto"/>
          <w:sz w:val="32"/>
          <w:highlight w:val="none"/>
        </w:rPr>
        <w:t>该指标主要从效果性和公平性两个方面考核</w:t>
      </w:r>
      <w:r>
        <w:rPr>
          <w:rFonts w:hint="eastAsia" w:ascii="仿宋_GB2312" w:hAnsi="仿宋" w:eastAsia="仿宋_GB2312"/>
          <w:b w:val="0"/>
          <w:bCs w:val="0"/>
          <w:color w:val="auto"/>
          <w:sz w:val="32"/>
          <w:highlight w:val="none"/>
          <w:lang w:eastAsia="zh-CN"/>
        </w:rPr>
        <w:t>项目</w:t>
      </w:r>
      <w:r>
        <w:rPr>
          <w:rFonts w:hint="eastAsia" w:ascii="仿宋_GB2312" w:hAnsi="仿宋" w:eastAsia="仿宋_GB2312"/>
          <w:b w:val="0"/>
          <w:bCs w:val="0"/>
          <w:color w:val="auto"/>
          <w:sz w:val="32"/>
          <w:highlight w:val="none"/>
        </w:rPr>
        <w:t>产生和带动的社会经济效益，以及公众对项目的满意度。指标分值30分，评价得分2</w:t>
      </w:r>
      <w:r>
        <w:rPr>
          <w:rFonts w:hint="eastAsia" w:ascii="仿宋_GB2312" w:hAnsi="仿宋" w:eastAsia="仿宋_GB2312"/>
          <w:b w:val="0"/>
          <w:bCs w:val="0"/>
          <w:color w:val="auto"/>
          <w:sz w:val="32"/>
          <w:highlight w:val="none"/>
          <w:lang w:val="en-US" w:eastAsia="zh-CN"/>
        </w:rPr>
        <w:t>8</w:t>
      </w:r>
      <w:r>
        <w:rPr>
          <w:rFonts w:hint="eastAsia" w:ascii="仿宋_GB2312" w:hAnsi="仿宋" w:eastAsia="仿宋_GB2312"/>
          <w:b w:val="0"/>
          <w:bCs w:val="0"/>
          <w:color w:val="auto"/>
          <w:sz w:val="32"/>
          <w:highlight w:val="none"/>
        </w:rPr>
        <w:t>.</w:t>
      </w:r>
      <w:r>
        <w:rPr>
          <w:rFonts w:hint="eastAsia" w:ascii="仿宋_GB2312" w:hAnsi="仿宋" w:eastAsia="仿宋_GB2312"/>
          <w:b w:val="0"/>
          <w:bCs w:val="0"/>
          <w:color w:val="auto"/>
          <w:sz w:val="32"/>
          <w:highlight w:val="none"/>
          <w:lang w:val="en-US" w:eastAsia="zh-CN"/>
        </w:rPr>
        <w:t>22</w:t>
      </w:r>
      <w:r>
        <w:rPr>
          <w:rFonts w:hint="eastAsia" w:ascii="仿宋_GB2312" w:hAnsi="仿宋" w:eastAsia="仿宋_GB2312"/>
          <w:b w:val="0"/>
          <w:bCs w:val="0"/>
          <w:color w:val="auto"/>
          <w:sz w:val="32"/>
          <w:highlight w:val="none"/>
        </w:rPr>
        <w:t>分，得分率为9</w:t>
      </w:r>
      <w:r>
        <w:rPr>
          <w:rFonts w:hint="eastAsia" w:ascii="仿宋_GB2312" w:hAnsi="仿宋" w:eastAsia="仿宋_GB2312"/>
          <w:b w:val="0"/>
          <w:bCs w:val="0"/>
          <w:color w:val="auto"/>
          <w:sz w:val="32"/>
          <w:highlight w:val="none"/>
          <w:lang w:val="en-US" w:eastAsia="zh-CN"/>
        </w:rPr>
        <w:t>4.07</w:t>
      </w:r>
      <w:r>
        <w:rPr>
          <w:rFonts w:hint="eastAsia" w:ascii="仿宋_GB2312" w:hAnsi="仿宋" w:eastAsia="仿宋_GB2312"/>
          <w:b w:val="0"/>
          <w:bCs w:val="0"/>
          <w:color w:val="auto"/>
          <w:sz w:val="32"/>
          <w:highlight w:val="none"/>
        </w:rPr>
        <w:t>%。</w:t>
      </w:r>
      <w:bookmarkEnd w:id="19"/>
      <w:bookmarkEnd w:id="20"/>
      <w:bookmarkEnd w:id="21"/>
    </w:p>
    <w:p>
      <w:pPr>
        <w:pStyle w:val="12"/>
        <w:pageBreakBefore w:val="0"/>
        <w:kinsoku/>
        <w:wordWrap/>
        <w:overflowPunct/>
        <w:topLinePunct w:val="0"/>
        <w:autoSpaceDE/>
        <w:autoSpaceDN/>
        <w:bidi w:val="0"/>
        <w:adjustRightInd/>
        <w:spacing w:before="0" w:after="0" w:line="600" w:lineRule="exact"/>
        <w:ind w:firstLine="640" w:firstLineChars="200"/>
        <w:jc w:val="both"/>
        <w:outlineLvl w:val="2"/>
        <w:rPr>
          <w:rFonts w:hint="eastAsia" w:ascii="仿宋_GB2312" w:hAnsi="仿宋" w:eastAsia="仿宋_GB2312" w:cs="Times New Roman"/>
          <w:b w:val="0"/>
          <w:bCs w:val="0"/>
          <w:color w:val="auto"/>
          <w:highlight w:val="none"/>
          <w:lang w:val="en-US" w:eastAsia="zh-CN"/>
        </w:rPr>
      </w:pPr>
      <w:bookmarkStart w:id="22" w:name="_Toc41334554"/>
      <w:bookmarkStart w:id="23" w:name="_Toc42020752"/>
      <w:bookmarkStart w:id="24" w:name="_Toc42021443"/>
      <w:r>
        <w:rPr>
          <w:rFonts w:hint="eastAsia" w:ascii="仿宋_GB2312" w:hAnsi="仿宋" w:eastAsia="仿宋_GB2312" w:cs="Times New Roman"/>
          <w:b w:val="0"/>
          <w:bCs w:val="0"/>
          <w:color w:val="auto"/>
          <w:highlight w:val="none"/>
          <w:lang w:val="en-US" w:eastAsia="zh-CN"/>
        </w:rPr>
        <w:t>根据综合评价情况，项目实际效果良好，基本实现了效益绩效目标，产生了良好的社会效益，人民群众的满意度较高。</w:t>
      </w:r>
      <w:bookmarkEnd w:id="22"/>
      <w:bookmarkEnd w:id="23"/>
      <w:bookmarkEnd w:id="24"/>
    </w:p>
    <w:p>
      <w:pPr>
        <w:pStyle w:val="3"/>
        <w:pageBreakBefore w:val="0"/>
        <w:kinsoku/>
        <w:wordWrap/>
        <w:overflowPunct/>
        <w:topLinePunct w:val="0"/>
        <w:autoSpaceDE/>
        <w:autoSpaceDN/>
        <w:bidi w:val="0"/>
        <w:adjustRightInd/>
        <w:spacing w:before="0" w:after="0" w:line="600" w:lineRule="exact"/>
        <w:ind w:firstLine="640" w:firstLineChars="200"/>
        <w:rPr>
          <w:rFonts w:hint="eastAsia" w:ascii="Calibri" w:hAnsi="宋体"/>
          <w:b w:val="0"/>
          <w:bCs w:val="0"/>
          <w:color w:val="auto"/>
          <w:highlight w:val="none"/>
        </w:rPr>
      </w:pPr>
      <w:bookmarkStart w:id="25" w:name="_Toc42021444"/>
      <w:r>
        <w:rPr>
          <w:rFonts w:hint="eastAsia" w:ascii="Calibri" w:hAnsi="宋体"/>
          <w:b w:val="0"/>
          <w:bCs w:val="0"/>
          <w:color w:val="auto"/>
          <w:highlight w:val="none"/>
        </w:rPr>
        <w:t>（</w:t>
      </w:r>
      <w:r>
        <w:rPr>
          <w:rFonts w:hint="eastAsia" w:ascii="Calibri" w:hAnsi="宋体"/>
          <w:b w:val="0"/>
          <w:bCs w:val="0"/>
          <w:color w:val="auto"/>
          <w:highlight w:val="none"/>
          <w:lang w:eastAsia="zh-CN"/>
        </w:rPr>
        <w:t>二</w:t>
      </w:r>
      <w:r>
        <w:rPr>
          <w:rFonts w:hint="eastAsia" w:ascii="Calibri" w:hAnsi="宋体"/>
          <w:b w:val="0"/>
          <w:bCs w:val="0"/>
          <w:color w:val="auto"/>
          <w:highlight w:val="none"/>
        </w:rPr>
        <w:t>）专项资金使用绩效</w:t>
      </w:r>
      <w:bookmarkEnd w:id="25"/>
    </w:p>
    <w:p>
      <w:pPr>
        <w:pStyle w:val="4"/>
        <w:keepNext/>
        <w:keepLines/>
        <w:pageBreakBefore w:val="0"/>
        <w:widowControl w:val="0"/>
        <w:kinsoku/>
        <w:wordWrap/>
        <w:overflowPunct/>
        <w:topLinePunct w:val="0"/>
        <w:autoSpaceDE/>
        <w:autoSpaceDN/>
        <w:bidi w:val="0"/>
        <w:adjustRightInd/>
        <w:snapToGrid/>
        <w:spacing w:before="0" w:after="0" w:line="600" w:lineRule="exact"/>
        <w:ind w:firstLine="643" w:firstLineChars="200"/>
        <w:textAlignment w:val="auto"/>
        <w:rPr>
          <w:rFonts w:hint="eastAsia" w:ascii="仿宋_GB2312" w:hAnsi="仿宋" w:eastAsia="仿宋_GB2312"/>
          <w:color w:val="auto"/>
          <w:sz w:val="32"/>
          <w:highlight w:val="none"/>
        </w:rPr>
      </w:pPr>
      <w:bookmarkStart w:id="26" w:name="_Toc42021445"/>
      <w:r>
        <w:rPr>
          <w:rFonts w:hint="eastAsia" w:ascii="仿宋_GB2312" w:hAnsi="仿宋" w:eastAsia="仿宋_GB2312"/>
          <w:b/>
          <w:bCs/>
          <w:color w:val="auto"/>
          <w:sz w:val="32"/>
          <w:highlight w:val="none"/>
        </w:rPr>
        <w:t>1.专</w:t>
      </w:r>
      <w:r>
        <w:rPr>
          <w:rStyle w:val="14"/>
          <w:rFonts w:hint="eastAsia" w:ascii="仿宋_GB2312" w:hAnsi="仿宋" w:eastAsia="仿宋_GB2312"/>
          <w:b/>
          <w:bCs/>
          <w:color w:val="auto"/>
          <w:sz w:val="32"/>
          <w:highlight w:val="none"/>
        </w:rPr>
        <w:t>项</w:t>
      </w:r>
      <w:r>
        <w:rPr>
          <w:rFonts w:hint="eastAsia" w:ascii="仿宋_GB2312" w:hAnsi="Times New Roman" w:eastAsia="仿宋_GB2312" w:cs="Times New Roman"/>
          <w:b/>
          <w:bCs/>
          <w:color w:val="auto"/>
          <w:kern w:val="2"/>
          <w:sz w:val="32"/>
          <w:szCs w:val="24"/>
          <w:highlight w:val="none"/>
          <w:lang w:val="en-US" w:eastAsia="zh-CN" w:bidi="ar-SA"/>
        </w:rPr>
        <w:t>资金</w:t>
      </w:r>
      <w:r>
        <w:rPr>
          <w:rStyle w:val="14"/>
          <w:rFonts w:hint="eastAsia" w:ascii="仿宋_GB2312" w:hAnsi="仿宋" w:eastAsia="仿宋_GB2312"/>
          <w:b/>
          <w:bCs/>
          <w:color w:val="auto"/>
          <w:sz w:val="32"/>
          <w:highlight w:val="none"/>
        </w:rPr>
        <w:t>支出情况</w:t>
      </w:r>
      <w:r>
        <w:rPr>
          <w:rFonts w:hint="eastAsia" w:ascii="仿宋_GB2312" w:hAnsi="仿宋" w:eastAsia="仿宋_GB2312"/>
          <w:b/>
          <w:bCs/>
          <w:color w:val="auto"/>
          <w:sz w:val="32"/>
          <w:highlight w:val="none"/>
        </w:rPr>
        <w:t>。</w:t>
      </w:r>
      <w:bookmarkEnd w:id="26"/>
    </w:p>
    <w:p>
      <w:pPr>
        <w:pageBreakBefore w:val="0"/>
        <w:kinsoku/>
        <w:wordWrap/>
        <w:overflowPunct/>
        <w:topLinePunct w:val="0"/>
        <w:autoSpaceDE/>
        <w:autoSpaceDN/>
        <w:bidi w:val="0"/>
        <w:adjustRightInd/>
        <w:spacing w:line="600" w:lineRule="exact"/>
        <w:ind w:firstLine="640" w:firstLineChars="200"/>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rPr>
        <w:t>根据有关</w:t>
      </w:r>
      <w:r>
        <w:rPr>
          <w:rFonts w:hint="eastAsia" w:ascii="仿宋_GB2312" w:hAnsi="仿宋_GB2312" w:eastAsia="仿宋_GB2312" w:cs="仿宋_GB2312"/>
          <w:color w:val="auto"/>
          <w:sz w:val="32"/>
          <w:highlight w:val="none"/>
          <w:lang w:eastAsia="zh-CN"/>
        </w:rPr>
        <w:t>市</w:t>
      </w:r>
      <w:r>
        <w:rPr>
          <w:rFonts w:hint="eastAsia" w:ascii="仿宋_GB2312" w:hAnsi="仿宋_GB2312" w:eastAsia="仿宋_GB2312" w:cs="仿宋_GB2312"/>
          <w:color w:val="auto"/>
          <w:sz w:val="32"/>
          <w:highlight w:val="none"/>
        </w:rPr>
        <w:t>县报送的自评材料统计，省财政共</w:t>
      </w:r>
      <w:r>
        <w:rPr>
          <w:rFonts w:hint="eastAsia" w:ascii="仿宋_GB2312" w:hAnsi="仿宋_GB2312" w:eastAsia="仿宋_GB2312" w:cs="仿宋_GB2312"/>
          <w:color w:val="auto"/>
          <w:sz w:val="32"/>
          <w:highlight w:val="none"/>
          <w:lang w:eastAsia="zh-CN"/>
        </w:rPr>
        <w:t>下达预算</w:t>
      </w:r>
      <w:r>
        <w:rPr>
          <w:rFonts w:hint="eastAsia" w:ascii="仿宋_GB2312" w:hAnsi="仿宋_GB2312" w:eastAsia="仿宋_GB2312" w:cs="仿宋_GB2312"/>
          <w:color w:val="auto"/>
          <w:sz w:val="32"/>
          <w:highlight w:val="none"/>
          <w:lang w:val="en-US" w:eastAsia="zh-CN"/>
        </w:rPr>
        <w:t>10200万元，年中</w:t>
      </w:r>
      <w:r>
        <w:rPr>
          <w:rFonts w:hint="eastAsia" w:ascii="仿宋_GB2312" w:hAnsi="仿宋_GB2312" w:eastAsia="仿宋_GB2312" w:cs="仿宋_GB2312"/>
          <w:color w:val="auto"/>
          <w:sz w:val="32"/>
          <w:highlight w:val="none"/>
          <w:lang w:eastAsia="zh-CN"/>
        </w:rPr>
        <w:t>压减、</w:t>
      </w:r>
      <w:r>
        <w:rPr>
          <w:rFonts w:hint="eastAsia" w:ascii="仿宋_GB2312" w:hAnsi="仿宋_GB2312" w:eastAsia="仿宋_GB2312" w:cs="仿宋_GB2312"/>
          <w:color w:val="auto"/>
          <w:sz w:val="32"/>
          <w:highlight w:val="none"/>
        </w:rPr>
        <w:t>收回</w:t>
      </w:r>
      <w:r>
        <w:rPr>
          <w:rFonts w:hint="eastAsia" w:ascii="仿宋_GB2312" w:hAnsi="仿宋_GB2312" w:eastAsia="仿宋_GB2312" w:cs="仿宋_GB2312"/>
          <w:color w:val="auto"/>
          <w:sz w:val="32"/>
          <w:highlight w:val="none"/>
          <w:lang w:val="en-US" w:eastAsia="zh-CN"/>
        </w:rPr>
        <w:t>社区体育公园补助资金</w:t>
      </w:r>
      <w:r>
        <w:rPr>
          <w:rFonts w:hint="eastAsia" w:ascii="仿宋_GB2312" w:hAnsi="仿宋_GB2312" w:eastAsia="仿宋_GB2312" w:cs="仿宋_GB2312"/>
          <w:color w:val="auto"/>
          <w:sz w:val="32"/>
          <w:highlight w:val="none"/>
        </w:rPr>
        <w:t>675万元，实际安排</w:t>
      </w:r>
      <w:r>
        <w:rPr>
          <w:rFonts w:hint="eastAsia" w:ascii="仿宋_GB2312" w:hAnsi="仿宋_GB2312" w:eastAsia="仿宋_GB2312" w:cs="仿宋_GB2312"/>
          <w:color w:val="auto"/>
          <w:sz w:val="32"/>
          <w:highlight w:val="none"/>
          <w:lang w:eastAsia="zh-CN"/>
        </w:rPr>
        <w:t>金额</w:t>
      </w:r>
      <w:r>
        <w:rPr>
          <w:rFonts w:hint="eastAsia" w:ascii="仿宋_GB2312" w:hAnsi="仿宋_GB2312" w:eastAsia="仿宋_GB2312" w:cs="仿宋_GB2312"/>
          <w:color w:val="auto"/>
          <w:sz w:val="32"/>
          <w:highlight w:val="none"/>
          <w:lang w:val="en-US" w:eastAsia="zh-CN"/>
        </w:rPr>
        <w:t>9525</w:t>
      </w:r>
      <w:r>
        <w:rPr>
          <w:rFonts w:hint="eastAsia" w:ascii="仿宋_GB2312" w:hAnsi="仿宋_GB2312" w:eastAsia="仿宋_GB2312" w:cs="仿宋_GB2312"/>
          <w:color w:val="auto"/>
          <w:sz w:val="32"/>
          <w:highlight w:val="none"/>
        </w:rPr>
        <w:t>万元，</w:t>
      </w:r>
      <w:r>
        <w:rPr>
          <w:rFonts w:hint="eastAsia" w:ascii="仿宋_GB2312" w:hAnsi="仿宋_GB2312" w:eastAsia="仿宋_GB2312" w:cs="仿宋_GB2312"/>
          <w:color w:val="auto"/>
          <w:sz w:val="32"/>
          <w:highlight w:val="none"/>
          <w:lang w:eastAsia="zh-CN"/>
        </w:rPr>
        <w:t>实际安排的资金</w:t>
      </w:r>
      <w:r>
        <w:rPr>
          <w:rFonts w:hint="eastAsia" w:ascii="仿宋_GB2312" w:hAnsi="仿宋_GB2312" w:eastAsia="仿宋_GB2312" w:cs="仿宋_GB2312"/>
          <w:color w:val="auto"/>
          <w:sz w:val="32"/>
          <w:highlight w:val="none"/>
        </w:rPr>
        <w:t>已足额落实到位。实际支出</w:t>
      </w:r>
      <w:r>
        <w:rPr>
          <w:rFonts w:hint="eastAsia" w:ascii="仿宋_GB2312" w:hAnsi="仿宋_GB2312" w:eastAsia="仿宋_GB2312" w:cs="仿宋_GB2312"/>
          <w:color w:val="auto"/>
          <w:sz w:val="32"/>
          <w:highlight w:val="none"/>
          <w:lang w:val="en-US" w:eastAsia="zh-CN"/>
        </w:rPr>
        <w:t>7814.52</w:t>
      </w:r>
      <w:r>
        <w:rPr>
          <w:rFonts w:hint="eastAsia" w:ascii="仿宋_GB2312" w:hAnsi="仿宋_GB2312" w:eastAsia="仿宋_GB2312" w:cs="仿宋_GB2312"/>
          <w:color w:val="auto"/>
          <w:sz w:val="32"/>
          <w:highlight w:val="none"/>
        </w:rPr>
        <w:t>万元，支出率</w:t>
      </w:r>
      <w:r>
        <w:rPr>
          <w:rFonts w:hint="eastAsia" w:ascii="仿宋_GB2312" w:hAnsi="仿宋_GB2312" w:eastAsia="仿宋_GB2312" w:cs="仿宋_GB2312"/>
          <w:color w:val="auto"/>
          <w:sz w:val="32"/>
          <w:highlight w:val="none"/>
          <w:lang w:val="en-US" w:eastAsia="zh-CN"/>
        </w:rPr>
        <w:t>为82.04%</w:t>
      </w:r>
      <w:r>
        <w:rPr>
          <w:rFonts w:hint="eastAsia" w:ascii="仿宋_GB2312" w:hAnsi="仿宋" w:eastAsia="仿宋_GB2312" w:cs="Times New Roman"/>
          <w:color w:val="auto"/>
          <w:sz w:val="32"/>
          <w:highlight w:val="none"/>
          <w:lang w:val="en-US" w:eastAsia="zh-CN"/>
        </w:rPr>
        <w:t>。</w:t>
      </w:r>
      <w:bookmarkStart w:id="27" w:name="_Toc42021446"/>
      <w:r>
        <w:rPr>
          <w:rFonts w:hint="eastAsia" w:ascii="仿宋_GB2312" w:hAnsi="仿宋" w:eastAsia="仿宋_GB2312" w:cs="Times New Roman"/>
          <w:color w:val="auto"/>
          <w:sz w:val="32"/>
          <w:highlight w:val="none"/>
          <w:lang w:val="en-US" w:eastAsia="zh-CN"/>
        </w:rPr>
        <w:t>详见</w:t>
      </w:r>
      <w:r>
        <w:rPr>
          <w:rFonts w:hint="eastAsia" w:ascii="仿宋_GB2312" w:hAnsi="仿宋_GB2312" w:eastAsia="仿宋_GB2312" w:cs="仿宋_GB2312"/>
          <w:color w:val="auto"/>
          <w:sz w:val="32"/>
          <w:highlight w:val="none"/>
          <w:lang w:val="en-US" w:eastAsia="zh-CN"/>
        </w:rPr>
        <w:t>表2-2。</w:t>
      </w:r>
    </w:p>
    <w:p>
      <w:pPr>
        <w:pageBreakBefore w:val="0"/>
        <w:kinsoku/>
        <w:wordWrap/>
        <w:overflowPunct/>
        <w:topLinePunct w:val="0"/>
        <w:autoSpaceDE/>
        <w:autoSpaceDN/>
        <w:bidi w:val="0"/>
        <w:adjustRightInd/>
        <w:spacing w:line="600" w:lineRule="exact"/>
        <w:rPr>
          <w:rFonts w:hint="default"/>
          <w:lang w:val="en-US" w:eastAsia="zh-CN"/>
        </w:rPr>
      </w:pPr>
    </w:p>
    <w:tbl>
      <w:tblPr>
        <w:tblStyle w:val="17"/>
        <w:tblW w:w="8280" w:type="dxa"/>
        <w:jc w:val="center"/>
        <w:tblInd w:w="0" w:type="dxa"/>
        <w:shd w:val="clear" w:color="auto" w:fill="auto"/>
        <w:tblLayout w:type="fixed"/>
        <w:tblCellMar>
          <w:top w:w="0" w:type="dxa"/>
          <w:left w:w="108" w:type="dxa"/>
          <w:bottom w:w="0" w:type="dxa"/>
          <w:right w:w="108" w:type="dxa"/>
        </w:tblCellMar>
      </w:tblPr>
      <w:tblGrid>
        <w:gridCol w:w="4344"/>
        <w:gridCol w:w="939"/>
        <w:gridCol w:w="373"/>
        <w:gridCol w:w="1312"/>
        <w:gridCol w:w="1312"/>
      </w:tblGrid>
      <w:tr>
        <w:tblPrEx>
          <w:shd w:val="clear" w:color="auto" w:fill="auto"/>
          <w:tblLayout w:type="fixed"/>
          <w:tblCellMar>
            <w:top w:w="0" w:type="dxa"/>
            <w:left w:w="108" w:type="dxa"/>
            <w:bottom w:w="0" w:type="dxa"/>
            <w:right w:w="108" w:type="dxa"/>
          </w:tblCellMar>
        </w:tblPrEx>
        <w:trPr>
          <w:trHeight w:val="312" w:hRule="atLeast"/>
          <w:jc w:val="center"/>
        </w:trPr>
        <w:tc>
          <w:tcPr>
            <w:tcW w:w="8280" w:type="dxa"/>
            <w:gridSpan w:val="5"/>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8"/>
                <w:szCs w:val="28"/>
                <w:u w:val="none"/>
                <w:lang w:val="en-US" w:eastAsia="zh-CN" w:bidi="ar"/>
              </w:rPr>
              <w:t>表2-2 2020年住房和城乡建设专项资金支出情况表</w:t>
            </w:r>
          </w:p>
        </w:tc>
      </w:tr>
      <w:tr>
        <w:tblPrEx>
          <w:tblLayout w:type="fixed"/>
          <w:tblCellMar>
            <w:top w:w="0" w:type="dxa"/>
            <w:left w:w="108" w:type="dxa"/>
            <w:bottom w:w="0" w:type="dxa"/>
            <w:right w:w="108" w:type="dxa"/>
          </w:tblCellMar>
        </w:tblPrEx>
        <w:trPr>
          <w:trHeight w:val="312" w:hRule="atLeast"/>
          <w:jc w:val="center"/>
        </w:trPr>
        <w:tc>
          <w:tcPr>
            <w:tcW w:w="4344" w:type="dxa"/>
            <w:tcBorders>
              <w:top w:val="nil"/>
              <w:left w:val="nil"/>
              <w:bottom w:val="nil"/>
              <w:right w:val="nil"/>
            </w:tcBorders>
            <w:shd w:val="clear" w:color="auto" w:fill="auto"/>
            <w:vAlign w:val="center"/>
          </w:tcPr>
          <w:p>
            <w:pPr>
              <w:pageBreakBefore w:val="0"/>
              <w:kinsoku/>
              <w:wordWrap/>
              <w:overflowPunct/>
              <w:topLinePunct w:val="0"/>
              <w:autoSpaceDE/>
              <w:autoSpaceDN/>
              <w:bidi w:val="0"/>
              <w:adjustRightInd/>
              <w:spacing w:line="600" w:lineRule="exact"/>
              <w:jc w:val="center"/>
              <w:rPr>
                <w:rFonts w:hint="eastAsia" w:ascii="黑体" w:hAnsi="宋体" w:eastAsia="黑体" w:cs="黑体"/>
                <w:i w:val="0"/>
                <w:iCs w:val="0"/>
                <w:color w:val="000000"/>
                <w:sz w:val="24"/>
                <w:szCs w:val="24"/>
                <w:u w:val="none"/>
              </w:rPr>
            </w:pPr>
          </w:p>
        </w:tc>
        <w:tc>
          <w:tcPr>
            <w:tcW w:w="939" w:type="dxa"/>
            <w:tcBorders>
              <w:top w:val="nil"/>
              <w:left w:val="nil"/>
              <w:bottom w:val="nil"/>
              <w:right w:val="nil"/>
            </w:tcBorders>
            <w:shd w:val="clear" w:color="auto" w:fill="auto"/>
            <w:vAlign w:val="center"/>
          </w:tcPr>
          <w:p>
            <w:pPr>
              <w:pageBreakBefore w:val="0"/>
              <w:kinsoku/>
              <w:wordWrap/>
              <w:overflowPunct/>
              <w:topLinePunct w:val="0"/>
              <w:autoSpaceDE/>
              <w:autoSpaceDN/>
              <w:bidi w:val="0"/>
              <w:adjustRightInd/>
              <w:spacing w:line="600" w:lineRule="exact"/>
              <w:jc w:val="center"/>
              <w:rPr>
                <w:rFonts w:hint="eastAsia" w:ascii="黑体" w:hAnsi="宋体" w:eastAsia="黑体" w:cs="黑体"/>
                <w:i w:val="0"/>
                <w:iCs w:val="0"/>
                <w:color w:val="000000"/>
                <w:sz w:val="24"/>
                <w:szCs w:val="24"/>
                <w:u w:val="none"/>
              </w:rPr>
            </w:pPr>
          </w:p>
        </w:tc>
        <w:tc>
          <w:tcPr>
            <w:tcW w:w="2997" w:type="dxa"/>
            <w:gridSpan w:val="3"/>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ascii="仿宋_GB2312" w:hAnsi="宋体" w:eastAsia="仿宋_GB2312" w:cs="仿宋_GB2312"/>
                <w:i w:val="0"/>
                <w:iCs w:val="0"/>
                <w:color w:val="000000"/>
                <w:sz w:val="22"/>
                <w:szCs w:val="22"/>
                <w:u w:val="none"/>
              </w:rPr>
            </w:pPr>
            <w:r>
              <w:rPr>
                <w:rFonts w:hint="default" w:ascii="仿宋_GB2312" w:hAnsi="宋体" w:eastAsia="仿宋_GB2312" w:cs="仿宋_GB2312"/>
                <w:i w:val="0"/>
                <w:iCs w:val="0"/>
                <w:color w:val="000000"/>
                <w:kern w:val="0"/>
                <w:sz w:val="22"/>
                <w:szCs w:val="22"/>
                <w:u w:val="none"/>
                <w:lang w:val="en-US" w:eastAsia="zh-CN" w:bidi="ar"/>
              </w:rPr>
              <w:t>金额单位：万元</w:t>
            </w:r>
          </w:p>
        </w:tc>
      </w:tr>
      <w:tr>
        <w:tblPrEx>
          <w:tblLayout w:type="fixed"/>
          <w:tblCellMar>
            <w:top w:w="0" w:type="dxa"/>
            <w:left w:w="108" w:type="dxa"/>
            <w:bottom w:w="0" w:type="dxa"/>
            <w:right w:w="108" w:type="dxa"/>
          </w:tblCellMar>
        </w:tblPrEx>
        <w:trPr>
          <w:trHeight w:val="385" w:hRule="atLeast"/>
          <w:jc w:val="center"/>
        </w:trPr>
        <w:tc>
          <w:tcPr>
            <w:tcW w:w="4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政策任务</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预算数</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支出数</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b/>
                <w:bCs/>
                <w:i w:val="0"/>
                <w:iCs w:val="0"/>
                <w:color w:val="000000"/>
                <w:sz w:val="24"/>
                <w:szCs w:val="24"/>
                <w:u w:val="none"/>
              </w:rPr>
            </w:pPr>
            <w:r>
              <w:rPr>
                <w:rFonts w:hint="default" w:ascii="仿宋_GB2312" w:hAnsi="宋体" w:eastAsia="仿宋_GB2312" w:cs="仿宋_GB2312"/>
                <w:b/>
                <w:bCs/>
                <w:i w:val="0"/>
                <w:iCs w:val="0"/>
                <w:color w:val="000000"/>
                <w:kern w:val="0"/>
                <w:sz w:val="24"/>
                <w:szCs w:val="24"/>
                <w:u w:val="none"/>
                <w:lang w:val="en-US" w:eastAsia="zh-CN" w:bidi="ar"/>
              </w:rPr>
              <w:t>支出率</w:t>
            </w:r>
          </w:p>
        </w:tc>
      </w:tr>
      <w:tr>
        <w:tblPrEx>
          <w:tblLayout w:type="fixed"/>
          <w:tblCellMar>
            <w:top w:w="0" w:type="dxa"/>
            <w:left w:w="108" w:type="dxa"/>
            <w:bottom w:w="0" w:type="dxa"/>
            <w:right w:w="108" w:type="dxa"/>
          </w:tblCellMar>
        </w:tblPrEx>
        <w:trPr>
          <w:trHeight w:val="385" w:hRule="atLeast"/>
          <w:jc w:val="center"/>
        </w:trPr>
        <w:tc>
          <w:tcPr>
            <w:tcW w:w="4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合计</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9525</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eastAsia" w:ascii="仿宋_GB2312" w:hAnsi="宋体" w:eastAsia="仿宋_GB2312" w:cs="仿宋_GB2312"/>
                <w:i w:val="0"/>
                <w:iCs w:val="0"/>
                <w:color w:val="auto"/>
                <w:sz w:val="24"/>
                <w:szCs w:val="24"/>
                <w:u w:val="none"/>
                <w:lang w:val="en-US" w:eastAsia="zh-CN"/>
              </w:rPr>
              <w:t>7814</w:t>
            </w:r>
            <w:r>
              <w:rPr>
                <w:rFonts w:hint="default" w:ascii="仿宋_GB2312" w:hAnsi="宋体" w:eastAsia="仿宋_GB2312" w:cs="仿宋_GB2312"/>
                <w:i w:val="0"/>
                <w:iCs w:val="0"/>
                <w:color w:val="auto"/>
                <w:sz w:val="24"/>
                <w:szCs w:val="24"/>
                <w:u w:val="none"/>
                <w:lang w:val="en-US" w:eastAsia="zh-CN"/>
              </w:rPr>
              <w:t>.52</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sz w:val="24"/>
                <w:szCs w:val="24"/>
                <w:u w:val="none"/>
                <w:lang w:val="en-US" w:eastAsia="zh-CN"/>
              </w:rPr>
              <w:t>8</w:t>
            </w:r>
            <w:r>
              <w:rPr>
                <w:rFonts w:hint="eastAsia" w:ascii="仿宋_GB2312" w:hAnsi="宋体" w:eastAsia="仿宋_GB2312" w:cs="仿宋_GB2312"/>
                <w:i w:val="0"/>
                <w:iCs w:val="0"/>
                <w:color w:val="auto"/>
                <w:sz w:val="24"/>
                <w:szCs w:val="24"/>
                <w:u w:val="none"/>
                <w:lang w:val="en-US" w:eastAsia="zh-CN"/>
              </w:rPr>
              <w:t>2</w:t>
            </w:r>
            <w:r>
              <w:rPr>
                <w:rFonts w:hint="default" w:ascii="仿宋_GB2312" w:hAnsi="宋体" w:eastAsia="仿宋_GB2312" w:cs="仿宋_GB2312"/>
                <w:i w:val="0"/>
                <w:iCs w:val="0"/>
                <w:color w:val="auto"/>
                <w:sz w:val="24"/>
                <w:szCs w:val="24"/>
                <w:u w:val="none"/>
                <w:lang w:val="en-US" w:eastAsia="zh-CN"/>
              </w:rPr>
              <w:t>.</w:t>
            </w:r>
            <w:r>
              <w:rPr>
                <w:rFonts w:hint="eastAsia" w:ascii="仿宋_GB2312" w:hAnsi="宋体" w:eastAsia="仿宋_GB2312" w:cs="仿宋_GB2312"/>
                <w:i w:val="0"/>
                <w:iCs w:val="0"/>
                <w:color w:val="auto"/>
                <w:sz w:val="24"/>
                <w:szCs w:val="24"/>
                <w:u w:val="none"/>
                <w:lang w:val="en-US" w:eastAsia="zh-CN"/>
              </w:rPr>
              <w:t>04</w:t>
            </w:r>
            <w:r>
              <w:rPr>
                <w:rFonts w:hint="default" w:ascii="仿宋_GB2312" w:hAnsi="宋体" w:eastAsia="仿宋_GB2312" w:cs="仿宋_GB2312"/>
                <w:i w:val="0"/>
                <w:iCs w:val="0"/>
                <w:color w:val="auto"/>
                <w:sz w:val="24"/>
                <w:szCs w:val="24"/>
                <w:u w:val="none"/>
                <w:lang w:val="en-US" w:eastAsia="zh-CN"/>
              </w:rPr>
              <w:t>%</w:t>
            </w:r>
          </w:p>
        </w:tc>
      </w:tr>
      <w:tr>
        <w:tblPrEx>
          <w:tblLayout w:type="fixed"/>
          <w:tblCellMar>
            <w:top w:w="0" w:type="dxa"/>
            <w:left w:w="108" w:type="dxa"/>
            <w:bottom w:w="0" w:type="dxa"/>
            <w:right w:w="108" w:type="dxa"/>
          </w:tblCellMar>
        </w:tblPrEx>
        <w:trPr>
          <w:trHeight w:val="385" w:hRule="atLeast"/>
          <w:jc w:val="center"/>
        </w:trPr>
        <w:tc>
          <w:tcPr>
            <w:tcW w:w="4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社区体育公园补助资金</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3825</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sz w:val="24"/>
                <w:szCs w:val="24"/>
                <w:u w:val="none"/>
                <w:lang w:val="en-US" w:eastAsia="zh-CN"/>
              </w:rPr>
              <w:t>3301.02</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86.30%</w:t>
            </w:r>
          </w:p>
        </w:tc>
      </w:tr>
      <w:tr>
        <w:tblPrEx>
          <w:tblLayout w:type="fixed"/>
          <w:tblCellMar>
            <w:top w:w="0" w:type="dxa"/>
            <w:left w:w="108" w:type="dxa"/>
            <w:bottom w:w="0" w:type="dxa"/>
            <w:right w:w="108" w:type="dxa"/>
          </w:tblCellMar>
        </w:tblPrEx>
        <w:trPr>
          <w:trHeight w:val="385" w:hRule="atLeast"/>
          <w:jc w:val="center"/>
        </w:trPr>
        <w:tc>
          <w:tcPr>
            <w:tcW w:w="4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城镇老旧小区改造省级补助资金</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700</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sz w:val="24"/>
                <w:szCs w:val="24"/>
                <w:u w:val="none"/>
                <w:lang w:val="en-US" w:eastAsia="zh-CN"/>
              </w:rPr>
              <w:t>122.06</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17.44%</w:t>
            </w:r>
          </w:p>
        </w:tc>
      </w:tr>
      <w:tr>
        <w:tblPrEx>
          <w:tblLayout w:type="fixed"/>
          <w:tblCellMar>
            <w:top w:w="0" w:type="dxa"/>
            <w:left w:w="108" w:type="dxa"/>
            <w:bottom w:w="0" w:type="dxa"/>
            <w:right w:w="108" w:type="dxa"/>
          </w:tblCellMar>
        </w:tblPrEx>
        <w:trPr>
          <w:trHeight w:val="385" w:hRule="atLeast"/>
          <w:jc w:val="center"/>
        </w:trPr>
        <w:tc>
          <w:tcPr>
            <w:tcW w:w="4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both"/>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农村削坡建房风险排查专项资金</w:t>
            </w:r>
          </w:p>
        </w:tc>
        <w:tc>
          <w:tcPr>
            <w:tcW w:w="13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000000"/>
                <w:sz w:val="24"/>
                <w:szCs w:val="24"/>
                <w:u w:val="none"/>
              </w:rPr>
            </w:pPr>
            <w:r>
              <w:rPr>
                <w:rFonts w:hint="default" w:ascii="仿宋_GB2312" w:hAnsi="宋体" w:eastAsia="仿宋_GB2312" w:cs="仿宋_GB2312"/>
                <w:i w:val="0"/>
                <w:iCs w:val="0"/>
                <w:color w:val="000000"/>
                <w:sz w:val="24"/>
                <w:szCs w:val="24"/>
                <w:u w:val="none"/>
                <w:lang w:val="en-US" w:eastAsia="zh-CN"/>
              </w:rPr>
              <w:t>5000</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仿宋_GB2312" w:hAnsi="宋体" w:eastAsia="仿宋_GB2312" w:cs="仿宋_GB2312"/>
                <w:i w:val="0"/>
                <w:iCs w:val="0"/>
                <w:color w:val="auto"/>
                <w:sz w:val="24"/>
                <w:szCs w:val="24"/>
                <w:u w:val="none"/>
              </w:rPr>
            </w:pPr>
            <w:r>
              <w:rPr>
                <w:rFonts w:hint="eastAsia" w:ascii="仿宋_GB2312" w:hAnsi="宋体" w:eastAsia="仿宋_GB2312" w:cs="仿宋_GB2312"/>
                <w:i w:val="0"/>
                <w:iCs w:val="0"/>
                <w:color w:val="auto"/>
                <w:sz w:val="24"/>
                <w:szCs w:val="24"/>
                <w:u w:val="none"/>
                <w:lang w:val="en-US" w:eastAsia="zh-CN"/>
              </w:rPr>
              <w:t>4391.44</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u w:val="none"/>
              </w:rPr>
            </w:pPr>
            <w:r>
              <w:rPr>
                <w:rFonts w:hint="default" w:ascii="仿宋_GB2312" w:hAnsi="宋体" w:eastAsia="仿宋_GB2312" w:cs="仿宋_GB2312"/>
                <w:i w:val="0"/>
                <w:iCs w:val="0"/>
                <w:color w:val="auto"/>
                <w:sz w:val="24"/>
                <w:szCs w:val="24"/>
                <w:u w:val="none"/>
                <w:lang w:val="en-US" w:eastAsia="zh-CN"/>
              </w:rPr>
              <w:t>87.13%</w:t>
            </w:r>
          </w:p>
        </w:tc>
      </w:tr>
    </w:tbl>
    <w:p>
      <w:pPr>
        <w:pStyle w:val="2"/>
        <w:pageBreakBefore w:val="0"/>
        <w:kinsoku/>
        <w:wordWrap/>
        <w:overflowPunct/>
        <w:topLinePunct w:val="0"/>
        <w:autoSpaceDE/>
        <w:autoSpaceDN/>
        <w:bidi w:val="0"/>
        <w:adjustRightInd/>
        <w:spacing w:line="600" w:lineRule="exact"/>
        <w:rPr>
          <w:rFonts w:hint="eastAsia"/>
          <w:lang w:val="en-US" w:eastAsia="zh-CN"/>
        </w:rPr>
      </w:pPr>
    </w:p>
    <w:p>
      <w:pPr>
        <w:pStyle w:val="4"/>
        <w:keepNext/>
        <w:keepLines/>
        <w:pageBreakBefore w:val="0"/>
        <w:widowControl w:val="0"/>
        <w:kinsoku/>
        <w:wordWrap/>
        <w:overflowPunct/>
        <w:topLinePunct w:val="0"/>
        <w:autoSpaceDE/>
        <w:autoSpaceDN/>
        <w:bidi w:val="0"/>
        <w:adjustRightInd/>
        <w:snapToGrid/>
        <w:spacing w:before="0" w:after="0" w:line="600" w:lineRule="exact"/>
        <w:ind w:firstLine="643" w:firstLineChars="200"/>
        <w:textAlignment w:val="auto"/>
        <w:rPr>
          <w:rFonts w:hint="eastAsia" w:ascii="仿宋_GB2312" w:hAnsi="仿宋" w:eastAsia="仿宋_GB2312"/>
          <w:b/>
          <w:bCs/>
          <w:color w:val="auto"/>
          <w:kern w:val="0"/>
          <w:sz w:val="32"/>
          <w:szCs w:val="32"/>
          <w:highlight w:val="none"/>
        </w:rPr>
      </w:pPr>
      <w:r>
        <w:rPr>
          <w:rFonts w:hint="eastAsia" w:ascii="仿宋_GB2312" w:hAnsi="仿宋" w:eastAsia="仿宋_GB2312"/>
          <w:b/>
          <w:bCs/>
          <w:color w:val="auto"/>
          <w:kern w:val="0"/>
          <w:sz w:val="32"/>
          <w:szCs w:val="32"/>
          <w:highlight w:val="none"/>
        </w:rPr>
        <w:t>2.</w:t>
      </w:r>
      <w:r>
        <w:rPr>
          <w:rStyle w:val="14"/>
          <w:rFonts w:hint="eastAsia" w:ascii="仿宋_GB2312" w:hAnsi="仿宋" w:eastAsia="仿宋_GB2312"/>
          <w:b/>
          <w:bCs/>
          <w:color w:val="auto"/>
          <w:kern w:val="0"/>
          <w:sz w:val="32"/>
          <w:szCs w:val="32"/>
          <w:highlight w:val="none"/>
        </w:rPr>
        <w:t>专项资金完成绩效目标情况</w:t>
      </w:r>
      <w:r>
        <w:rPr>
          <w:rFonts w:hint="eastAsia" w:ascii="仿宋_GB2312" w:hAnsi="仿宋" w:eastAsia="仿宋_GB2312"/>
          <w:b/>
          <w:bCs/>
          <w:color w:val="auto"/>
          <w:kern w:val="0"/>
          <w:sz w:val="32"/>
          <w:szCs w:val="32"/>
          <w:highlight w:val="none"/>
        </w:rPr>
        <w:t>。</w:t>
      </w:r>
      <w:bookmarkEnd w:id="27"/>
    </w:p>
    <w:p>
      <w:pPr>
        <w:pStyle w:val="30"/>
        <w:pageBreakBefore w:val="0"/>
        <w:widowControl w:val="0"/>
        <w:tabs>
          <w:tab w:val="left" w:pos="1843"/>
        </w:tabs>
        <w:kinsoku/>
        <w:wordWrap/>
        <w:overflowPunct/>
        <w:topLinePunct w:val="0"/>
        <w:autoSpaceDE/>
        <w:autoSpaceDN/>
        <w:bidi w:val="0"/>
        <w:adjustRightInd/>
        <w:snapToGrid/>
        <w:spacing w:line="600" w:lineRule="exact"/>
        <w:ind w:firstLine="646" w:firstLineChars="201"/>
        <w:textAlignment w:val="auto"/>
        <w:rPr>
          <w:rFonts w:hint="eastAsia" w:ascii="仿宋_GB2312" w:eastAsia="仿宋_GB2312"/>
          <w:b/>
          <w:bCs/>
          <w:color w:val="auto"/>
          <w:sz w:val="32"/>
          <w:highlight w:val="none"/>
          <w:lang w:val="en-US" w:eastAsia="zh-CN"/>
        </w:rPr>
      </w:pPr>
      <w:r>
        <w:rPr>
          <w:rFonts w:hint="eastAsia" w:ascii="仿宋_GB2312" w:hAnsi="Times New Roman" w:eastAsia="仿宋_GB2312" w:cs="Times New Roman"/>
          <w:b/>
          <w:bCs/>
          <w:color w:val="auto"/>
          <w:sz w:val="32"/>
          <w:highlight w:val="none"/>
          <w:lang w:val="en-US" w:eastAsia="zh-CN"/>
        </w:rPr>
        <w:t>（1）社</w:t>
      </w:r>
      <w:r>
        <w:rPr>
          <w:rFonts w:hint="eastAsia" w:ascii="仿宋_GB2312" w:eastAsia="仿宋_GB2312"/>
          <w:b/>
          <w:bCs/>
          <w:color w:val="auto"/>
          <w:sz w:val="32"/>
          <w:highlight w:val="none"/>
          <w:lang w:val="en-US" w:eastAsia="zh-CN"/>
        </w:rPr>
        <w:t>区体育公园补助资金。</w:t>
      </w:r>
    </w:p>
    <w:p>
      <w:pPr>
        <w:pStyle w:val="30"/>
        <w:pageBreakBefore w:val="0"/>
        <w:widowControl w:val="0"/>
        <w:tabs>
          <w:tab w:val="left" w:pos="1843"/>
        </w:tabs>
        <w:kinsoku/>
        <w:wordWrap/>
        <w:overflowPunct/>
        <w:topLinePunct w:val="0"/>
        <w:autoSpaceDE/>
        <w:autoSpaceDN/>
        <w:bidi w:val="0"/>
        <w:adjustRightInd/>
        <w:snapToGrid/>
        <w:spacing w:line="600" w:lineRule="exact"/>
        <w:ind w:firstLine="643" w:firstLineChars="201"/>
        <w:textAlignment w:val="auto"/>
        <w:rPr>
          <w:rFonts w:hint="eastAsia" w:ascii="仿宋_GB2312" w:eastAsia="仿宋_GB2312"/>
          <w:color w:val="auto"/>
          <w:sz w:val="32"/>
          <w:szCs w:val="32"/>
          <w:highlight w:val="none"/>
          <w:lang w:val="en-US" w:eastAsia="zh-CN"/>
        </w:rPr>
      </w:pPr>
      <w:r>
        <w:rPr>
          <w:rFonts w:hint="eastAsia" w:ascii="仿宋_GB2312" w:hAnsi="仿宋" w:eastAsia="仿宋_GB2312" w:cs="Times New Roman"/>
          <w:b w:val="0"/>
          <w:bCs w:val="0"/>
          <w:color w:val="auto"/>
          <w:sz w:val="32"/>
          <w:highlight w:val="none"/>
        </w:rPr>
        <w:t>2020年社区体育公园建设项目共59个，其中大型18个，中型31个，小型10个。截至2021年3月31日，</w:t>
      </w:r>
      <w:r>
        <w:rPr>
          <w:rFonts w:hint="eastAsia" w:ascii="仿宋_GB2312" w:hAnsi="仿宋" w:eastAsia="仿宋_GB2312" w:cs="Times New Roman"/>
          <w:b w:val="0"/>
          <w:bCs w:val="0"/>
          <w:color w:val="auto"/>
          <w:sz w:val="32"/>
          <w:highlight w:val="none"/>
          <w:lang w:eastAsia="zh-CN"/>
        </w:rPr>
        <w:t>已完工项目</w:t>
      </w:r>
      <w:r>
        <w:rPr>
          <w:rFonts w:hint="eastAsia" w:ascii="仿宋_GB2312" w:hAnsi="仿宋" w:eastAsia="仿宋_GB2312" w:cs="Times New Roman"/>
          <w:b w:val="0"/>
          <w:bCs w:val="0"/>
          <w:color w:val="auto"/>
          <w:sz w:val="32"/>
          <w:highlight w:val="none"/>
        </w:rPr>
        <w:t>共57个</w:t>
      </w:r>
      <w:r>
        <w:rPr>
          <w:rFonts w:hint="eastAsia" w:ascii="仿宋_GB2312" w:hAnsi="仿宋" w:eastAsia="仿宋_GB2312" w:cs="Times New Roman"/>
          <w:b w:val="0"/>
          <w:bCs w:val="0"/>
          <w:color w:val="auto"/>
          <w:sz w:val="32"/>
          <w:highlight w:val="none"/>
          <w:lang w:eastAsia="zh-CN"/>
        </w:rPr>
        <w:t>（</w:t>
      </w:r>
      <w:r>
        <w:rPr>
          <w:rFonts w:hint="eastAsia" w:ascii="仿宋_GB2312" w:hAnsi="仿宋" w:eastAsia="仿宋_GB2312" w:cs="Times New Roman"/>
          <w:b w:val="0"/>
          <w:bCs w:val="0"/>
          <w:color w:val="auto"/>
          <w:sz w:val="32"/>
          <w:highlight w:val="none"/>
        </w:rPr>
        <w:t>53个已通过验收，4个已完工未验收</w:t>
      </w:r>
      <w:r>
        <w:rPr>
          <w:rFonts w:hint="eastAsia" w:ascii="仿宋_GB2312" w:hAnsi="仿宋" w:eastAsia="仿宋_GB2312" w:cs="Times New Roman"/>
          <w:b w:val="0"/>
          <w:bCs w:val="0"/>
          <w:color w:val="auto"/>
          <w:sz w:val="32"/>
          <w:highlight w:val="none"/>
          <w:lang w:eastAsia="zh-CN"/>
        </w:rPr>
        <w:t>）</w:t>
      </w:r>
      <w:r>
        <w:rPr>
          <w:rFonts w:hint="eastAsia" w:ascii="仿宋_GB2312" w:hAnsi="仿宋" w:eastAsia="仿宋_GB2312" w:cs="Times New Roman"/>
          <w:b w:val="0"/>
          <w:bCs w:val="0"/>
          <w:color w:val="auto"/>
          <w:sz w:val="32"/>
          <w:highlight w:val="none"/>
        </w:rPr>
        <w:t>，2个在建（浈江区犁市大村社区体育公园、揭东区磐东街道北河社区棉浦健身体育公园）</w:t>
      </w:r>
      <w:r>
        <w:rPr>
          <w:rFonts w:hint="eastAsia" w:ascii="仿宋_GB2312" w:eastAsia="仿宋_GB2312"/>
          <w:color w:val="auto"/>
          <w:sz w:val="32"/>
          <w:szCs w:val="32"/>
          <w:highlight w:val="none"/>
          <w:lang w:val="en-US" w:eastAsia="zh-CN"/>
        </w:rPr>
        <w:t>。社区体育公园建设任务大部分完成，社区体育公园服务水平有新的提升。为群众提供就近就便的健身活动场所，社区体育公园服务水平不断提升，效果较好。社区体育公园为社区增添活力。社区体育公园带来社区整体环境改善，吸引力增加，效果显著。</w:t>
      </w:r>
      <w:bookmarkStart w:id="28" w:name="_Toc42021447"/>
    </w:p>
    <w:p>
      <w:pPr>
        <w:pStyle w:val="30"/>
        <w:pageBreakBefore w:val="0"/>
        <w:widowControl w:val="0"/>
        <w:tabs>
          <w:tab w:val="left" w:pos="1843"/>
        </w:tabs>
        <w:kinsoku/>
        <w:wordWrap/>
        <w:overflowPunct/>
        <w:topLinePunct w:val="0"/>
        <w:autoSpaceDE/>
        <w:autoSpaceDN/>
        <w:bidi w:val="0"/>
        <w:adjustRightInd/>
        <w:snapToGrid/>
        <w:spacing w:line="600" w:lineRule="exact"/>
        <w:ind w:firstLine="643" w:firstLineChars="201"/>
        <w:textAlignment w:val="auto"/>
        <w:rPr>
          <w:rFonts w:hint="eastAsia" w:ascii="仿宋_GB2312" w:eastAsia="仿宋_GB2312"/>
          <w:b/>
          <w:bCs/>
          <w:color w:val="auto"/>
          <w:sz w:val="32"/>
          <w:highlight w:val="none"/>
          <w:lang w:val="en-US" w:eastAsia="zh-CN"/>
        </w:rPr>
      </w:pPr>
      <w:r>
        <w:rPr>
          <w:rFonts w:hint="eastAsia" w:ascii="仿宋_GB2312" w:eastAsia="仿宋_GB2312"/>
          <w:color w:val="auto"/>
          <w:sz w:val="32"/>
          <w:szCs w:val="32"/>
          <w:highlight w:val="none"/>
          <w:lang w:val="en-US" w:eastAsia="zh-CN"/>
        </w:rPr>
        <w:t>（2）</w:t>
      </w:r>
      <w:r>
        <w:rPr>
          <w:rFonts w:hint="eastAsia" w:ascii="仿宋_GB2312" w:eastAsia="仿宋_GB2312"/>
          <w:b/>
          <w:bCs/>
          <w:color w:val="auto"/>
          <w:sz w:val="32"/>
          <w:highlight w:val="none"/>
          <w:lang w:val="en-US" w:eastAsia="zh-CN"/>
        </w:rPr>
        <w:t>城镇老旧小区改造省级补助资金。</w:t>
      </w:r>
    </w:p>
    <w:p>
      <w:pPr>
        <w:pStyle w:val="30"/>
        <w:pageBreakBefore w:val="0"/>
        <w:widowControl w:val="0"/>
        <w:tabs>
          <w:tab w:val="left" w:pos="1843"/>
        </w:tabs>
        <w:kinsoku/>
        <w:wordWrap/>
        <w:overflowPunct/>
        <w:topLinePunct w:val="0"/>
        <w:autoSpaceDE/>
        <w:autoSpaceDN/>
        <w:bidi w:val="0"/>
        <w:adjustRightInd/>
        <w:snapToGrid/>
        <w:spacing w:line="600" w:lineRule="exact"/>
        <w:ind w:firstLine="643" w:firstLineChars="201"/>
        <w:textAlignment w:val="auto"/>
        <w:rPr>
          <w:rFonts w:hint="eastAsia" w:ascii="仿宋_GB2312" w:hAnsi="仿宋" w:eastAsia="仿宋_GB2312" w:cs="Times New Roman"/>
          <w:color w:val="auto"/>
          <w:sz w:val="32"/>
          <w:highlight w:val="none"/>
          <w:lang w:val="en-US" w:eastAsia="zh-CN"/>
        </w:rPr>
      </w:pPr>
      <w:r>
        <w:rPr>
          <w:rFonts w:hint="eastAsia" w:ascii="仿宋_GB2312" w:hAnsi="仿宋" w:eastAsia="仿宋_GB2312" w:cs="Times New Roman"/>
          <w:color w:val="auto"/>
          <w:sz w:val="32"/>
          <w:highlight w:val="none"/>
          <w:lang w:val="en-US" w:eastAsia="zh-CN"/>
        </w:rPr>
        <w:t>韶关市、梅州市的老旧小区改造任务已全部完成，专项资金绩效目标全部实现。详见表2-3。</w:t>
      </w:r>
    </w:p>
    <w:p>
      <w:pPr>
        <w:pStyle w:val="30"/>
        <w:pageBreakBefore w:val="0"/>
        <w:widowControl w:val="0"/>
        <w:tabs>
          <w:tab w:val="left" w:pos="1843"/>
        </w:tabs>
        <w:kinsoku/>
        <w:wordWrap/>
        <w:overflowPunct/>
        <w:topLinePunct w:val="0"/>
        <w:autoSpaceDE/>
        <w:autoSpaceDN/>
        <w:bidi w:val="0"/>
        <w:adjustRightInd/>
        <w:snapToGrid/>
        <w:spacing w:line="600" w:lineRule="exact"/>
        <w:ind w:firstLine="643" w:firstLineChars="201"/>
        <w:textAlignment w:val="auto"/>
        <w:rPr>
          <w:rFonts w:hint="eastAsia" w:ascii="仿宋_GB2312" w:hAnsi="仿宋" w:eastAsia="仿宋_GB2312" w:cs="Times New Roman"/>
          <w:color w:val="auto"/>
          <w:sz w:val="32"/>
          <w:highlight w:val="none"/>
          <w:lang w:val="en-US" w:eastAsia="zh-CN"/>
        </w:rPr>
      </w:pPr>
    </w:p>
    <w:tbl>
      <w:tblPr>
        <w:tblStyle w:val="17"/>
        <w:tblW w:w="9279" w:type="dxa"/>
        <w:jc w:val="center"/>
        <w:tblInd w:w="0" w:type="dxa"/>
        <w:shd w:val="clear" w:color="auto" w:fill="auto"/>
        <w:tblLayout w:type="fixed"/>
        <w:tblCellMar>
          <w:top w:w="0" w:type="dxa"/>
          <w:left w:w="108" w:type="dxa"/>
          <w:bottom w:w="0" w:type="dxa"/>
          <w:right w:w="108" w:type="dxa"/>
        </w:tblCellMar>
      </w:tblPr>
      <w:tblGrid>
        <w:gridCol w:w="1239"/>
        <w:gridCol w:w="1389"/>
        <w:gridCol w:w="2200"/>
        <w:gridCol w:w="1483"/>
        <w:gridCol w:w="1483"/>
        <w:gridCol w:w="1485"/>
      </w:tblGrid>
      <w:tr>
        <w:tblPrEx>
          <w:shd w:val="clear" w:color="auto" w:fill="auto"/>
          <w:tblLayout w:type="fixed"/>
          <w:tblCellMar>
            <w:top w:w="0" w:type="dxa"/>
            <w:left w:w="108" w:type="dxa"/>
            <w:bottom w:w="0" w:type="dxa"/>
            <w:right w:w="108" w:type="dxa"/>
          </w:tblCellMar>
        </w:tblPrEx>
        <w:trPr>
          <w:trHeight w:val="400" w:hRule="atLeast"/>
          <w:jc w:val="center"/>
        </w:trPr>
        <w:tc>
          <w:tcPr>
            <w:tcW w:w="9279" w:type="dxa"/>
            <w:gridSpan w:val="6"/>
            <w:tcBorders>
              <w:top w:val="nil"/>
              <w:left w:val="nil"/>
              <w:bottom w:val="nil"/>
              <w:right w:val="nil"/>
            </w:tcBorders>
            <w:shd w:val="clear" w:color="auto" w:fill="FFFFFF"/>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ascii="方正小标宋简体" w:hAnsi="方正小标宋简体" w:eastAsia="方正小标宋简体" w:cs="方正小标宋简体"/>
                <w:i w:val="0"/>
                <w:iCs w:val="0"/>
                <w:color w:val="auto"/>
                <w:sz w:val="28"/>
                <w:szCs w:val="28"/>
                <w:highlight w:val="none"/>
                <w:u w:val="none"/>
              </w:rPr>
            </w:pPr>
            <w:r>
              <w:rPr>
                <w:rFonts w:hint="eastAsia" w:ascii="黑体" w:hAnsi="黑体" w:eastAsia="黑体" w:cs="黑体"/>
                <w:i w:val="0"/>
                <w:iCs w:val="0"/>
                <w:color w:val="auto"/>
                <w:kern w:val="0"/>
                <w:sz w:val="28"/>
                <w:szCs w:val="28"/>
                <w:highlight w:val="none"/>
                <w:u w:val="none"/>
                <w:lang w:val="en-US" w:eastAsia="zh-CN" w:bidi="ar"/>
              </w:rPr>
              <w:t>表2-3 2020年城镇老旧小区改造省级补助资金绩效目标完成情况表</w:t>
            </w:r>
          </w:p>
        </w:tc>
      </w:tr>
      <w:tr>
        <w:tblPrEx>
          <w:tblLayout w:type="fixed"/>
          <w:tblCellMar>
            <w:top w:w="0" w:type="dxa"/>
            <w:left w:w="108" w:type="dxa"/>
            <w:bottom w:w="0" w:type="dxa"/>
            <w:right w:w="108" w:type="dxa"/>
          </w:tblCellMar>
        </w:tblPrEx>
        <w:trPr>
          <w:trHeight w:val="411" w:hRule="atLeast"/>
          <w:jc w:val="center"/>
        </w:trPr>
        <w:tc>
          <w:tcPr>
            <w:tcW w:w="2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项目名称</w:t>
            </w:r>
          </w:p>
        </w:tc>
        <w:tc>
          <w:tcPr>
            <w:tcW w:w="66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2020年城镇老旧小区改造省级补助资金</w:t>
            </w:r>
          </w:p>
        </w:tc>
      </w:tr>
      <w:tr>
        <w:tblPrEx>
          <w:tblLayout w:type="fixed"/>
          <w:tblCellMar>
            <w:top w:w="0" w:type="dxa"/>
            <w:left w:w="108" w:type="dxa"/>
            <w:bottom w:w="0" w:type="dxa"/>
            <w:right w:w="108" w:type="dxa"/>
          </w:tblCellMar>
        </w:tblPrEx>
        <w:trPr>
          <w:trHeight w:val="411" w:hRule="atLeast"/>
          <w:jc w:val="center"/>
        </w:trPr>
        <w:tc>
          <w:tcPr>
            <w:tcW w:w="262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预算年度</w:t>
            </w:r>
          </w:p>
        </w:tc>
        <w:tc>
          <w:tcPr>
            <w:tcW w:w="66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2020年</w:t>
            </w:r>
          </w:p>
        </w:tc>
      </w:tr>
      <w:tr>
        <w:tblPrEx>
          <w:tblLayout w:type="fixed"/>
          <w:tblCellMar>
            <w:top w:w="0" w:type="dxa"/>
            <w:left w:w="108" w:type="dxa"/>
            <w:bottom w:w="0" w:type="dxa"/>
            <w:right w:w="108" w:type="dxa"/>
          </w:tblCellMar>
        </w:tblPrEx>
        <w:trPr>
          <w:trHeight w:val="411" w:hRule="atLeast"/>
          <w:jc w:val="center"/>
        </w:trPr>
        <w:tc>
          <w:tcPr>
            <w:tcW w:w="262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资金需求</w:t>
            </w:r>
          </w:p>
        </w:tc>
        <w:tc>
          <w:tcPr>
            <w:tcW w:w="66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700万元</w:t>
            </w:r>
          </w:p>
        </w:tc>
      </w:tr>
      <w:tr>
        <w:tblPrEx>
          <w:tblLayout w:type="fixed"/>
          <w:tblCellMar>
            <w:top w:w="0" w:type="dxa"/>
            <w:left w:w="108" w:type="dxa"/>
            <w:bottom w:w="0" w:type="dxa"/>
            <w:right w:w="108" w:type="dxa"/>
          </w:tblCellMar>
        </w:tblPrEx>
        <w:trPr>
          <w:trHeight w:val="411" w:hRule="atLeast"/>
          <w:jc w:val="center"/>
        </w:trPr>
        <w:tc>
          <w:tcPr>
            <w:tcW w:w="2628"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支出内容</w:t>
            </w:r>
          </w:p>
        </w:tc>
        <w:tc>
          <w:tcPr>
            <w:tcW w:w="66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城镇老旧小区改造项目支出</w:t>
            </w:r>
          </w:p>
        </w:tc>
      </w:tr>
      <w:tr>
        <w:tblPrEx>
          <w:tblLayout w:type="fixed"/>
          <w:tblCellMar>
            <w:top w:w="0" w:type="dxa"/>
            <w:left w:w="108" w:type="dxa"/>
            <w:bottom w:w="0" w:type="dxa"/>
            <w:right w:w="108" w:type="dxa"/>
          </w:tblCellMar>
        </w:tblPrEx>
        <w:trPr>
          <w:trHeight w:val="806" w:hRule="atLeast"/>
          <w:jc w:val="center"/>
        </w:trPr>
        <w:tc>
          <w:tcPr>
            <w:tcW w:w="2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总体绩效目标</w:t>
            </w:r>
          </w:p>
        </w:tc>
        <w:tc>
          <w:tcPr>
            <w:tcW w:w="66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韶关市、梅州市涉及1463户的城镇老旧小区改造项目2020年底前开工（韶关市786户、梅州市677户）。</w:t>
            </w:r>
          </w:p>
        </w:tc>
      </w:tr>
      <w:tr>
        <w:tblPrEx>
          <w:tblLayout w:type="fixed"/>
          <w:tblCellMar>
            <w:top w:w="0" w:type="dxa"/>
            <w:left w:w="108" w:type="dxa"/>
            <w:bottom w:w="0" w:type="dxa"/>
            <w:right w:w="108" w:type="dxa"/>
          </w:tblCellMar>
        </w:tblPrEx>
        <w:trPr>
          <w:trHeight w:val="532" w:hRule="atLeast"/>
          <w:jc w:val="center"/>
        </w:trPr>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一级指标</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二级指标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三级指标</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指标值</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完成值</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完成率%</w:t>
            </w:r>
          </w:p>
        </w:tc>
      </w:tr>
      <w:tr>
        <w:tblPrEx>
          <w:tblLayout w:type="fixed"/>
          <w:tblCellMar>
            <w:top w:w="0" w:type="dxa"/>
            <w:left w:w="108" w:type="dxa"/>
            <w:bottom w:w="0" w:type="dxa"/>
            <w:right w:w="108" w:type="dxa"/>
          </w:tblCellMar>
        </w:tblPrEx>
        <w:trPr>
          <w:trHeight w:val="624" w:hRule="atLeast"/>
          <w:jc w:val="center"/>
        </w:trPr>
        <w:tc>
          <w:tcPr>
            <w:tcW w:w="12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产出指标</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数量指标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改造面积（万平方米）</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&gt;=11.972</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25.706</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214.72%</w:t>
            </w:r>
          </w:p>
        </w:tc>
      </w:tr>
      <w:tr>
        <w:tblPrEx>
          <w:tblLayout w:type="fixed"/>
          <w:tblCellMar>
            <w:top w:w="0" w:type="dxa"/>
            <w:left w:w="108" w:type="dxa"/>
            <w:bottom w:w="0" w:type="dxa"/>
            <w:right w:w="108" w:type="dxa"/>
          </w:tblCellMar>
        </w:tblPrEx>
        <w:trPr>
          <w:trHeight w:val="430" w:hRule="atLeast"/>
          <w:jc w:val="center"/>
        </w:trPr>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pacing w:line="600" w:lineRule="exact"/>
              <w:jc w:val="center"/>
              <w:rPr>
                <w:rFonts w:hint="default" w:ascii="仿宋_GB2312" w:hAnsi="宋体" w:eastAsia="仿宋_GB2312" w:cs="仿宋_GB2312"/>
                <w:i w:val="0"/>
                <w:iCs w:val="0"/>
                <w:color w:val="auto"/>
                <w:sz w:val="24"/>
                <w:szCs w:val="24"/>
                <w:highlight w:val="none"/>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pacing w:line="600" w:lineRule="exact"/>
              <w:jc w:val="center"/>
              <w:rPr>
                <w:rFonts w:hint="default" w:ascii="仿宋_GB2312" w:hAnsi="宋体" w:eastAsia="仿宋_GB2312" w:cs="仿宋_GB2312"/>
                <w:i w:val="0"/>
                <w:iCs w:val="0"/>
                <w:color w:val="auto"/>
                <w:sz w:val="24"/>
                <w:szCs w:val="24"/>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改造户数（户）</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&gt;=1463</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2648</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181.00%</w:t>
            </w:r>
          </w:p>
        </w:tc>
      </w:tr>
      <w:tr>
        <w:tblPrEx>
          <w:tblLayout w:type="fixed"/>
          <w:tblCellMar>
            <w:top w:w="0" w:type="dxa"/>
            <w:left w:w="108" w:type="dxa"/>
            <w:bottom w:w="0" w:type="dxa"/>
            <w:right w:w="108" w:type="dxa"/>
          </w:tblCellMar>
        </w:tblPrEx>
        <w:trPr>
          <w:trHeight w:val="430" w:hRule="atLeast"/>
          <w:jc w:val="center"/>
        </w:trPr>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pacing w:line="600" w:lineRule="exact"/>
              <w:jc w:val="center"/>
              <w:rPr>
                <w:rFonts w:hint="default" w:ascii="仿宋_GB2312" w:hAnsi="宋体" w:eastAsia="仿宋_GB2312" w:cs="仿宋_GB2312"/>
                <w:i w:val="0"/>
                <w:iCs w:val="0"/>
                <w:color w:val="auto"/>
                <w:sz w:val="24"/>
                <w:szCs w:val="24"/>
                <w:highlight w:val="none"/>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pacing w:line="600" w:lineRule="exact"/>
              <w:jc w:val="center"/>
              <w:rPr>
                <w:rFonts w:hint="default" w:ascii="仿宋_GB2312" w:hAnsi="宋体" w:eastAsia="仿宋_GB2312" w:cs="仿宋_GB2312"/>
                <w:i w:val="0"/>
                <w:iCs w:val="0"/>
                <w:color w:val="auto"/>
                <w:sz w:val="24"/>
                <w:szCs w:val="24"/>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改造楼栋数（栋）</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&gt;=105</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185</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176.19%</w:t>
            </w:r>
          </w:p>
        </w:tc>
      </w:tr>
      <w:tr>
        <w:tblPrEx>
          <w:tblLayout w:type="fixed"/>
          <w:tblCellMar>
            <w:top w:w="0" w:type="dxa"/>
            <w:left w:w="108" w:type="dxa"/>
            <w:bottom w:w="0" w:type="dxa"/>
            <w:right w:w="108" w:type="dxa"/>
          </w:tblCellMar>
        </w:tblPrEx>
        <w:trPr>
          <w:trHeight w:val="430" w:hRule="atLeast"/>
          <w:jc w:val="center"/>
        </w:trPr>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pacing w:line="600" w:lineRule="exact"/>
              <w:jc w:val="center"/>
              <w:rPr>
                <w:rFonts w:hint="default" w:ascii="仿宋_GB2312" w:hAnsi="宋体" w:eastAsia="仿宋_GB2312" w:cs="仿宋_GB2312"/>
                <w:i w:val="0"/>
                <w:iCs w:val="0"/>
                <w:color w:val="auto"/>
                <w:sz w:val="24"/>
                <w:szCs w:val="24"/>
                <w:highlight w:val="none"/>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pacing w:line="600" w:lineRule="exact"/>
              <w:jc w:val="center"/>
              <w:rPr>
                <w:rFonts w:hint="default" w:ascii="仿宋_GB2312" w:hAnsi="宋体" w:eastAsia="仿宋_GB2312" w:cs="仿宋_GB2312"/>
                <w:i w:val="0"/>
                <w:iCs w:val="0"/>
                <w:color w:val="auto"/>
                <w:sz w:val="24"/>
                <w:szCs w:val="24"/>
                <w:highlight w:val="none"/>
                <w:u w:val="none"/>
              </w:rPr>
            </w:pP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改造小区数（个）</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&gt;=29</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47</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162.07%</w:t>
            </w:r>
          </w:p>
        </w:tc>
      </w:tr>
      <w:tr>
        <w:tblPrEx>
          <w:tblLayout w:type="fixed"/>
          <w:tblCellMar>
            <w:top w:w="0" w:type="dxa"/>
            <w:left w:w="108" w:type="dxa"/>
            <w:bottom w:w="0" w:type="dxa"/>
            <w:right w:w="108" w:type="dxa"/>
          </w:tblCellMar>
        </w:tblPrEx>
        <w:trPr>
          <w:trHeight w:val="430" w:hRule="atLeast"/>
          <w:jc w:val="center"/>
        </w:trPr>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pacing w:line="600" w:lineRule="exact"/>
              <w:jc w:val="center"/>
              <w:rPr>
                <w:rFonts w:hint="default" w:ascii="仿宋_GB2312" w:hAnsi="宋体" w:eastAsia="仿宋_GB2312" w:cs="仿宋_GB2312"/>
                <w:i w:val="0"/>
                <w:iCs w:val="0"/>
                <w:color w:val="auto"/>
                <w:sz w:val="24"/>
                <w:szCs w:val="24"/>
                <w:highlight w:val="none"/>
                <w:u w:val="none"/>
              </w:rPr>
            </w:pP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质量指标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验收合格率（%）</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Layout w:type="fixed"/>
          <w:tblCellMar>
            <w:top w:w="0" w:type="dxa"/>
            <w:left w:w="108" w:type="dxa"/>
            <w:bottom w:w="0" w:type="dxa"/>
            <w:right w:w="108" w:type="dxa"/>
          </w:tblCellMar>
        </w:tblPrEx>
        <w:trPr>
          <w:trHeight w:val="430" w:hRule="atLeast"/>
          <w:jc w:val="center"/>
        </w:trPr>
        <w:tc>
          <w:tcPr>
            <w:tcW w:w="12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ageBreakBefore w:val="0"/>
              <w:kinsoku/>
              <w:wordWrap/>
              <w:overflowPunct/>
              <w:topLinePunct w:val="0"/>
              <w:autoSpaceDE/>
              <w:autoSpaceDN/>
              <w:bidi w:val="0"/>
              <w:adjustRightInd/>
              <w:spacing w:line="600" w:lineRule="exact"/>
              <w:jc w:val="center"/>
              <w:rPr>
                <w:rFonts w:hint="default" w:ascii="仿宋_GB2312" w:hAnsi="宋体" w:eastAsia="仿宋_GB2312" w:cs="仿宋_GB2312"/>
                <w:i w:val="0"/>
                <w:iCs w:val="0"/>
                <w:color w:val="auto"/>
                <w:sz w:val="24"/>
                <w:szCs w:val="24"/>
                <w:highlight w:val="none"/>
                <w:u w:val="none"/>
              </w:rPr>
            </w:pP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时效指标</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开工时间（年月日）</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lang w:val="en-US"/>
              </w:rPr>
            </w:pPr>
            <w:r>
              <w:rPr>
                <w:rFonts w:hint="eastAsia" w:ascii="仿宋_GB2312" w:hAnsi="宋体" w:eastAsia="仿宋_GB2312" w:cs="仿宋_GB2312"/>
                <w:i w:val="0"/>
                <w:iCs w:val="0"/>
                <w:color w:val="auto"/>
                <w:kern w:val="0"/>
                <w:sz w:val="24"/>
                <w:szCs w:val="24"/>
                <w:highlight w:val="none"/>
                <w:u w:val="none"/>
                <w:lang w:val="en-US" w:eastAsia="zh-CN" w:bidi="ar"/>
              </w:rPr>
              <w:t>2020年度前</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2020年度前</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Layout w:type="fixed"/>
          <w:tblCellMar>
            <w:top w:w="0" w:type="dxa"/>
            <w:left w:w="108" w:type="dxa"/>
            <w:bottom w:w="0" w:type="dxa"/>
            <w:right w:w="108" w:type="dxa"/>
          </w:tblCellMar>
        </w:tblPrEx>
        <w:trPr>
          <w:trHeight w:val="624" w:hRule="atLeast"/>
          <w:jc w:val="center"/>
        </w:trPr>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效益指标</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社会效益</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群众居住条件是否改善</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是</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是</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eastAsia" w:ascii="宋体" w:hAnsi="宋体" w:eastAsia="宋体" w:cs="宋体"/>
                <w:i w:val="0"/>
                <w:iCs w:val="0"/>
                <w:color w:val="auto"/>
                <w:kern w:val="0"/>
                <w:sz w:val="22"/>
                <w:szCs w:val="22"/>
                <w:highlight w:val="none"/>
                <w:u w:val="none"/>
                <w:lang w:val="en-US" w:eastAsia="zh-CN" w:bidi="ar"/>
              </w:rPr>
              <w:t>100%</w:t>
            </w:r>
          </w:p>
        </w:tc>
      </w:tr>
      <w:tr>
        <w:tblPrEx>
          <w:tblLayout w:type="fixed"/>
          <w:tblCellMar>
            <w:top w:w="0" w:type="dxa"/>
            <w:left w:w="108" w:type="dxa"/>
            <w:bottom w:w="0" w:type="dxa"/>
            <w:right w:w="108" w:type="dxa"/>
          </w:tblCellMar>
        </w:tblPrEx>
        <w:trPr>
          <w:trHeight w:val="624" w:hRule="atLeast"/>
          <w:jc w:val="center"/>
        </w:trPr>
        <w:tc>
          <w:tcPr>
            <w:tcW w:w="12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满意度指标</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服务对象满意度</w:t>
            </w:r>
          </w:p>
        </w:tc>
        <w:tc>
          <w:tcPr>
            <w:tcW w:w="2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老旧小区居民满意度（%）</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80</w:t>
            </w:r>
            <w:r>
              <w:rPr>
                <w:rFonts w:hint="eastAsia" w:ascii="宋体" w:hAnsi="宋体" w:eastAsia="宋体" w:cs="宋体"/>
                <w:i w:val="0"/>
                <w:iCs w:val="0"/>
                <w:color w:val="auto"/>
                <w:kern w:val="0"/>
                <w:sz w:val="22"/>
                <w:szCs w:val="22"/>
                <w:highlight w:val="none"/>
                <w:u w:val="none"/>
                <w:lang w:val="en-US" w:eastAsia="zh-CN" w:bidi="ar"/>
              </w:rPr>
              <w:t>%</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92.5</w:t>
            </w:r>
            <w:r>
              <w:rPr>
                <w:rFonts w:hint="eastAsia" w:ascii="宋体" w:hAnsi="宋体" w:eastAsia="宋体" w:cs="宋体"/>
                <w:i w:val="0"/>
                <w:iCs w:val="0"/>
                <w:color w:val="auto"/>
                <w:kern w:val="0"/>
                <w:sz w:val="22"/>
                <w:szCs w:val="22"/>
                <w:highlight w:val="none"/>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pacing w:line="600" w:lineRule="exact"/>
              <w:jc w:val="center"/>
              <w:textAlignment w:val="center"/>
              <w:rPr>
                <w:rFonts w:hint="default" w:ascii="仿宋_GB2312" w:hAnsi="宋体" w:eastAsia="仿宋_GB2312" w:cs="仿宋_GB2312"/>
                <w:i w:val="0"/>
                <w:iCs w:val="0"/>
                <w:color w:val="auto"/>
                <w:sz w:val="24"/>
                <w:szCs w:val="24"/>
                <w:highlight w:val="none"/>
                <w:u w:val="none"/>
              </w:rPr>
            </w:pPr>
            <w:r>
              <w:rPr>
                <w:rFonts w:hint="default" w:ascii="仿宋_GB2312" w:hAnsi="宋体" w:eastAsia="仿宋_GB2312" w:cs="仿宋_GB2312"/>
                <w:i w:val="0"/>
                <w:iCs w:val="0"/>
                <w:color w:val="auto"/>
                <w:kern w:val="0"/>
                <w:sz w:val="24"/>
                <w:szCs w:val="24"/>
                <w:highlight w:val="none"/>
                <w:u w:val="none"/>
                <w:lang w:val="en-US" w:eastAsia="zh-CN" w:bidi="ar"/>
              </w:rPr>
              <w:t>116%</w:t>
            </w:r>
          </w:p>
        </w:tc>
      </w:tr>
    </w:tbl>
    <w:p>
      <w:pPr>
        <w:pStyle w:val="30"/>
        <w:pageBreakBefore w:val="0"/>
        <w:widowControl w:val="0"/>
        <w:tabs>
          <w:tab w:val="left" w:pos="1843"/>
        </w:tabs>
        <w:kinsoku/>
        <w:wordWrap/>
        <w:overflowPunct/>
        <w:topLinePunct w:val="0"/>
        <w:autoSpaceDE/>
        <w:autoSpaceDN/>
        <w:bidi w:val="0"/>
        <w:adjustRightInd/>
        <w:snapToGrid/>
        <w:spacing w:line="600" w:lineRule="exact"/>
        <w:ind w:firstLine="646" w:firstLineChars="201"/>
        <w:textAlignment w:val="auto"/>
        <w:rPr>
          <w:rFonts w:hint="eastAsia" w:ascii="仿宋_GB2312" w:eastAsia="仿宋_GB2312"/>
          <w:b/>
          <w:bCs/>
          <w:color w:val="auto"/>
          <w:sz w:val="32"/>
          <w:szCs w:val="32"/>
          <w:highlight w:val="none"/>
          <w:lang w:val="en-US" w:eastAsia="zh-CN"/>
        </w:rPr>
      </w:pPr>
    </w:p>
    <w:p>
      <w:pPr>
        <w:pStyle w:val="30"/>
        <w:pageBreakBefore w:val="0"/>
        <w:widowControl w:val="0"/>
        <w:tabs>
          <w:tab w:val="left" w:pos="1843"/>
        </w:tabs>
        <w:kinsoku/>
        <w:wordWrap/>
        <w:overflowPunct/>
        <w:topLinePunct w:val="0"/>
        <w:autoSpaceDE/>
        <w:autoSpaceDN/>
        <w:bidi w:val="0"/>
        <w:adjustRightInd/>
        <w:snapToGrid/>
        <w:spacing w:line="600" w:lineRule="exact"/>
        <w:ind w:firstLine="646" w:firstLineChars="201"/>
        <w:textAlignment w:val="auto"/>
        <w:rPr>
          <w:rFonts w:hint="eastAsia" w:ascii="仿宋_GB2312" w:eastAsia="仿宋_GB2312"/>
          <w:b/>
          <w:bCs/>
          <w:color w:val="auto"/>
          <w:sz w:val="32"/>
          <w:highlight w:val="none"/>
          <w:lang w:val="en-US" w:eastAsia="zh-CN"/>
        </w:rPr>
      </w:pPr>
      <w:r>
        <w:rPr>
          <w:rFonts w:hint="eastAsia" w:ascii="仿宋_GB2312" w:eastAsia="仿宋_GB2312"/>
          <w:b/>
          <w:bCs/>
          <w:color w:val="auto"/>
          <w:sz w:val="32"/>
          <w:szCs w:val="32"/>
          <w:highlight w:val="none"/>
          <w:lang w:val="en-US" w:eastAsia="zh-CN"/>
        </w:rPr>
        <w:t>（3）</w:t>
      </w:r>
      <w:r>
        <w:rPr>
          <w:rFonts w:hint="eastAsia" w:ascii="仿宋_GB2312" w:eastAsia="仿宋_GB2312"/>
          <w:b/>
          <w:bCs/>
          <w:color w:val="auto"/>
          <w:sz w:val="32"/>
          <w:highlight w:val="none"/>
          <w:lang w:val="en-US" w:eastAsia="zh-CN"/>
        </w:rPr>
        <w:t>农村削坡建房风险排查专项资金。</w:t>
      </w:r>
    </w:p>
    <w:p>
      <w:pPr>
        <w:pStyle w:val="30"/>
        <w:pageBreakBefore w:val="0"/>
        <w:widowControl w:val="0"/>
        <w:tabs>
          <w:tab w:val="left" w:pos="1843"/>
        </w:tabs>
        <w:kinsoku/>
        <w:wordWrap/>
        <w:overflowPunct/>
        <w:topLinePunct w:val="0"/>
        <w:autoSpaceDE/>
        <w:autoSpaceDN/>
        <w:bidi w:val="0"/>
        <w:adjustRightInd/>
        <w:snapToGrid/>
        <w:spacing w:line="600" w:lineRule="exact"/>
        <w:ind w:firstLine="643" w:firstLineChars="201"/>
        <w:textAlignment w:val="auto"/>
        <w:rPr>
          <w:rFonts w:hint="eastAsia" w:ascii="仿宋_GB2312" w:eastAsia="仿宋_GB2312"/>
          <w:color w:val="auto"/>
          <w:sz w:val="32"/>
          <w:szCs w:val="32"/>
          <w:highlight w:val="none"/>
          <w:lang w:val="en-US" w:eastAsia="zh-CN"/>
        </w:rPr>
      </w:pPr>
      <w:r>
        <w:rPr>
          <w:rFonts w:hint="eastAsia" w:ascii="仿宋_GB2312" w:hAnsi="仿宋_GB2312" w:eastAsia="仿宋_GB2312" w:cstheme="minorBidi"/>
          <w:color w:val="auto"/>
          <w:sz w:val="32"/>
          <w:highlight w:val="none"/>
          <w:lang w:val="en-US" w:eastAsia="zh-CN"/>
        </w:rPr>
        <w:t>有关市县按照省下达的专项资金和任务清单组织开展农村削坡建房风险排查工作，完成农村削坡建房风险点排查和风险等级认定，摸清项目底数，锁定既有风险点，建立整治台账。初步拟定风险点整治技术方案，估算风险点整治费用。县（市、区）均采取委托地质勘查专业机构按照《广东省农村削坡建房地质灾害风险管控指引（试行）》规定的技术标准进行排查，形式上项目质量有保障。2020年农村削坡建房风险排查共排查出风险点户数123119处（户）、涉及的人口数598385人。基本实现了降低受隐患威胁人口比例的预期目标。受访居民对本地“农村削坡建房风险点排查”工作整体评价表示满意的比例为98.49%，受益对象整体满意度较高。</w:t>
      </w:r>
    </w:p>
    <w:p>
      <w:pPr>
        <w:pStyle w:val="4"/>
        <w:keepNext/>
        <w:keepLines/>
        <w:pageBreakBefore w:val="0"/>
        <w:widowControl w:val="0"/>
        <w:kinsoku/>
        <w:wordWrap/>
        <w:overflowPunct/>
        <w:topLinePunct w:val="0"/>
        <w:autoSpaceDE/>
        <w:autoSpaceDN/>
        <w:bidi w:val="0"/>
        <w:adjustRightInd/>
        <w:snapToGrid/>
        <w:spacing w:before="0" w:after="0" w:line="600" w:lineRule="exact"/>
        <w:ind w:firstLine="643" w:firstLineChars="200"/>
        <w:textAlignment w:val="auto"/>
        <w:rPr>
          <w:rStyle w:val="14"/>
          <w:rFonts w:hint="eastAsia" w:ascii="仿宋_GB2312" w:hAnsi="仿宋" w:eastAsia="仿宋_GB2312"/>
          <w:b/>
          <w:bCs/>
          <w:color w:val="auto"/>
          <w:kern w:val="0"/>
          <w:sz w:val="32"/>
          <w:szCs w:val="32"/>
          <w:highlight w:val="none"/>
          <w:lang w:eastAsia="zh-CN"/>
        </w:rPr>
      </w:pPr>
      <w:r>
        <w:rPr>
          <w:rStyle w:val="14"/>
          <w:rFonts w:hint="eastAsia" w:ascii="仿宋_GB2312" w:hAnsi="仿宋" w:eastAsia="仿宋_GB2312"/>
          <w:b/>
          <w:bCs/>
          <w:color w:val="auto"/>
          <w:kern w:val="0"/>
          <w:sz w:val="32"/>
          <w:szCs w:val="32"/>
          <w:highlight w:val="none"/>
          <w:lang w:val="en-US" w:eastAsia="zh-CN"/>
        </w:rPr>
        <w:t>3.</w:t>
      </w:r>
      <w:r>
        <w:rPr>
          <w:rStyle w:val="14"/>
          <w:rFonts w:hint="eastAsia" w:ascii="仿宋_GB2312" w:hAnsi="仿宋" w:eastAsia="仿宋_GB2312"/>
          <w:b/>
          <w:bCs/>
          <w:color w:val="auto"/>
          <w:kern w:val="0"/>
          <w:sz w:val="32"/>
          <w:szCs w:val="32"/>
          <w:highlight w:val="none"/>
        </w:rPr>
        <w:t>专项资金分用途使用绩效</w:t>
      </w:r>
      <w:bookmarkEnd w:id="28"/>
      <w:bookmarkStart w:id="29" w:name="_Toc39323969"/>
      <w:bookmarkStart w:id="30" w:name="_Toc19453"/>
      <w:bookmarkStart w:id="31" w:name="_Toc39324266"/>
      <w:bookmarkStart w:id="32" w:name="_Toc493835607"/>
      <w:bookmarkStart w:id="33" w:name="_Toc39921348"/>
      <w:r>
        <w:rPr>
          <w:rStyle w:val="14"/>
          <w:rFonts w:hint="eastAsia" w:ascii="仿宋_GB2312" w:hAnsi="仿宋" w:eastAsia="仿宋_GB2312"/>
          <w:b/>
          <w:bCs/>
          <w:color w:val="auto"/>
          <w:kern w:val="0"/>
          <w:sz w:val="32"/>
          <w:szCs w:val="32"/>
          <w:highlight w:val="none"/>
          <w:lang w:eastAsia="zh-CN"/>
        </w:rPr>
        <w:t>。</w:t>
      </w:r>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eastAsia" w:ascii="仿宋_GB2312" w:hAnsi="仿宋" w:eastAsia="仿宋_GB2312" w:cs="Times New Roman"/>
          <w:b/>
          <w:bCs/>
          <w:color w:val="auto"/>
          <w:highlight w:val="none"/>
          <w:lang w:val="en-US" w:eastAsia="zh-CN"/>
        </w:rPr>
      </w:pPr>
      <w:bookmarkStart w:id="34" w:name="_Toc27453"/>
      <w:bookmarkStart w:id="35" w:name="_Toc1296"/>
      <w:r>
        <w:rPr>
          <w:rFonts w:hint="eastAsia" w:ascii="仿宋_GB2312" w:hAnsi="仿宋" w:eastAsia="仿宋_GB2312" w:cs="Times New Roman"/>
          <w:b/>
          <w:bCs/>
          <w:color w:val="auto"/>
          <w:highlight w:val="none"/>
          <w:lang w:val="en-US" w:eastAsia="zh-CN"/>
        </w:rPr>
        <w:t>（1）</w:t>
      </w:r>
      <w:r>
        <w:rPr>
          <w:rFonts w:hint="eastAsia" w:ascii="仿宋_GB2312" w:eastAsia="仿宋_GB2312"/>
          <w:b/>
          <w:bCs/>
          <w:color w:val="auto"/>
          <w:sz w:val="32"/>
          <w:highlight w:val="none"/>
          <w:lang w:val="en-US" w:eastAsia="zh-CN"/>
        </w:rPr>
        <w:t>社区体育公园补助资金。</w:t>
      </w:r>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default" w:ascii="仿宋_GB2312" w:eastAsia="仿宋_GB2312"/>
          <w:b w:val="0"/>
          <w:bCs w:val="0"/>
          <w:color w:val="auto"/>
          <w:sz w:val="32"/>
          <w:szCs w:val="32"/>
          <w:highlight w:val="none"/>
          <w:lang w:val="en-US" w:eastAsia="zh-CN"/>
        </w:rPr>
      </w:pPr>
      <w:r>
        <w:rPr>
          <w:rFonts w:hint="eastAsia" w:ascii="仿宋_GB2312" w:hAnsi="仿宋" w:eastAsia="仿宋_GB2312" w:cs="Times New Roman"/>
          <w:b/>
          <w:bCs/>
          <w:color w:val="auto"/>
          <w:highlight w:val="none"/>
          <w:lang w:val="en-US" w:eastAsia="zh-CN"/>
        </w:rPr>
        <w:t>社区体育公园的绩效目标基本实现，</w:t>
      </w:r>
      <w:bookmarkEnd w:id="34"/>
      <w:r>
        <w:rPr>
          <w:rFonts w:hint="eastAsia" w:ascii="仿宋_GB2312" w:hAnsi="仿宋" w:eastAsia="仿宋_GB2312" w:cs="Times New Roman"/>
          <w:b/>
          <w:bCs/>
          <w:color w:val="auto"/>
          <w:highlight w:val="none"/>
          <w:lang w:val="en-US" w:eastAsia="zh-CN"/>
        </w:rPr>
        <w:t>为粤东西北地区新增一批</w:t>
      </w:r>
      <w:bookmarkEnd w:id="35"/>
      <w:r>
        <w:rPr>
          <w:rFonts w:hint="eastAsia" w:ascii="仿宋_GB2312" w:hAnsi="仿宋" w:eastAsia="仿宋_GB2312" w:cs="Times New Roman"/>
          <w:b/>
          <w:bCs/>
          <w:color w:val="auto"/>
          <w:highlight w:val="none"/>
          <w:lang w:val="en-US" w:eastAsia="zh-CN"/>
        </w:rPr>
        <w:t>健身休闲场所。</w:t>
      </w:r>
      <w:r>
        <w:rPr>
          <w:rFonts w:hint="eastAsia" w:ascii="仿宋_GB2312" w:eastAsia="仿宋_GB2312"/>
          <w:b w:val="0"/>
          <w:bCs w:val="0"/>
          <w:color w:val="auto"/>
          <w:sz w:val="32"/>
          <w:szCs w:val="32"/>
          <w:highlight w:val="none"/>
          <w:lang w:val="en-US" w:eastAsia="zh-CN"/>
        </w:rPr>
        <w:t>省财政补助粤东西北地区20个县（市、区）投入专项资金3,825万元，带动地方财政和社会资金投入2,722万元，已建成57个社区体育公园，</w:t>
      </w:r>
      <w:r>
        <w:rPr>
          <w:rFonts w:hint="default" w:ascii="仿宋_GB2312" w:eastAsia="仿宋_GB2312"/>
          <w:b w:val="0"/>
          <w:bCs w:val="0"/>
          <w:color w:val="auto"/>
          <w:sz w:val="32"/>
          <w:szCs w:val="32"/>
          <w:highlight w:val="none"/>
          <w:lang w:val="en-US" w:eastAsia="zh-CN"/>
        </w:rPr>
        <w:t>增加社区体育公园</w:t>
      </w:r>
      <w:r>
        <w:rPr>
          <w:rFonts w:hint="eastAsia" w:ascii="仿宋_GB2312" w:eastAsia="仿宋_GB2312"/>
          <w:b w:val="0"/>
          <w:bCs w:val="0"/>
          <w:color w:val="auto"/>
          <w:sz w:val="32"/>
          <w:szCs w:val="32"/>
          <w:highlight w:val="none"/>
          <w:lang w:val="en-US" w:eastAsia="zh-CN"/>
        </w:rPr>
        <w:t>面积363850.31平方米，覆盖常住人口377725人。2020年</w:t>
      </w:r>
      <w:r>
        <w:rPr>
          <w:rFonts w:hint="default" w:ascii="仿宋_GB2312" w:eastAsia="仿宋_GB2312"/>
          <w:b w:val="0"/>
          <w:bCs w:val="0"/>
          <w:color w:val="auto"/>
          <w:sz w:val="32"/>
          <w:szCs w:val="32"/>
          <w:highlight w:val="none"/>
          <w:lang w:val="en-US" w:eastAsia="zh-CN"/>
        </w:rPr>
        <w:t>社区体育公园</w:t>
      </w:r>
      <w:r>
        <w:rPr>
          <w:rFonts w:hint="eastAsia" w:ascii="仿宋_GB2312" w:eastAsia="仿宋_GB2312"/>
          <w:b w:val="0"/>
          <w:bCs w:val="0"/>
          <w:color w:val="auto"/>
          <w:sz w:val="32"/>
          <w:szCs w:val="32"/>
          <w:highlight w:val="none"/>
          <w:lang w:val="en-US" w:eastAsia="zh-CN"/>
        </w:rPr>
        <w:t>项目新增的公共体育和文化休闲活动设施，有效缓解了人民群众健身、体育、文化休闲等需求和场地设施不足的矛盾。</w:t>
      </w:r>
      <w:bookmarkStart w:id="36" w:name="_Toc13988"/>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eastAsia" w:ascii="仿宋_GB2312" w:hAnsi="仿宋" w:eastAsia="仿宋_GB2312" w:cs="仿宋"/>
          <w:color w:val="auto"/>
          <w:sz w:val="32"/>
          <w:szCs w:val="32"/>
          <w:highlight w:val="none"/>
          <w:lang w:eastAsia="zh-CN"/>
        </w:rPr>
      </w:pPr>
      <w:r>
        <w:rPr>
          <w:rFonts w:hint="eastAsia" w:ascii="仿宋_GB2312" w:hAnsi="仿宋" w:eastAsia="仿宋_GB2312" w:cs="Times New Roman"/>
          <w:b/>
          <w:bCs/>
          <w:color w:val="auto"/>
          <w:highlight w:val="none"/>
          <w:lang w:val="en-US" w:eastAsia="zh-CN"/>
        </w:rPr>
        <w:t>社区体育公园使城镇规划更合理，凝聚城市文化魅力。</w:t>
      </w:r>
      <w:r>
        <w:rPr>
          <w:rFonts w:hint="eastAsia" w:ascii="仿宋_GB2312" w:eastAsia="仿宋_GB2312"/>
          <w:b w:val="0"/>
          <w:bCs w:val="0"/>
          <w:color w:val="auto"/>
          <w:sz w:val="32"/>
          <w:highlight w:val="none"/>
          <w:lang w:val="en-US" w:eastAsia="zh-CN"/>
        </w:rPr>
        <w:t>一是</w:t>
      </w:r>
      <w:r>
        <w:rPr>
          <w:rFonts w:hint="eastAsia" w:ascii="仿宋_GB2312" w:eastAsia="仿宋_GB2312"/>
          <w:b w:val="0"/>
          <w:bCs w:val="0"/>
          <w:color w:val="auto"/>
          <w:sz w:val="32"/>
          <w:highlight w:val="none"/>
        </w:rPr>
        <w:t>通过2020年新建社区体育公园建设，既解决了因土地资源紧张难以满足居民运动需求的困境，使得社区周边的公园、绿地得到更好、更充分的利用</w:t>
      </w:r>
      <w:r>
        <w:rPr>
          <w:rFonts w:hint="eastAsia" w:ascii="仿宋_GB2312" w:eastAsia="仿宋_GB2312"/>
          <w:b w:val="0"/>
          <w:bCs w:val="0"/>
          <w:color w:val="auto"/>
          <w:sz w:val="32"/>
          <w:highlight w:val="none"/>
          <w:lang w:eastAsia="zh-CN"/>
        </w:rPr>
        <w:t>，</w:t>
      </w:r>
      <w:r>
        <w:rPr>
          <w:rFonts w:hint="eastAsia" w:ascii="仿宋_GB2312" w:eastAsia="仿宋_GB2312"/>
          <w:b w:val="0"/>
          <w:bCs w:val="0"/>
          <w:color w:val="auto"/>
          <w:sz w:val="32"/>
          <w:highlight w:val="none"/>
        </w:rPr>
        <w:t>实现了十五分钟生活圈</w:t>
      </w:r>
      <w:r>
        <w:rPr>
          <w:rFonts w:hint="eastAsia" w:ascii="仿宋_GB2312" w:eastAsia="仿宋_GB2312"/>
          <w:b w:val="0"/>
          <w:bCs w:val="0"/>
          <w:color w:val="auto"/>
          <w:sz w:val="32"/>
          <w:highlight w:val="none"/>
          <w:lang w:eastAsia="zh-CN"/>
        </w:rPr>
        <w:t>，</w:t>
      </w:r>
      <w:r>
        <w:rPr>
          <w:rFonts w:hint="eastAsia" w:ascii="仿宋_GB2312" w:eastAsia="仿宋_GB2312"/>
          <w:b w:val="0"/>
          <w:bCs w:val="0"/>
          <w:color w:val="auto"/>
          <w:sz w:val="32"/>
          <w:highlight w:val="none"/>
          <w:lang w:val="en-US" w:eastAsia="zh-CN"/>
        </w:rPr>
        <w:t>又充分</w:t>
      </w:r>
      <w:r>
        <w:rPr>
          <w:rFonts w:hint="eastAsia" w:ascii="仿宋_GB2312" w:eastAsia="仿宋_GB2312"/>
          <w:b w:val="0"/>
          <w:bCs w:val="0"/>
          <w:color w:val="auto"/>
          <w:sz w:val="32"/>
          <w:highlight w:val="none"/>
        </w:rPr>
        <w:t>利用</w:t>
      </w:r>
      <w:r>
        <w:rPr>
          <w:rFonts w:hint="eastAsia" w:ascii="仿宋_GB2312" w:eastAsia="仿宋_GB2312"/>
          <w:b w:val="0"/>
          <w:bCs w:val="0"/>
          <w:color w:val="auto"/>
          <w:sz w:val="32"/>
          <w:highlight w:val="none"/>
          <w:lang w:val="en-US" w:eastAsia="zh-CN"/>
        </w:rPr>
        <w:t>了城市在建设过程中产生的小面积、形状不规则、零星分布的地块。利用这些</w:t>
      </w:r>
      <w:r>
        <w:rPr>
          <w:rFonts w:hint="eastAsia" w:ascii="仿宋_GB2312" w:eastAsia="仿宋_GB2312"/>
          <w:b w:val="0"/>
          <w:bCs w:val="0"/>
          <w:color w:val="auto"/>
          <w:sz w:val="32"/>
          <w:highlight w:val="none"/>
        </w:rPr>
        <w:t>闲置地、边角地</w:t>
      </w:r>
      <w:r>
        <w:rPr>
          <w:rFonts w:hint="eastAsia" w:ascii="仿宋_GB2312" w:eastAsia="仿宋_GB2312"/>
          <w:b w:val="0"/>
          <w:bCs w:val="0"/>
          <w:color w:val="auto"/>
          <w:sz w:val="32"/>
          <w:highlight w:val="none"/>
          <w:lang w:eastAsia="zh-CN"/>
        </w:rPr>
        <w:t>，</w:t>
      </w:r>
      <w:r>
        <w:rPr>
          <w:rFonts w:hint="eastAsia" w:ascii="仿宋_GB2312" w:eastAsia="仿宋_GB2312"/>
          <w:b w:val="0"/>
          <w:bCs w:val="0"/>
          <w:color w:val="auto"/>
          <w:sz w:val="32"/>
          <w:highlight w:val="none"/>
          <w:lang w:val="en-US" w:eastAsia="zh-CN"/>
        </w:rPr>
        <w:t>使城市布局更加合理</w:t>
      </w:r>
      <w:r>
        <w:rPr>
          <w:rFonts w:hint="eastAsia" w:ascii="仿宋_GB2312" w:eastAsia="仿宋_GB2312"/>
          <w:b w:val="0"/>
          <w:bCs w:val="0"/>
          <w:color w:val="auto"/>
          <w:sz w:val="32"/>
          <w:highlight w:val="none"/>
          <w:lang w:eastAsia="zh-CN"/>
        </w:rPr>
        <w:t>。</w:t>
      </w:r>
      <w:r>
        <w:rPr>
          <w:rFonts w:hint="eastAsia" w:ascii="仿宋_GB2312" w:eastAsia="仿宋_GB2312"/>
          <w:b w:val="0"/>
          <w:bCs w:val="0"/>
          <w:color w:val="auto"/>
          <w:sz w:val="32"/>
          <w:szCs w:val="32"/>
          <w:highlight w:val="none"/>
          <w:lang w:val="en-US" w:eastAsia="zh-CN"/>
        </w:rPr>
        <w:t>例如平远县热柘公园投资不大，但各项功能和设施配套比较齐全，麻雀虽小五脏俱全，更好地为当地居民提供体育健身服务。</w:t>
      </w:r>
      <w:r>
        <w:rPr>
          <w:rFonts w:hint="eastAsia" w:ascii="仿宋_GB2312" w:eastAsia="仿宋_GB2312"/>
          <w:b w:val="0"/>
          <w:bCs w:val="0"/>
          <w:color w:val="auto"/>
          <w:sz w:val="32"/>
          <w:highlight w:val="none"/>
          <w:lang w:val="en-US" w:eastAsia="zh-CN"/>
        </w:rPr>
        <w:t>二是</w:t>
      </w:r>
      <w:r>
        <w:rPr>
          <w:rFonts w:hint="eastAsia" w:hAnsi="仿宋" w:eastAsia="仿宋_GB2312" w:cs="Arial"/>
          <w:b w:val="0"/>
          <w:bCs w:val="0"/>
          <w:color w:val="auto"/>
          <w:sz w:val="32"/>
          <w:szCs w:val="32"/>
          <w:highlight w:val="none"/>
          <w:lang w:eastAsia="zh-CN"/>
        </w:rPr>
        <w:t>社区体育公园进一步完善</w:t>
      </w:r>
      <w:r>
        <w:rPr>
          <w:rFonts w:hint="eastAsia" w:hAnsi="仿宋" w:eastAsia="仿宋_GB2312" w:cs="Arial"/>
          <w:b w:val="0"/>
          <w:bCs w:val="0"/>
          <w:color w:val="auto"/>
          <w:sz w:val="32"/>
          <w:szCs w:val="32"/>
          <w:highlight w:val="none"/>
          <w:lang w:val="en-US" w:eastAsia="zh-CN"/>
        </w:rPr>
        <w:t>了</w:t>
      </w:r>
      <w:r>
        <w:rPr>
          <w:rFonts w:hint="eastAsia" w:hAnsi="仿宋" w:eastAsia="仿宋_GB2312" w:cs="Arial"/>
          <w:b w:val="0"/>
          <w:bCs w:val="0"/>
          <w:color w:val="auto"/>
          <w:sz w:val="32"/>
          <w:szCs w:val="32"/>
          <w:highlight w:val="none"/>
          <w:lang w:eastAsia="zh-CN"/>
        </w:rPr>
        <w:t>城市功能，提升城市内涵，</w:t>
      </w:r>
      <w:r>
        <w:rPr>
          <w:rFonts w:hint="eastAsia" w:ascii="仿宋_GB2312" w:eastAsia="仿宋_GB2312"/>
          <w:b w:val="0"/>
          <w:bCs w:val="0"/>
          <w:color w:val="auto"/>
          <w:sz w:val="32"/>
          <w:szCs w:val="32"/>
          <w:highlight w:val="none"/>
          <w:lang w:val="en-US" w:eastAsia="zh-CN"/>
        </w:rPr>
        <w:t>以社区体育公园为依托，可以有序引导群众开展丰富多彩的文化体育活动，增强了城市的文化凝聚力。</w:t>
      </w:r>
      <w:r>
        <w:rPr>
          <w:rFonts w:hint="eastAsia" w:ascii="仿宋_GB2312" w:eastAsia="仿宋_GB2312"/>
          <w:b w:val="0"/>
          <w:bCs w:val="0"/>
          <w:color w:val="auto"/>
          <w:sz w:val="32"/>
          <w:szCs w:val="32"/>
          <w:highlight w:val="none"/>
          <w:lang w:bidi="he-IL"/>
        </w:rPr>
        <w:t>为当地及周边居民提供更多交流、娱乐、运动、锻炼等多元化场所，</w:t>
      </w:r>
      <w:r>
        <w:rPr>
          <w:rFonts w:hint="eastAsia" w:hAnsi="仿宋" w:eastAsia="仿宋_GB2312" w:cs="Arial"/>
          <w:b w:val="0"/>
          <w:bCs w:val="0"/>
          <w:color w:val="auto"/>
          <w:sz w:val="32"/>
          <w:szCs w:val="32"/>
          <w:highlight w:val="none"/>
          <w:lang w:eastAsia="zh-CN"/>
        </w:rPr>
        <w:t>对于满足社会经济发展及人民群众精神文化生活需要具有十分重要的意义。</w:t>
      </w:r>
      <w:r>
        <w:rPr>
          <w:rFonts w:hint="eastAsia" w:ascii="仿宋_GB2312" w:hAnsi="仿宋" w:eastAsia="仿宋_GB2312" w:cs="仿宋"/>
          <w:b w:val="0"/>
          <w:bCs w:val="0"/>
          <w:color w:val="auto"/>
          <w:sz w:val="32"/>
          <w:szCs w:val="32"/>
          <w:highlight w:val="none"/>
          <w:lang w:eastAsia="zh-CN"/>
        </w:rPr>
        <w:t>推动</w:t>
      </w:r>
      <w:r>
        <w:rPr>
          <w:rFonts w:hint="eastAsia" w:ascii="仿宋_GB2312" w:hAnsi="仿宋" w:eastAsia="仿宋_GB2312" w:cs="仿宋"/>
          <w:b w:val="0"/>
          <w:bCs w:val="0"/>
          <w:color w:val="auto"/>
          <w:sz w:val="32"/>
          <w:szCs w:val="32"/>
          <w:highlight w:val="none"/>
        </w:rPr>
        <w:t>社区体育公园建设</w:t>
      </w:r>
      <w:r>
        <w:rPr>
          <w:rFonts w:hint="eastAsia" w:ascii="仿宋_GB2312" w:hAnsi="仿宋" w:eastAsia="仿宋_GB2312" w:cs="仿宋"/>
          <w:b w:val="0"/>
          <w:bCs w:val="0"/>
          <w:color w:val="auto"/>
          <w:sz w:val="32"/>
          <w:szCs w:val="32"/>
          <w:highlight w:val="none"/>
          <w:lang w:eastAsia="zh-CN"/>
        </w:rPr>
        <w:t>，</w:t>
      </w:r>
      <w:r>
        <w:rPr>
          <w:rFonts w:hint="eastAsia" w:ascii="仿宋_GB2312" w:hAnsi="仿宋" w:eastAsia="仿宋_GB2312" w:cs="仿宋"/>
          <w:b w:val="0"/>
          <w:bCs w:val="0"/>
          <w:color w:val="auto"/>
          <w:sz w:val="32"/>
          <w:szCs w:val="32"/>
          <w:highlight w:val="none"/>
        </w:rPr>
        <w:t>改善</w:t>
      </w:r>
      <w:r>
        <w:rPr>
          <w:rFonts w:hint="eastAsia" w:ascii="仿宋_GB2312" w:hAnsi="仿宋" w:eastAsia="仿宋_GB2312" w:cs="仿宋"/>
          <w:b w:val="0"/>
          <w:bCs w:val="0"/>
          <w:color w:val="auto"/>
          <w:sz w:val="32"/>
          <w:szCs w:val="32"/>
          <w:highlight w:val="none"/>
          <w:lang w:eastAsia="zh-CN"/>
        </w:rPr>
        <w:t>了</w:t>
      </w:r>
      <w:r>
        <w:rPr>
          <w:rFonts w:hint="eastAsia" w:ascii="仿宋_GB2312" w:hAnsi="仿宋" w:eastAsia="仿宋_GB2312" w:cs="仿宋"/>
          <w:b w:val="0"/>
          <w:bCs w:val="0"/>
          <w:color w:val="auto"/>
          <w:sz w:val="32"/>
          <w:szCs w:val="32"/>
          <w:highlight w:val="none"/>
          <w:lang w:val="en-US" w:eastAsia="zh-CN"/>
        </w:rPr>
        <w:t>粤东西北地区社区</w:t>
      </w:r>
      <w:r>
        <w:rPr>
          <w:rFonts w:hint="eastAsia" w:ascii="仿宋_GB2312" w:hAnsi="仿宋" w:eastAsia="仿宋_GB2312" w:cs="仿宋"/>
          <w:b w:val="0"/>
          <w:bCs w:val="0"/>
          <w:color w:val="auto"/>
          <w:sz w:val="32"/>
          <w:szCs w:val="32"/>
          <w:highlight w:val="none"/>
        </w:rPr>
        <w:t>体育场地设施不足的落后局面</w:t>
      </w:r>
      <w:r>
        <w:rPr>
          <w:rFonts w:hint="eastAsia" w:ascii="仿宋_GB2312" w:hAnsi="仿宋" w:eastAsia="仿宋_GB2312" w:cs="仿宋"/>
          <w:b w:val="0"/>
          <w:bCs w:val="0"/>
          <w:color w:val="auto"/>
          <w:sz w:val="32"/>
          <w:szCs w:val="32"/>
          <w:highlight w:val="none"/>
          <w:lang w:eastAsia="zh-CN"/>
        </w:rPr>
        <w:t>。</w:t>
      </w:r>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eastAsia" w:ascii="仿宋_GB2312" w:hAnsi="仿宋" w:eastAsia="仿宋_GB2312" w:cs="仿宋"/>
          <w:color w:val="auto"/>
          <w:sz w:val="32"/>
          <w:szCs w:val="32"/>
          <w:highlight w:val="none"/>
          <w:lang w:eastAsia="zh-CN"/>
        </w:rPr>
      </w:pPr>
      <w:bookmarkStart w:id="37" w:name="_Toc24365"/>
      <w:r>
        <w:rPr>
          <w:rFonts w:hint="eastAsia" w:ascii="仿宋_GB2312" w:hAnsi="仿宋" w:eastAsia="仿宋_GB2312" w:cs="Times New Roman"/>
          <w:b/>
          <w:bCs/>
          <w:color w:val="auto"/>
          <w:highlight w:val="none"/>
          <w:lang w:val="en-US" w:eastAsia="zh-CN"/>
        </w:rPr>
        <w:t>社区体育公园提升社区品质，有效改善生态环境</w:t>
      </w:r>
      <w:bookmarkEnd w:id="37"/>
      <w:r>
        <w:rPr>
          <w:rFonts w:hint="eastAsia" w:ascii="仿宋_GB2312" w:hAnsi="仿宋" w:eastAsia="仿宋_GB2312" w:cs="Times New Roman"/>
          <w:b/>
          <w:bCs/>
          <w:color w:val="auto"/>
          <w:highlight w:val="none"/>
          <w:lang w:val="en-US" w:eastAsia="zh-CN"/>
        </w:rPr>
        <w:t>。</w:t>
      </w:r>
      <w:r>
        <w:rPr>
          <w:rFonts w:hint="eastAsia" w:ascii="仿宋_GB2312" w:hAnsi="Times New Roman" w:eastAsia="仿宋_GB2312" w:cs="Times New Roman"/>
          <w:b w:val="0"/>
          <w:bCs w:val="0"/>
          <w:color w:val="auto"/>
          <w:sz w:val="32"/>
          <w:szCs w:val="32"/>
          <w:highlight w:val="none"/>
          <w:lang w:bidi="he-IL"/>
        </w:rPr>
        <w:t>一是社区体育公园的建成，</w:t>
      </w:r>
      <w:r>
        <w:rPr>
          <w:rFonts w:hint="eastAsia" w:ascii="仿宋_GB2312" w:hAnsi="Times New Roman" w:eastAsia="仿宋_GB2312" w:cs="Times New Roman"/>
          <w:b w:val="0"/>
          <w:bCs w:val="0"/>
          <w:color w:val="auto"/>
          <w:sz w:val="32"/>
          <w:szCs w:val="32"/>
          <w:highlight w:val="none"/>
          <w:lang w:eastAsia="zh-CN" w:bidi="he-IL"/>
        </w:rPr>
        <w:t>能</w:t>
      </w:r>
      <w:r>
        <w:rPr>
          <w:rFonts w:hint="eastAsia" w:ascii="仿宋_GB2312" w:hAnsi="Times New Roman" w:eastAsia="仿宋_GB2312" w:cs="Times New Roman"/>
          <w:b w:val="0"/>
          <w:bCs w:val="0"/>
          <w:color w:val="auto"/>
          <w:sz w:val="32"/>
          <w:szCs w:val="32"/>
          <w:highlight w:val="none"/>
          <w:lang w:bidi="he-IL"/>
        </w:rPr>
        <w:t>拉动各级建设体育场地设施的积极性，使</w:t>
      </w:r>
      <w:r>
        <w:rPr>
          <w:rFonts w:hint="eastAsia" w:ascii="仿宋_GB2312" w:hAnsi="Times New Roman" w:eastAsia="仿宋_GB2312" w:cs="Times New Roman"/>
          <w:b w:val="0"/>
          <w:bCs w:val="0"/>
          <w:color w:val="auto"/>
          <w:sz w:val="32"/>
          <w:szCs w:val="32"/>
          <w:highlight w:val="none"/>
          <w:lang w:val="en-US" w:eastAsia="zh-CN" w:bidi="he-IL"/>
        </w:rPr>
        <w:t>各社区</w:t>
      </w:r>
      <w:r>
        <w:rPr>
          <w:rFonts w:hint="eastAsia" w:ascii="仿宋_GB2312" w:hAnsi="Times New Roman" w:eastAsia="仿宋_GB2312" w:cs="Times New Roman"/>
          <w:b w:val="0"/>
          <w:bCs w:val="0"/>
          <w:color w:val="auto"/>
          <w:sz w:val="32"/>
          <w:szCs w:val="32"/>
          <w:highlight w:val="none"/>
          <w:lang w:bidi="he-IL"/>
        </w:rPr>
        <w:t>体育场地设施不足的落后局面得到改善</w:t>
      </w:r>
      <w:r>
        <w:rPr>
          <w:rFonts w:hint="eastAsia" w:ascii="仿宋_GB2312" w:hAnsi="Times New Roman" w:eastAsia="仿宋_GB2312" w:cs="Times New Roman"/>
          <w:b w:val="0"/>
          <w:bCs w:val="0"/>
          <w:color w:val="auto"/>
          <w:sz w:val="32"/>
          <w:szCs w:val="32"/>
          <w:highlight w:val="none"/>
          <w:lang w:eastAsia="zh-CN" w:bidi="he-IL"/>
        </w:rPr>
        <w:t>。</w:t>
      </w:r>
      <w:r>
        <w:rPr>
          <w:rFonts w:hint="eastAsia" w:ascii="仿宋_GB2312" w:hAnsi="Times New Roman" w:eastAsia="仿宋_GB2312" w:cs="Times New Roman"/>
          <w:b w:val="0"/>
          <w:bCs w:val="0"/>
          <w:color w:val="auto"/>
          <w:sz w:val="32"/>
          <w:szCs w:val="32"/>
          <w:highlight w:val="none"/>
          <w:lang w:bidi="he-IL"/>
        </w:rPr>
        <w:t>通过社区体育公园建设及省级补助资金支持，设施建设标准和质量得到提升，也有效提升了社区品质，社区人居环境和周边生态环境均得到极大改善。</w:t>
      </w:r>
      <w:r>
        <w:rPr>
          <w:rFonts w:hint="eastAsia" w:ascii="仿宋_GB2312" w:eastAsia="仿宋_GB2312" w:cs="Times New Roman"/>
          <w:b w:val="0"/>
          <w:bCs w:val="0"/>
          <w:color w:val="auto"/>
          <w:sz w:val="32"/>
          <w:szCs w:val="32"/>
          <w:highlight w:val="none"/>
          <w:lang w:eastAsia="zh-CN" w:bidi="he-IL"/>
        </w:rPr>
        <w:t>如乐昌市华南教育历史研学基地（坪石）—长尾洞社区体育公园如期建成，</w:t>
      </w:r>
      <w:r>
        <w:rPr>
          <w:rFonts w:hint="eastAsia" w:ascii="仿宋_GB2312" w:eastAsia="仿宋_GB2312"/>
          <w:b w:val="0"/>
          <w:bCs w:val="0"/>
          <w:color w:val="auto"/>
          <w:sz w:val="32"/>
          <w:highlight w:val="none"/>
          <w:lang w:val="en-US" w:eastAsia="zh-CN"/>
        </w:rPr>
        <w:t>坪石镇的环境得到显著的改善，为当地居民提供了一个赏心悦目的体闲运动场所。</w:t>
      </w:r>
      <w:r>
        <w:rPr>
          <w:rFonts w:hint="eastAsia" w:ascii="仿宋_GB2312" w:hAnsi="Times New Roman" w:eastAsia="仿宋_GB2312" w:cs="Times New Roman"/>
          <w:b w:val="0"/>
          <w:bCs w:val="0"/>
          <w:color w:val="auto"/>
          <w:sz w:val="32"/>
          <w:szCs w:val="32"/>
          <w:highlight w:val="none"/>
          <w:lang w:val="en-US" w:eastAsia="zh-CN" w:bidi="he-IL"/>
        </w:rPr>
        <w:t>二是改变了生态环境，</w:t>
      </w:r>
      <w:r>
        <w:rPr>
          <w:rFonts w:hint="eastAsia" w:ascii="仿宋_GB2312" w:eastAsia="仿宋_GB2312" w:cs="Times New Roman"/>
          <w:b w:val="0"/>
          <w:bCs w:val="0"/>
          <w:color w:val="auto"/>
          <w:sz w:val="32"/>
          <w:szCs w:val="32"/>
          <w:highlight w:val="none"/>
          <w:lang w:val="en-US" w:eastAsia="zh-CN" w:bidi="he-IL"/>
        </w:rPr>
        <w:t>汕头市潮阳区</w:t>
      </w:r>
      <w:r>
        <w:rPr>
          <w:rFonts w:hint="eastAsia" w:ascii="仿宋_GB2312" w:hAnsi="Times New Roman" w:eastAsia="仿宋_GB2312" w:cs="Times New Roman"/>
          <w:b w:val="0"/>
          <w:bCs w:val="0"/>
          <w:color w:val="auto"/>
          <w:sz w:val="32"/>
          <w:szCs w:val="32"/>
          <w:highlight w:val="none"/>
          <w:lang w:val="en-US" w:eastAsia="zh-CN" w:bidi="he-IL"/>
        </w:rPr>
        <w:t>将以前社区内荒废的地段建设成社区体育公园，提高了生态效益。</w:t>
      </w:r>
      <w:r>
        <w:rPr>
          <w:rFonts w:hint="eastAsia" w:ascii="仿宋_GB2312" w:eastAsia="仿宋_GB2312"/>
          <w:b w:val="0"/>
          <w:bCs w:val="0"/>
          <w:color w:val="auto"/>
          <w:sz w:val="32"/>
          <w:szCs w:val="32"/>
          <w:highlight w:val="none"/>
          <w:lang w:val="en-US" w:eastAsia="zh-CN"/>
        </w:rPr>
        <w:t>社区体育公园的运动场和健身设施与绿地有机地融为一体，</w:t>
      </w:r>
      <w:r>
        <w:rPr>
          <w:rFonts w:hint="eastAsia" w:hAnsi="仿宋" w:eastAsia="仿宋_GB2312" w:cs="Arial"/>
          <w:b w:val="0"/>
          <w:bCs w:val="0"/>
          <w:color w:val="auto"/>
          <w:sz w:val="32"/>
          <w:szCs w:val="32"/>
          <w:highlight w:val="none"/>
          <w:lang w:eastAsia="zh-CN"/>
        </w:rPr>
        <w:t>为当地群众提供一个游憩、休闲、健身、娱乐的公共场所，改善了乡村居民的生活条件，</w:t>
      </w:r>
      <w:r>
        <w:rPr>
          <w:rFonts w:hint="eastAsia" w:ascii="仿宋_GB2312" w:eastAsia="仿宋_GB2312"/>
          <w:b w:val="0"/>
          <w:bCs w:val="0"/>
          <w:color w:val="auto"/>
          <w:sz w:val="32"/>
          <w:szCs w:val="32"/>
          <w:highlight w:val="none"/>
          <w:lang w:val="en-US" w:eastAsia="zh-CN"/>
        </w:rPr>
        <w:t>为居民提供自然、舒适、优美的运动环境</w:t>
      </w:r>
      <w:r>
        <w:rPr>
          <w:rFonts w:hint="eastAsia" w:ascii="仿宋_GB2312" w:hAnsi="仿宋_GB2312" w:eastAsia="仿宋_GB2312"/>
          <w:color w:val="auto"/>
          <w:sz w:val="32"/>
          <w:highlight w:val="none"/>
          <w:lang w:eastAsia="zh-CN"/>
        </w:rPr>
        <w:t>，</w:t>
      </w:r>
      <w:r>
        <w:rPr>
          <w:rFonts w:hint="eastAsia" w:ascii="仿宋_GB2312" w:eastAsia="仿宋_GB2312"/>
          <w:b w:val="0"/>
          <w:bCs w:val="0"/>
          <w:color w:val="auto"/>
          <w:sz w:val="32"/>
          <w:szCs w:val="32"/>
          <w:highlight w:val="none"/>
          <w:lang w:val="en-US" w:eastAsia="zh-CN"/>
        </w:rPr>
        <w:t>对优化社区绿地面积，提高环境生态效益，促进城镇人居环境走向生态化有着积极作用</w:t>
      </w:r>
      <w:r>
        <w:rPr>
          <w:rFonts w:hint="eastAsia" w:ascii="仿宋_GB2312" w:hAnsi="仿宋" w:eastAsia="仿宋_GB2312" w:cs="仿宋"/>
          <w:color w:val="auto"/>
          <w:sz w:val="32"/>
          <w:szCs w:val="32"/>
          <w:highlight w:val="none"/>
          <w:lang w:eastAsia="zh-CN"/>
        </w:rPr>
        <w:t>。</w:t>
      </w:r>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eastAsia" w:ascii="仿宋_GB2312" w:eastAsia="仿宋_GB2312"/>
          <w:color w:val="auto"/>
          <w:sz w:val="32"/>
          <w:szCs w:val="32"/>
          <w:highlight w:val="none"/>
          <w:lang w:val="en-US" w:eastAsia="zh-CN"/>
        </w:rPr>
      </w:pPr>
      <w:r>
        <w:rPr>
          <w:rFonts w:hint="eastAsia" w:ascii="仿宋_GB2312" w:hAnsi="仿宋" w:eastAsia="仿宋_GB2312" w:cs="Times New Roman"/>
          <w:b/>
          <w:bCs/>
          <w:color w:val="auto"/>
          <w:highlight w:val="none"/>
          <w:lang w:val="en-US" w:eastAsia="zh-CN"/>
        </w:rPr>
        <w:t>社区体育公园服务水平提升，人民群众对社区的归属感不断增强。</w:t>
      </w:r>
      <w:r>
        <w:rPr>
          <w:rFonts w:hint="eastAsia" w:ascii="仿宋_GB2312" w:eastAsia="仿宋_GB2312"/>
          <w:b w:val="0"/>
          <w:bCs w:val="0"/>
          <w:color w:val="auto"/>
          <w:sz w:val="32"/>
          <w:szCs w:val="32"/>
          <w:highlight w:val="none"/>
          <w:lang w:val="en-US" w:eastAsia="zh-CN"/>
        </w:rPr>
        <w:t>社区体育公园的建成使用，提高了基本公共服务均等化水平</w:t>
      </w:r>
      <w:r>
        <w:rPr>
          <w:rFonts w:hint="eastAsia" w:ascii="Times New Roman" w:hAnsi="仿宋" w:eastAsia="仿宋_GB2312" w:cs="Arial"/>
          <w:b w:val="0"/>
          <w:bCs w:val="0"/>
          <w:color w:val="auto"/>
          <w:sz w:val="32"/>
          <w:szCs w:val="32"/>
          <w:highlight w:val="none"/>
          <w:lang w:val="en-US" w:eastAsia="zh-CN"/>
        </w:rPr>
        <w:t>，满足了群众多元化体育需求，带动了社区全民健身事业的快速发展。群众休闲锻炼的场所更加规范，设施更加配套和健全，区位更为便捷。丰富了当地群众的体育及娱乐活动，有效地推动基层社区文化和社区体育工作的发展。社区体育公园为市民搭建交流平台，在市民与政府之间搭建了一条彼此信任的纽带，有助于和睦社区居民邻里之间的关系，增强社区的凝聚力，增强村（居）民自治与自我管理的能力，增强群众对社区认同感和归属感。</w:t>
      </w:r>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eastAsia" w:ascii="仿宋_GB2312" w:eastAsia="仿宋_GB2312"/>
          <w:b w:val="0"/>
          <w:bCs w:val="0"/>
          <w:color w:val="auto"/>
          <w:sz w:val="32"/>
          <w:szCs w:val="32"/>
          <w:highlight w:val="none"/>
          <w:lang w:val="en-US" w:eastAsia="zh-CN"/>
        </w:rPr>
      </w:pPr>
      <w:r>
        <w:rPr>
          <w:rFonts w:hint="eastAsia" w:ascii="仿宋_GB2312" w:hAnsi="仿宋" w:eastAsia="仿宋_GB2312" w:cs="Times New Roman"/>
          <w:b/>
          <w:bCs/>
          <w:color w:val="auto"/>
          <w:highlight w:val="none"/>
          <w:lang w:val="en-US" w:eastAsia="zh-CN"/>
        </w:rPr>
        <w:t>建立社区体育公园管理保障机制，人民群众满意度不断增强。</w:t>
      </w:r>
      <w:r>
        <w:rPr>
          <w:rFonts w:hint="eastAsia" w:ascii="Times New Roman" w:hAnsi="仿宋" w:eastAsia="仿宋_GB2312" w:cs="Arial"/>
          <w:b w:val="0"/>
          <w:bCs w:val="0"/>
          <w:color w:val="auto"/>
          <w:sz w:val="32"/>
          <w:szCs w:val="32"/>
          <w:highlight w:val="none"/>
        </w:rPr>
        <w:t>各</w:t>
      </w:r>
      <w:r>
        <w:rPr>
          <w:rFonts w:hint="eastAsia" w:ascii="Times New Roman" w:hAnsi="仿宋" w:eastAsia="仿宋_GB2312" w:cs="Arial"/>
          <w:b w:val="0"/>
          <w:bCs w:val="0"/>
          <w:color w:val="auto"/>
          <w:sz w:val="32"/>
          <w:szCs w:val="32"/>
          <w:highlight w:val="none"/>
          <w:lang w:val="en-US" w:eastAsia="zh-CN"/>
        </w:rPr>
        <w:t>地</w:t>
      </w:r>
      <w:r>
        <w:rPr>
          <w:rFonts w:hint="eastAsia" w:ascii="Times New Roman" w:hAnsi="仿宋" w:eastAsia="仿宋_GB2312" w:cs="Arial"/>
          <w:b w:val="0"/>
          <w:bCs w:val="0"/>
          <w:color w:val="auto"/>
          <w:sz w:val="32"/>
          <w:szCs w:val="32"/>
          <w:highlight w:val="none"/>
        </w:rPr>
        <w:t>为加强社区体育公园管理，将管理维护工作纳入</w:t>
      </w:r>
      <w:r>
        <w:rPr>
          <w:rFonts w:hint="eastAsia" w:ascii="Times New Roman" w:hAnsi="仿宋" w:eastAsia="仿宋_GB2312" w:cs="Arial"/>
          <w:b w:val="0"/>
          <w:bCs w:val="0"/>
          <w:color w:val="auto"/>
          <w:sz w:val="32"/>
          <w:szCs w:val="32"/>
          <w:highlight w:val="none"/>
          <w:lang w:val="en-US" w:eastAsia="zh-CN"/>
        </w:rPr>
        <w:t>当地政府管理范畴和</w:t>
      </w:r>
      <w:r>
        <w:rPr>
          <w:rFonts w:hint="eastAsia" w:ascii="Times New Roman" w:hAnsi="仿宋" w:eastAsia="仿宋_GB2312" w:cs="Arial"/>
          <w:b w:val="0"/>
          <w:bCs w:val="0"/>
          <w:color w:val="auto"/>
          <w:sz w:val="32"/>
          <w:szCs w:val="32"/>
          <w:highlight w:val="none"/>
        </w:rPr>
        <w:t>日常工作</w:t>
      </w:r>
      <w:r>
        <w:rPr>
          <w:rFonts w:hint="eastAsia" w:ascii="Times New Roman" w:hAnsi="仿宋" w:eastAsia="仿宋_GB2312" w:cs="Arial"/>
          <w:b w:val="0"/>
          <w:bCs w:val="0"/>
          <w:color w:val="auto"/>
          <w:sz w:val="32"/>
          <w:szCs w:val="32"/>
          <w:highlight w:val="none"/>
          <w:lang w:eastAsia="zh-CN"/>
        </w:rPr>
        <w:t>，</w:t>
      </w:r>
      <w:r>
        <w:rPr>
          <w:rFonts w:hint="eastAsia" w:ascii="Times New Roman" w:hAnsi="仿宋" w:eastAsia="仿宋_GB2312" w:cs="Arial"/>
          <w:b w:val="0"/>
          <w:bCs w:val="0"/>
          <w:color w:val="auto"/>
          <w:sz w:val="32"/>
          <w:szCs w:val="32"/>
          <w:highlight w:val="none"/>
          <w:lang w:val="en-US" w:eastAsia="zh-CN"/>
        </w:rPr>
        <w:t>建立了</w:t>
      </w:r>
      <w:r>
        <w:rPr>
          <w:rFonts w:hint="eastAsia" w:ascii="Times New Roman" w:hAnsi="仿宋" w:eastAsia="仿宋_GB2312" w:cs="Arial"/>
          <w:b w:val="0"/>
          <w:bCs w:val="0"/>
          <w:color w:val="auto"/>
          <w:sz w:val="32"/>
          <w:szCs w:val="32"/>
          <w:highlight w:val="none"/>
          <w:lang w:eastAsia="zh-CN"/>
        </w:rPr>
        <w:t>社区体育公园管理</w:t>
      </w:r>
      <w:r>
        <w:rPr>
          <w:rFonts w:hint="eastAsia" w:ascii="Times New Roman" w:hAnsi="仿宋" w:eastAsia="仿宋_GB2312" w:cs="Arial"/>
          <w:b w:val="0"/>
          <w:bCs w:val="0"/>
          <w:color w:val="auto"/>
          <w:sz w:val="32"/>
          <w:szCs w:val="32"/>
          <w:highlight w:val="none"/>
          <w:lang w:val="en-US" w:eastAsia="zh-CN"/>
        </w:rPr>
        <w:t>办法和</w:t>
      </w:r>
      <w:r>
        <w:rPr>
          <w:rFonts w:hint="eastAsia" w:ascii="Times New Roman" w:hAnsi="仿宋" w:eastAsia="仿宋_GB2312" w:cs="Arial"/>
          <w:b w:val="0"/>
          <w:bCs w:val="0"/>
          <w:color w:val="auto"/>
          <w:sz w:val="32"/>
          <w:szCs w:val="32"/>
          <w:highlight w:val="none"/>
          <w:lang w:eastAsia="zh-CN"/>
        </w:rPr>
        <w:t>保障机制，</w:t>
      </w:r>
      <w:r>
        <w:rPr>
          <w:rFonts w:hint="eastAsia" w:ascii="Times New Roman" w:hAnsi="仿宋" w:eastAsia="仿宋_GB2312" w:cs="Arial"/>
          <w:b w:val="0"/>
          <w:bCs w:val="0"/>
          <w:color w:val="auto"/>
          <w:sz w:val="32"/>
          <w:szCs w:val="32"/>
          <w:highlight w:val="none"/>
          <w:lang w:val="en-US" w:eastAsia="zh-CN"/>
        </w:rPr>
        <w:t>制定了社区体育公园后续保洁管护方案等。此外，</w:t>
      </w:r>
      <w:r>
        <w:rPr>
          <w:rFonts w:hint="eastAsia" w:ascii="仿宋_GB2312" w:hAnsi="Times New Roman" w:eastAsia="仿宋_GB2312" w:cs="Times New Roman"/>
          <w:b w:val="0"/>
          <w:bCs w:val="0"/>
          <w:color w:val="auto"/>
          <w:kern w:val="2"/>
          <w:sz w:val="32"/>
          <w:szCs w:val="24"/>
          <w:highlight w:val="none"/>
          <w:lang w:val="en-US" w:eastAsia="zh-CN" w:bidi="ar-SA"/>
        </w:rPr>
        <w:t>2020</w:t>
      </w:r>
      <w:r>
        <w:rPr>
          <w:rFonts w:hint="eastAsia" w:ascii="Times New Roman" w:hAnsi="仿宋" w:eastAsia="仿宋_GB2312" w:cs="Arial"/>
          <w:b w:val="0"/>
          <w:bCs w:val="0"/>
          <w:color w:val="auto"/>
          <w:sz w:val="32"/>
          <w:szCs w:val="32"/>
          <w:highlight w:val="none"/>
          <w:lang w:val="en-US" w:eastAsia="zh-CN"/>
        </w:rPr>
        <w:t>年社区体育公园建设项目大大提高了群众对社区体育公园的认识，</w:t>
      </w:r>
      <w:r>
        <w:rPr>
          <w:rFonts w:hint="eastAsia" w:ascii="仿宋_GB2312" w:eastAsia="仿宋_GB2312"/>
          <w:b w:val="0"/>
          <w:bCs w:val="0"/>
          <w:color w:val="auto"/>
          <w:sz w:val="32"/>
          <w:szCs w:val="32"/>
          <w:highlight w:val="none"/>
          <w:lang w:val="en-US" w:eastAsia="zh-CN"/>
        </w:rPr>
        <w:t>现场调研和调查问卷结果显示，居民对社区体育公园建设项目的综合满意度较高。</w:t>
      </w:r>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eastAsia" w:ascii="仿宋" w:hAnsi="仿宋" w:eastAsia="仿宋" w:cs="仿宋"/>
          <w:b w:val="0"/>
          <w:bCs w:val="0"/>
          <w:color w:val="auto"/>
          <w:sz w:val="32"/>
          <w:szCs w:val="32"/>
          <w:highlight w:val="none"/>
          <w:lang w:val="en-US" w:eastAsia="zh-CN"/>
        </w:rPr>
      </w:pPr>
      <w:r>
        <w:rPr>
          <w:rFonts w:hint="eastAsia" w:ascii="仿宋_GB2312" w:hAnsi="仿宋" w:eastAsia="仿宋_GB2312" w:cs="Times New Roman"/>
          <w:b/>
          <w:bCs/>
          <w:color w:val="auto"/>
          <w:highlight w:val="none"/>
          <w:lang w:val="en-US" w:eastAsia="zh-CN"/>
        </w:rPr>
        <w:t>有助于提高居民身体素质</w:t>
      </w:r>
      <w:bookmarkEnd w:id="36"/>
      <w:r>
        <w:rPr>
          <w:rFonts w:hint="eastAsia" w:ascii="仿宋_GB2312" w:hAnsi="仿宋" w:eastAsia="仿宋_GB2312" w:cs="Times New Roman"/>
          <w:b/>
          <w:bCs/>
          <w:color w:val="auto"/>
          <w:highlight w:val="none"/>
          <w:lang w:val="en-US" w:eastAsia="zh-CN"/>
        </w:rPr>
        <w:t>，推动体育事业的发展。</w:t>
      </w:r>
      <w:r>
        <w:rPr>
          <w:rFonts w:hint="eastAsia" w:ascii="仿宋_GB2312" w:eastAsia="仿宋_GB2312"/>
          <w:b w:val="0"/>
          <w:bCs w:val="0"/>
          <w:color w:val="auto"/>
          <w:sz w:val="32"/>
          <w:szCs w:val="32"/>
          <w:highlight w:val="none"/>
          <w:lang w:val="en-US" w:eastAsia="zh-CN"/>
        </w:rPr>
        <w:t>一是社区体育公园</w:t>
      </w:r>
      <w:r>
        <w:rPr>
          <w:rFonts w:hint="eastAsia" w:ascii="仿宋_GB2312" w:hAnsi="仿宋" w:eastAsia="仿宋_GB2312" w:cs="仿宋"/>
          <w:b w:val="0"/>
          <w:bCs w:val="0"/>
          <w:color w:val="auto"/>
          <w:sz w:val="32"/>
          <w:szCs w:val="32"/>
          <w:highlight w:val="none"/>
        </w:rPr>
        <w:t>提高</w:t>
      </w:r>
      <w:r>
        <w:rPr>
          <w:rFonts w:hint="eastAsia" w:ascii="仿宋_GB2312" w:hAnsi="仿宋" w:eastAsia="仿宋_GB2312" w:cs="仿宋"/>
          <w:b w:val="0"/>
          <w:bCs w:val="0"/>
          <w:color w:val="auto"/>
          <w:sz w:val="32"/>
          <w:szCs w:val="32"/>
          <w:highlight w:val="none"/>
          <w:lang w:val="en-US" w:eastAsia="zh-CN"/>
        </w:rPr>
        <w:t>了</w:t>
      </w:r>
      <w:r>
        <w:rPr>
          <w:rFonts w:hint="eastAsia" w:ascii="仿宋_GB2312" w:hAnsi="仿宋" w:eastAsia="仿宋_GB2312" w:cs="仿宋"/>
          <w:b w:val="0"/>
          <w:bCs w:val="0"/>
          <w:color w:val="auto"/>
          <w:sz w:val="32"/>
          <w:szCs w:val="32"/>
          <w:highlight w:val="none"/>
        </w:rPr>
        <w:t>社区居民群众文明素质，</w:t>
      </w:r>
      <w:r>
        <w:rPr>
          <w:rFonts w:hint="eastAsia" w:ascii="仿宋_GB2312" w:eastAsia="仿宋_GB2312"/>
          <w:b w:val="0"/>
          <w:bCs w:val="0"/>
          <w:color w:val="auto"/>
          <w:sz w:val="32"/>
          <w:highlight w:val="none"/>
        </w:rPr>
        <w:t>推动形成全民健身、全民参与运动的良好氛围，</w:t>
      </w:r>
      <w:r>
        <w:rPr>
          <w:rFonts w:hint="eastAsia" w:ascii="仿宋_GB2312" w:hAnsi="仿宋" w:eastAsia="仿宋_GB2312" w:cs="仿宋"/>
          <w:b w:val="0"/>
          <w:bCs w:val="0"/>
          <w:color w:val="auto"/>
          <w:sz w:val="32"/>
          <w:szCs w:val="32"/>
          <w:highlight w:val="none"/>
        </w:rPr>
        <w:t>引导群众养成良好的健康行为习惯</w:t>
      </w:r>
      <w:r>
        <w:rPr>
          <w:rFonts w:hint="eastAsia" w:ascii="仿宋_GB2312" w:hAnsi="Times New Roman" w:eastAsia="仿宋_GB2312" w:cs="Times New Roman"/>
          <w:b w:val="0"/>
          <w:bCs w:val="0"/>
          <w:color w:val="auto"/>
          <w:sz w:val="32"/>
          <w:szCs w:val="32"/>
          <w:highlight w:val="none"/>
          <w:lang w:val="en-US" w:eastAsia="zh-CN"/>
        </w:rPr>
        <w:t>，</w:t>
      </w:r>
      <w:r>
        <w:rPr>
          <w:rFonts w:hint="eastAsia" w:ascii="仿宋_GB2312" w:hAnsi="仿宋_GB2312" w:eastAsia="仿宋_GB2312"/>
          <w:b w:val="0"/>
          <w:bCs w:val="0"/>
          <w:color w:val="auto"/>
          <w:sz w:val="32"/>
          <w:highlight w:val="none"/>
          <w:shd w:val="clear" w:color="auto" w:fill="FFFFFF"/>
        </w:rPr>
        <w:t>全面提高了居民体质，</w:t>
      </w:r>
      <w:r>
        <w:rPr>
          <w:rFonts w:hint="eastAsia" w:ascii="仿宋_GB2312" w:hAnsi="Times New Roman" w:eastAsia="仿宋_GB2312" w:cs="Times New Roman"/>
          <w:b w:val="0"/>
          <w:bCs w:val="0"/>
          <w:color w:val="auto"/>
          <w:sz w:val="32"/>
          <w:szCs w:val="32"/>
          <w:highlight w:val="none"/>
          <w:lang w:val="en-US" w:eastAsia="zh-CN"/>
        </w:rPr>
        <w:t>社会效益显著。二是</w:t>
      </w:r>
      <w:r>
        <w:rPr>
          <w:rFonts w:hint="eastAsia" w:ascii="仿宋_GB2312" w:eastAsia="仿宋_GB2312"/>
          <w:b w:val="0"/>
          <w:bCs w:val="0"/>
          <w:color w:val="auto"/>
          <w:sz w:val="32"/>
          <w:szCs w:val="32"/>
          <w:highlight w:val="none"/>
          <w:lang w:val="en-US" w:eastAsia="zh-CN"/>
        </w:rPr>
        <w:t>对开展体育运动，增强人民体质具有重要意义。如茂名市反映，在体育公园内建设足球场，对提高当地足球运动的普及率以及推动全市市民体育健身意识都有着积极的作用</w:t>
      </w:r>
      <w:r>
        <w:rPr>
          <w:rFonts w:hint="eastAsia" w:ascii="仿宋" w:hAnsi="仿宋" w:eastAsia="仿宋" w:cs="仿宋"/>
          <w:b w:val="0"/>
          <w:bCs w:val="0"/>
          <w:color w:val="auto"/>
          <w:sz w:val="32"/>
          <w:szCs w:val="32"/>
          <w:highlight w:val="none"/>
          <w:lang w:val="en-US" w:eastAsia="zh-CN"/>
        </w:rPr>
        <w:t>。</w:t>
      </w:r>
      <w:bookmarkEnd w:id="29"/>
      <w:bookmarkEnd w:id="30"/>
      <w:bookmarkEnd w:id="31"/>
      <w:bookmarkEnd w:id="32"/>
      <w:bookmarkEnd w:id="33"/>
    </w:p>
    <w:p>
      <w:pPr>
        <w:pageBreakBefore w:val="0"/>
        <w:numPr>
          <w:ilvl w:val="0"/>
          <w:numId w:val="0"/>
        </w:numPr>
        <w:kinsoku/>
        <w:wordWrap/>
        <w:overflowPunct/>
        <w:topLinePunct w:val="0"/>
        <w:autoSpaceDE/>
        <w:autoSpaceDN/>
        <w:bidi w:val="0"/>
        <w:adjustRightInd/>
        <w:snapToGrid w:val="0"/>
        <w:spacing w:beforeLines="0" w:afterLines="0" w:line="600" w:lineRule="exact"/>
        <w:ind w:firstLine="643" w:firstLineChars="200"/>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（2）城镇老旧小区改造省级补助资金。</w:t>
      </w:r>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default" w:ascii="仿宋_GB2312" w:eastAsia="仿宋_GB2312"/>
          <w:color w:val="auto"/>
          <w:sz w:val="32"/>
          <w:szCs w:val="32"/>
          <w:highlight w:val="none"/>
          <w:lang w:val="en-US" w:eastAsia="zh-CN"/>
        </w:rPr>
      </w:pPr>
      <w:r>
        <w:rPr>
          <w:rFonts w:hint="eastAsia" w:ascii="仿宋_GB2312" w:hAnsi="Times New Roman" w:eastAsia="仿宋_GB2312"/>
          <w:b/>
          <w:bCs/>
          <w:color w:val="auto"/>
          <w:kern w:val="2"/>
          <w:sz w:val="32"/>
          <w:highlight w:val="none"/>
          <w:lang w:val="en-US" w:eastAsia="zh-CN"/>
        </w:rPr>
        <w:t>年度目标任务全面完成，居民的获得感、幸福感和安全感进一步提升。</w:t>
      </w:r>
      <w:r>
        <w:rPr>
          <w:rFonts w:hint="eastAsia" w:ascii="仿宋_GB2312" w:hAnsi="仿宋" w:eastAsia="仿宋_GB2312" w:cs="Times New Roman"/>
          <w:b w:val="0"/>
          <w:bCs w:val="0"/>
          <w:color w:val="auto"/>
          <w:kern w:val="2"/>
          <w:sz w:val="32"/>
          <w:szCs w:val="24"/>
          <w:highlight w:val="none"/>
          <w:lang w:val="en-US" w:eastAsia="zh-CN" w:bidi="ar-SA"/>
        </w:rPr>
        <w:t>韶关市、梅州市将省级专项资金与中央资金和自筹资金统筹</w:t>
      </w:r>
      <w:r>
        <w:rPr>
          <w:rFonts w:hint="eastAsia" w:ascii="仿宋_GB2312" w:hAnsi="Times New Roman" w:eastAsia="仿宋_GB2312" w:cs="Times New Roman"/>
          <w:b w:val="0"/>
          <w:bCs w:val="0"/>
          <w:color w:val="auto"/>
          <w:kern w:val="2"/>
          <w:sz w:val="32"/>
          <w:szCs w:val="24"/>
          <w:highlight w:val="none"/>
          <w:lang w:val="en-US" w:eastAsia="zh-CN" w:bidi="ar-SA"/>
        </w:rPr>
        <w:t>使用，全面完成了2020年城镇老旧小区改造计划任务、实现了预期绩效目标。具体而言，实际完成老旧小区改造面积25.706万平方米、户数2648户、楼栋数185栋、小区数47个，完成率分别为214.72%、181%、176.19%、162.07%。经过改造的老旧小区，由“脏乱差”转变为“洁净美”，景观得到美化，设施得到完善，功能得到提升，居民综合满意度较高，有效改善了老旧小区居民的居住条件，居民的获得感、幸福感、安全感进一步提升。</w:t>
      </w:r>
    </w:p>
    <w:p>
      <w:pPr>
        <w:pStyle w:val="12"/>
        <w:pageBreakBefore w:val="0"/>
        <w:kinsoku/>
        <w:wordWrap/>
        <w:overflowPunct/>
        <w:topLinePunct w:val="0"/>
        <w:autoSpaceDE/>
        <w:autoSpaceDN/>
        <w:bidi w:val="0"/>
        <w:adjustRightInd/>
        <w:spacing w:before="0" w:after="0" w:line="600" w:lineRule="exact"/>
        <w:ind w:firstLine="643" w:firstLineChars="200"/>
        <w:jc w:val="both"/>
        <w:outlineLvl w:val="2"/>
        <w:rPr>
          <w:rFonts w:hint="eastAsia" w:ascii="仿宋_GB2312" w:eastAsia="仿宋_GB2312"/>
          <w:b w:val="0"/>
          <w:bCs w:val="0"/>
          <w:color w:val="auto"/>
          <w:sz w:val="32"/>
          <w:highlight w:val="none"/>
          <w:lang w:val="en-US" w:eastAsia="zh-CN"/>
        </w:rPr>
      </w:pPr>
      <w:r>
        <w:rPr>
          <w:rFonts w:hint="eastAsia" w:ascii="仿宋_GB2312" w:hAnsi="Times New Roman" w:eastAsia="仿宋_GB2312"/>
          <w:b/>
          <w:bCs/>
          <w:color w:val="auto"/>
          <w:kern w:val="2"/>
          <w:sz w:val="32"/>
          <w:highlight w:val="none"/>
          <w:lang w:val="en-US" w:eastAsia="zh-CN"/>
        </w:rPr>
        <w:t>积极探索、完善政策、以点带面，为今后深入推进城镇老旧小区改造积累经验。</w:t>
      </w:r>
      <w:r>
        <w:rPr>
          <w:rFonts w:hint="eastAsia" w:ascii="仿宋_GB2312" w:eastAsia="仿宋_GB2312"/>
          <w:b w:val="0"/>
          <w:bCs w:val="0"/>
          <w:color w:val="auto"/>
          <w:sz w:val="32"/>
          <w:highlight w:val="none"/>
          <w:lang w:eastAsia="zh-CN"/>
        </w:rPr>
        <w:t>一是坚持以人民为中心的发展思想，做好信息公开和宣传工作，把老旧小区改造这一惠民政策落到实处，充分征求和听取居民意见，老旧小区</w:t>
      </w:r>
      <w:r>
        <w:rPr>
          <w:rFonts w:hint="eastAsia" w:ascii="仿宋_GB2312" w:hAnsi="仿宋_GB2312" w:eastAsia="仿宋_GB2312" w:cs="仿宋_GB2312"/>
          <w:b w:val="0"/>
          <w:bCs w:val="0"/>
          <w:color w:val="auto"/>
          <w:kern w:val="0"/>
          <w:sz w:val="31"/>
          <w:szCs w:val="31"/>
          <w:highlight w:val="none"/>
          <w:lang w:val="en-US" w:eastAsia="zh-CN" w:bidi="ar"/>
        </w:rPr>
        <w:t>“改不改、怎么改”群众说了算，调动群众的积极性和主动性。二是</w:t>
      </w:r>
      <w:r>
        <w:rPr>
          <w:rFonts w:hint="eastAsia" w:ascii="仿宋_GB2312" w:hAnsi="仿宋_GB2312" w:eastAsia="仿宋_GB2312" w:cs="仿宋_GB2312"/>
          <w:b w:val="0"/>
          <w:bCs w:val="0"/>
          <w:color w:val="auto"/>
          <w:kern w:val="0"/>
          <w:sz w:val="31"/>
          <w:szCs w:val="31"/>
          <w:highlight w:val="none"/>
          <w:lang w:val="zh-CN" w:eastAsia="zh-CN" w:bidi="ar"/>
        </w:rPr>
        <w:t>坚持党建引领共同缔造，将社区治理能力建设融入</w:t>
      </w:r>
      <w:r>
        <w:rPr>
          <w:rFonts w:hint="eastAsia" w:ascii="仿宋_GB2312" w:hAnsi="仿宋_GB2312" w:eastAsia="仿宋_GB2312" w:cs="仿宋_GB2312"/>
          <w:b w:val="0"/>
          <w:bCs w:val="0"/>
          <w:color w:val="auto"/>
          <w:kern w:val="0"/>
          <w:sz w:val="31"/>
          <w:szCs w:val="31"/>
          <w:highlight w:val="none"/>
          <w:lang w:val="en-US" w:eastAsia="zh-CN" w:bidi="ar"/>
        </w:rPr>
        <w:t>老旧小区改造</w:t>
      </w:r>
      <w:r>
        <w:rPr>
          <w:rFonts w:hint="eastAsia" w:ascii="仿宋_GB2312" w:hAnsi="仿宋_GB2312" w:eastAsia="仿宋_GB2312" w:cs="仿宋_GB2312"/>
          <w:b w:val="0"/>
          <w:bCs w:val="0"/>
          <w:color w:val="auto"/>
          <w:kern w:val="0"/>
          <w:sz w:val="31"/>
          <w:szCs w:val="31"/>
          <w:highlight w:val="none"/>
          <w:lang w:val="zh-CN" w:eastAsia="zh-CN" w:bidi="ar"/>
        </w:rPr>
        <w:t>过程，实现共谋共建共管共评共享共赢的空间治理新格局。</w:t>
      </w:r>
      <w:r>
        <w:rPr>
          <w:rFonts w:hint="eastAsia" w:ascii="仿宋_GB2312" w:hAnsi="仿宋_GB2312" w:eastAsia="仿宋_GB2312" w:cs="仿宋_GB2312"/>
          <w:b w:val="0"/>
          <w:bCs w:val="0"/>
          <w:color w:val="auto"/>
          <w:kern w:val="0"/>
          <w:sz w:val="31"/>
          <w:szCs w:val="31"/>
          <w:highlight w:val="none"/>
          <w:lang w:val="en-US" w:eastAsia="zh-CN" w:bidi="ar"/>
        </w:rPr>
        <w:t>三是</w:t>
      </w:r>
      <w:r>
        <w:rPr>
          <w:rFonts w:hint="eastAsia" w:ascii="仿宋_GB2312" w:hAnsi="仿宋_GB2312" w:eastAsia="仿宋_GB2312" w:cs="仿宋_GB2312"/>
          <w:b w:val="0"/>
          <w:bCs w:val="0"/>
          <w:color w:val="auto"/>
          <w:kern w:val="0"/>
          <w:sz w:val="31"/>
          <w:szCs w:val="31"/>
          <w:highlight w:val="none"/>
          <w:lang w:val="zh-CN" w:eastAsia="zh-CN" w:bidi="ar"/>
        </w:rPr>
        <w:t>坚持新发展理念，按照高质量发展要求，</w:t>
      </w:r>
      <w:r>
        <w:rPr>
          <w:rFonts w:hint="eastAsia" w:ascii="仿宋_GB2312" w:hAnsi="仿宋_GB2312" w:eastAsia="仿宋_GB2312" w:cs="仿宋_GB2312"/>
          <w:b w:val="0"/>
          <w:bCs w:val="0"/>
          <w:color w:val="auto"/>
          <w:kern w:val="0"/>
          <w:sz w:val="31"/>
          <w:szCs w:val="31"/>
          <w:highlight w:val="none"/>
          <w:lang w:val="en-US" w:eastAsia="zh-CN" w:bidi="ar"/>
        </w:rPr>
        <w:t>规范</w:t>
      </w:r>
      <w:r>
        <w:rPr>
          <w:rFonts w:hint="eastAsia" w:ascii="仿宋_GB2312" w:hAnsi="仿宋_GB2312" w:eastAsia="仿宋_GB2312" w:cs="仿宋_GB2312"/>
          <w:b w:val="0"/>
          <w:bCs w:val="0"/>
          <w:color w:val="auto"/>
          <w:kern w:val="0"/>
          <w:sz w:val="31"/>
          <w:szCs w:val="31"/>
          <w:highlight w:val="none"/>
          <w:lang w:val="zh-CN" w:eastAsia="zh-CN" w:bidi="ar"/>
        </w:rPr>
        <w:t>运作，</w:t>
      </w:r>
      <w:r>
        <w:rPr>
          <w:rFonts w:hint="eastAsia" w:ascii="仿宋_GB2312" w:hAnsi="仿宋_GB2312" w:eastAsia="仿宋_GB2312" w:cs="仿宋_GB2312"/>
          <w:b w:val="0"/>
          <w:bCs w:val="0"/>
          <w:color w:val="auto"/>
          <w:kern w:val="0"/>
          <w:sz w:val="31"/>
          <w:szCs w:val="31"/>
          <w:highlight w:val="none"/>
          <w:lang w:val="en-US" w:eastAsia="zh-CN" w:bidi="ar"/>
        </w:rPr>
        <w:t>建立和完善</w:t>
      </w:r>
      <w:r>
        <w:rPr>
          <w:rFonts w:hint="eastAsia" w:ascii="仿宋_GB2312" w:hAnsi="仿宋_GB2312" w:eastAsia="仿宋_GB2312" w:cs="仿宋_GB2312"/>
          <w:b w:val="0"/>
          <w:bCs w:val="0"/>
          <w:color w:val="auto"/>
          <w:kern w:val="0"/>
          <w:sz w:val="31"/>
          <w:szCs w:val="31"/>
          <w:highlight w:val="none"/>
          <w:lang w:val="zh-CN" w:eastAsia="zh-CN" w:bidi="ar"/>
        </w:rPr>
        <w:t>技术标准，</w:t>
      </w:r>
      <w:r>
        <w:rPr>
          <w:rFonts w:hint="eastAsia" w:ascii="仿宋_GB2312" w:hAnsi="仿宋_GB2312" w:eastAsia="仿宋_GB2312" w:cs="仿宋_GB2312"/>
          <w:b w:val="0"/>
          <w:bCs w:val="0"/>
          <w:color w:val="auto"/>
          <w:kern w:val="0"/>
          <w:sz w:val="31"/>
          <w:szCs w:val="31"/>
          <w:highlight w:val="none"/>
          <w:lang w:val="en-US" w:eastAsia="zh-CN" w:bidi="ar"/>
        </w:rPr>
        <w:t>明确</w:t>
      </w:r>
      <w:r>
        <w:rPr>
          <w:rFonts w:hint="eastAsia" w:ascii="仿宋_GB2312" w:hAnsi="仿宋_GB2312" w:eastAsia="仿宋_GB2312" w:cs="仿宋_GB2312"/>
          <w:b w:val="0"/>
          <w:bCs w:val="0"/>
          <w:color w:val="auto"/>
          <w:kern w:val="0"/>
          <w:sz w:val="31"/>
          <w:szCs w:val="31"/>
          <w:highlight w:val="none"/>
          <w:lang w:val="zh-CN" w:eastAsia="zh-CN" w:bidi="ar"/>
        </w:rPr>
        <w:t>老旧小区</w:t>
      </w:r>
      <w:r>
        <w:rPr>
          <w:rFonts w:hint="eastAsia" w:ascii="仿宋_GB2312" w:hAnsi="仿宋_GB2312" w:eastAsia="仿宋_GB2312" w:cs="仿宋_GB2312"/>
          <w:b w:val="0"/>
          <w:bCs w:val="0"/>
          <w:color w:val="auto"/>
          <w:kern w:val="0"/>
          <w:sz w:val="31"/>
          <w:szCs w:val="31"/>
          <w:highlight w:val="none"/>
          <w:lang w:val="en-US" w:eastAsia="zh-CN" w:bidi="ar"/>
        </w:rPr>
        <w:t>改造必备内容及自选内容、具体实</w:t>
      </w:r>
      <w:r>
        <w:rPr>
          <w:rFonts w:hint="eastAsia" w:ascii="仿宋_GB2312" w:eastAsia="仿宋_GB2312"/>
          <w:b w:val="0"/>
          <w:bCs w:val="0"/>
          <w:color w:val="auto"/>
          <w:sz w:val="32"/>
          <w:highlight w:val="none"/>
          <w:lang w:val="en-US" w:eastAsia="zh-CN"/>
        </w:rPr>
        <w:t>施工作流程，制定定性和定量相结合的改造实施标准及监督考核机制，建立必要的量化指标，强化现场质量管理，形成一套可操作性强、可监督考核的工作机制和改造标准，切实保障提高改造品质。</w:t>
      </w:r>
      <w:r>
        <w:rPr>
          <w:rFonts w:hint="eastAsia" w:ascii="仿宋_GB2312" w:eastAsia="仿宋_GB2312"/>
          <w:b w:val="0"/>
          <w:bCs w:val="0"/>
          <w:color w:val="auto"/>
          <w:sz w:val="32"/>
          <w:highlight w:val="none"/>
          <w:lang w:eastAsia="zh-CN"/>
        </w:rPr>
        <w:t>四</w:t>
      </w:r>
      <w:r>
        <w:rPr>
          <w:rFonts w:hint="eastAsia" w:ascii="仿宋_GB2312" w:eastAsia="仿宋_GB2312"/>
          <w:b w:val="0"/>
          <w:bCs w:val="0"/>
          <w:color w:val="auto"/>
          <w:sz w:val="32"/>
          <w:highlight w:val="none"/>
          <w:lang w:val="en-US" w:eastAsia="zh-CN"/>
        </w:rPr>
        <w:t>是坚持因地制宜，精准施策,示范带动，扎实推进老旧小区改造。市县在实施老旧小区改造时，首先是完善审批流程，打通改造堵点。根据国家和省有关城镇老旧小区改造的指导意见和优化政策，结合实际制定老旧小区改造项目绿色通道及审批实施指引、改造方案联审制度、施工图审查告知承诺制等一系列配套文件，以尽可能地压减老旧小区改造项目前期审批流程。其次是打造老旧小区改造示范点，除了统筹解决水电气路等基础问题之外，按照文明小区、品质小区、智慧小区的改造愿景，先行落实外立面刷漆、空调机位整改、防盗网翻新改造、加装电梯、加装充电桩等工程，把老旧小区改造的效果率先向居民呈现，为区域老旧小区改造提供示范，提高居民的参与度和配合度，以点带面提高改造效果。第三是项目实施过程做到公开透明，做好相关信息公示，选定居民代表为义务监督员，接受群众监督。</w:t>
      </w:r>
    </w:p>
    <w:p>
      <w:pPr>
        <w:pStyle w:val="30"/>
        <w:pageBreakBefore w:val="0"/>
        <w:tabs>
          <w:tab w:val="left" w:pos="1843"/>
        </w:tabs>
        <w:kinsoku/>
        <w:wordWrap/>
        <w:overflowPunct/>
        <w:topLinePunct w:val="0"/>
        <w:autoSpaceDE/>
        <w:autoSpaceDN/>
        <w:bidi w:val="0"/>
        <w:adjustRightInd/>
        <w:spacing w:line="600" w:lineRule="exact"/>
        <w:ind w:firstLine="646" w:firstLineChars="201"/>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（3）农村削坡建房风险排查专项资金。</w:t>
      </w:r>
      <w:bookmarkStart w:id="38" w:name="_Toc13121"/>
      <w:bookmarkStart w:id="39" w:name="_Toc20753"/>
      <w:bookmarkStart w:id="40" w:name="_Toc30890"/>
    </w:p>
    <w:p>
      <w:pPr>
        <w:pStyle w:val="30"/>
        <w:pageBreakBefore w:val="0"/>
        <w:tabs>
          <w:tab w:val="left" w:pos="1843"/>
        </w:tabs>
        <w:kinsoku/>
        <w:wordWrap/>
        <w:overflowPunct/>
        <w:topLinePunct w:val="0"/>
        <w:autoSpaceDE/>
        <w:autoSpaceDN/>
        <w:bidi w:val="0"/>
        <w:adjustRightInd/>
        <w:spacing w:line="600" w:lineRule="exact"/>
        <w:ind w:firstLine="646" w:firstLineChars="201"/>
        <w:rPr>
          <w:rFonts w:hint="eastAsia" w:ascii="仿宋_GB2312" w:hAnsi="仿宋_GB2312" w:eastAsia="仿宋_GB2312" w:cstheme="minorBidi"/>
          <w:color w:val="auto"/>
          <w:sz w:val="32"/>
          <w:highlight w:val="none"/>
          <w:lang w:val="en-US" w:eastAsia="zh-CN"/>
        </w:rPr>
      </w:pPr>
      <w:r>
        <w:rPr>
          <w:rFonts w:hint="eastAsia" w:ascii="仿宋_GB2312" w:hAnsi="Times New Roman" w:eastAsia="仿宋_GB2312" w:cs="Times New Roman"/>
          <w:b/>
          <w:bCs/>
          <w:color w:val="auto"/>
          <w:sz w:val="32"/>
          <w:szCs w:val="32"/>
          <w:lang w:val="en-US" w:eastAsia="zh-CN"/>
        </w:rPr>
        <w:t>为农村削坡建房风险点排查工作提供有力保障，</w:t>
      </w:r>
      <w:bookmarkEnd w:id="38"/>
      <w:bookmarkEnd w:id="39"/>
      <w:r>
        <w:rPr>
          <w:rFonts w:hint="eastAsia" w:ascii="仿宋_GB2312" w:hAnsi="Times New Roman" w:eastAsia="仿宋_GB2312" w:cs="Times New Roman"/>
          <w:b/>
          <w:bCs/>
          <w:color w:val="auto"/>
          <w:sz w:val="32"/>
          <w:szCs w:val="32"/>
          <w:lang w:val="en-US" w:eastAsia="zh-CN"/>
        </w:rPr>
        <w:t>基本达到了预期效果</w:t>
      </w:r>
      <w:bookmarkEnd w:id="40"/>
      <w:r>
        <w:rPr>
          <w:rFonts w:hint="eastAsia" w:ascii="仿宋_GB2312" w:eastAsia="仿宋_GB2312" w:cs="Times New Roman"/>
          <w:b/>
          <w:bCs/>
          <w:color w:val="auto"/>
          <w:sz w:val="32"/>
          <w:szCs w:val="32"/>
          <w:lang w:val="en-US" w:eastAsia="zh-CN"/>
        </w:rPr>
        <w:t>。</w:t>
      </w:r>
      <w:r>
        <w:rPr>
          <w:rFonts w:hint="eastAsia" w:ascii="仿宋_GB2312" w:hAnsi="仿宋_GB2312" w:eastAsia="仿宋_GB2312" w:cstheme="minorBidi"/>
          <w:color w:val="auto"/>
          <w:sz w:val="32"/>
          <w:highlight w:val="none"/>
          <w:lang w:val="en-US" w:eastAsia="zh-CN"/>
        </w:rPr>
        <w:t>专项资金为粤东西北地区农村削坡建房风险排查提供了有力保障，使农村削坡建房风险点排查工作顺利开展。2020年，有关市县按照省下达的专项资金和任务清单组织开展农村削坡建房风险排查工作，共排查出风险点户数123119处（户）、涉及的人口数598385人。完成了农村削坡建房风险点排查和风险等级认定，基本摸清了农村削坡建房风险点底数，锁定既有风险点，建立整治台账，初步拟定风险点整治技术方案，并估算风险点整治费用，为下一步农村削坡建房风险点整治打下良好基础。有利于防范农村削坡建房周边区域发生地质灾害，提高农村综合防灾减灾救灾能力,保障人民群众生命财产安全。</w:t>
      </w:r>
    </w:p>
    <w:p>
      <w:pPr>
        <w:pStyle w:val="30"/>
        <w:pageBreakBefore w:val="0"/>
        <w:tabs>
          <w:tab w:val="left" w:pos="1843"/>
        </w:tabs>
        <w:kinsoku/>
        <w:wordWrap/>
        <w:overflowPunct/>
        <w:topLinePunct w:val="0"/>
        <w:autoSpaceDE/>
        <w:autoSpaceDN/>
        <w:bidi w:val="0"/>
        <w:adjustRightInd/>
        <w:spacing w:line="600" w:lineRule="exact"/>
        <w:ind w:firstLine="646" w:firstLineChars="201"/>
        <w:rPr>
          <w:rFonts w:hint="default"/>
          <w:b w:val="0"/>
          <w:bCs w:val="0"/>
          <w:lang w:val="en-US" w:eastAsia="zh-CN"/>
        </w:rPr>
      </w:pPr>
      <w:bookmarkStart w:id="41" w:name="_Toc10909"/>
      <w:bookmarkStart w:id="42" w:name="_Toc30389"/>
      <w:r>
        <w:rPr>
          <w:rFonts w:hint="eastAsia" w:ascii="仿宋_GB2312" w:hAnsi="Times New Roman" w:eastAsia="仿宋_GB2312" w:cs="Times New Roman"/>
          <w:b/>
          <w:bCs/>
          <w:color w:val="auto"/>
          <w:sz w:val="32"/>
          <w:szCs w:val="32"/>
          <w:lang w:val="en-US" w:eastAsia="zh-CN"/>
        </w:rPr>
        <w:t>夯实农村削坡建房风险点整治基础，人民群众幸福感和获得感不断增强</w:t>
      </w:r>
      <w:bookmarkEnd w:id="41"/>
      <w:bookmarkEnd w:id="42"/>
      <w:r>
        <w:rPr>
          <w:rFonts w:hint="eastAsia" w:ascii="仿宋_GB2312" w:eastAsia="仿宋_GB2312" w:cs="Times New Roman"/>
          <w:b/>
          <w:bCs/>
          <w:color w:val="auto"/>
          <w:sz w:val="32"/>
          <w:szCs w:val="32"/>
          <w:lang w:val="en-US" w:eastAsia="zh-CN"/>
        </w:rPr>
        <w:t>。</w:t>
      </w:r>
      <w:r>
        <w:rPr>
          <w:rFonts w:hint="eastAsia" w:ascii="仿宋_GB2312" w:hAnsi="仿宋_GB2312" w:eastAsia="仿宋_GB2312" w:cstheme="minorBidi"/>
          <w:b w:val="0"/>
          <w:bCs w:val="0"/>
          <w:color w:val="auto"/>
          <w:sz w:val="32"/>
          <w:highlight w:val="none"/>
          <w:lang w:val="en-US" w:eastAsia="zh-CN"/>
        </w:rPr>
        <w:t>做好农村削坡建房风险点排查及整治工作是保障和改善民生、增进人民福祉的重要方面，是践行习近平总书记提出的切实把确保人民生命安全放在第一位落到实处的具体行动。各地使用农村削坡建房风险排查的工作成果，推进农村削坡建房风险点整治，采取避险搬迁、工程治理、简易治理等整治措施，有效降低农村削坡建房风险。减少了农村削坡建房点及其周边区域因自然因素或人为活动引发的可能造成山体崩塌、滑坡等地质灾害的风险，降低了受削坡建房隐患威胁的人口比例，人民群众幸福感和获得感不断增强，社会效益显著。</w:t>
      </w:r>
    </w:p>
    <w:p>
      <w:pPr>
        <w:pStyle w:val="3"/>
        <w:pageBreakBefore w:val="0"/>
        <w:kinsoku/>
        <w:wordWrap/>
        <w:overflowPunct/>
        <w:topLinePunct w:val="0"/>
        <w:autoSpaceDE/>
        <w:autoSpaceDN/>
        <w:bidi w:val="0"/>
        <w:adjustRightInd/>
        <w:spacing w:before="0" w:after="0" w:line="600" w:lineRule="exact"/>
        <w:ind w:firstLine="640" w:firstLineChars="200"/>
        <w:rPr>
          <w:rFonts w:hint="eastAsia" w:ascii="Calibri" w:hAnsi="宋体"/>
          <w:b w:val="0"/>
          <w:bCs w:val="0"/>
          <w:color w:val="auto"/>
          <w:highlight w:val="none"/>
        </w:rPr>
      </w:pPr>
      <w:bookmarkStart w:id="43" w:name="_Toc42021449"/>
      <w:r>
        <w:rPr>
          <w:rFonts w:hint="eastAsia" w:ascii="Calibri" w:hAnsi="宋体"/>
          <w:b w:val="0"/>
          <w:bCs w:val="0"/>
          <w:color w:val="auto"/>
          <w:highlight w:val="none"/>
        </w:rPr>
        <w:t>（</w:t>
      </w:r>
      <w:r>
        <w:rPr>
          <w:rFonts w:hint="eastAsia" w:ascii="Calibri" w:hAnsi="宋体"/>
          <w:b w:val="0"/>
          <w:bCs w:val="0"/>
          <w:color w:val="auto"/>
          <w:highlight w:val="none"/>
          <w:lang w:eastAsia="zh-CN"/>
        </w:rPr>
        <w:t>三</w:t>
      </w:r>
      <w:r>
        <w:rPr>
          <w:rFonts w:hint="eastAsia" w:ascii="Calibri" w:hAnsi="宋体"/>
          <w:b w:val="0"/>
          <w:bCs w:val="0"/>
          <w:color w:val="auto"/>
          <w:highlight w:val="none"/>
        </w:rPr>
        <w:t>）专项资金使用绩效存在的问题</w:t>
      </w:r>
      <w:bookmarkEnd w:id="43"/>
    </w:p>
    <w:p>
      <w:pPr>
        <w:pStyle w:val="4"/>
        <w:keepNext/>
        <w:keepLines/>
        <w:pageBreakBefore w:val="0"/>
        <w:widowControl w:val="0"/>
        <w:kinsoku/>
        <w:wordWrap/>
        <w:overflowPunct/>
        <w:topLinePunct w:val="0"/>
        <w:autoSpaceDE/>
        <w:autoSpaceDN/>
        <w:bidi w:val="0"/>
        <w:adjustRightInd/>
        <w:snapToGrid/>
        <w:spacing w:before="0" w:after="0" w:line="600" w:lineRule="exact"/>
        <w:ind w:firstLine="643" w:firstLineChars="200"/>
        <w:textAlignment w:val="auto"/>
        <w:rPr>
          <w:rStyle w:val="14"/>
          <w:rFonts w:hint="eastAsia" w:ascii="仿宋_GB2312" w:hAnsi="仿宋" w:eastAsia="仿宋_GB2312" w:cs="Times New Roman"/>
          <w:b/>
          <w:bCs/>
          <w:color w:val="auto"/>
          <w:kern w:val="0"/>
          <w:sz w:val="32"/>
          <w:szCs w:val="32"/>
          <w:highlight w:val="none"/>
          <w:lang w:val="en-US" w:eastAsia="zh-CN"/>
        </w:rPr>
      </w:pPr>
      <w:bookmarkStart w:id="44" w:name="_Toc25448"/>
      <w:bookmarkStart w:id="45" w:name="_Toc39323972"/>
      <w:bookmarkStart w:id="46" w:name="_Toc39921351"/>
      <w:bookmarkStart w:id="47" w:name="_Toc39324269"/>
      <w:r>
        <w:rPr>
          <w:rStyle w:val="14"/>
          <w:rFonts w:hint="eastAsia" w:ascii="仿宋_GB2312" w:hAnsi="仿宋" w:eastAsia="仿宋_GB2312" w:cs="Times New Roman"/>
          <w:b/>
          <w:bCs/>
          <w:color w:val="auto"/>
          <w:kern w:val="0"/>
          <w:sz w:val="32"/>
          <w:szCs w:val="32"/>
          <w:highlight w:val="none"/>
          <w:lang w:val="en-US" w:eastAsia="zh-CN"/>
        </w:rPr>
        <w:t>1.部分单位项目管理责任落实不到位。</w:t>
      </w:r>
    </w:p>
    <w:p>
      <w:pPr>
        <w:pStyle w:val="30"/>
        <w:pageBreakBefore w:val="0"/>
        <w:tabs>
          <w:tab w:val="left" w:pos="1843"/>
        </w:tabs>
        <w:kinsoku/>
        <w:wordWrap/>
        <w:overflowPunct/>
        <w:topLinePunct w:val="0"/>
        <w:autoSpaceDE/>
        <w:autoSpaceDN/>
        <w:bidi w:val="0"/>
        <w:adjustRightInd/>
        <w:spacing w:line="600" w:lineRule="exact"/>
        <w:ind w:firstLine="643" w:firstLineChars="201"/>
        <w:rPr>
          <w:rFonts w:hint="eastAsia" w:ascii="仿宋_GB2312" w:hAnsi="仿宋" w:eastAsia="仿宋_GB2312" w:cs="仿宋"/>
          <w:color w:val="auto"/>
          <w:sz w:val="32"/>
          <w:szCs w:val="32"/>
          <w:highlight w:val="none"/>
          <w:lang w:val="en-US" w:eastAsia="zh-CN"/>
        </w:rPr>
      </w:pPr>
      <w:r>
        <w:rPr>
          <w:rFonts w:hint="eastAsia" w:ascii="仿宋_GB2312" w:hAnsi="仿宋" w:eastAsia="仿宋_GB2312" w:cs="仿宋"/>
          <w:color w:val="auto"/>
          <w:sz w:val="32"/>
          <w:szCs w:val="32"/>
          <w:highlight w:val="none"/>
          <w:lang w:val="en-US" w:eastAsia="zh-CN"/>
        </w:rPr>
        <w:t>一是部分市县未结合本地实际对省财政厅下达的绩效指标进行分解细化，进一步设置合理的</w:t>
      </w:r>
      <w:r>
        <w:rPr>
          <w:rFonts w:hint="eastAsia" w:ascii="仿宋_GB2312" w:hAnsi="仿宋_GB2312" w:eastAsia="仿宋_GB2312" w:cs="仿宋_GB2312"/>
          <w:b w:val="0"/>
          <w:bCs/>
          <w:color w:val="auto"/>
          <w:sz w:val="32"/>
          <w:szCs w:val="32"/>
          <w:highlight w:val="none"/>
          <w:lang w:val="en-US" w:eastAsia="zh-CN"/>
        </w:rPr>
        <w:t>产出数量、质量、时效、效益指标</w:t>
      </w:r>
      <w:r>
        <w:rPr>
          <w:rFonts w:hint="eastAsia" w:ascii="仿宋_GB2312" w:hAnsi="仿宋" w:eastAsia="仿宋_GB2312" w:cs="仿宋"/>
          <w:color w:val="auto"/>
          <w:sz w:val="32"/>
          <w:szCs w:val="32"/>
          <w:highlight w:val="none"/>
          <w:lang w:val="en-US" w:eastAsia="zh-CN"/>
        </w:rPr>
        <w:t>（如完成时间、受益群众人数等）。二是部分市县资金到位不及时，分配下达省级专项资金时间滞后，对预算执行进度产生不利影响。三是部分县（市、区）主管部门对项目监管不够到位，有些项目在质量上仍存在一定瑕疵。四是部分市县对绩效管理工作不够重视，提交自评材料时效滞后，部分单位自评材料不完整或数据错漏较多。</w:t>
      </w:r>
    </w:p>
    <w:p>
      <w:pPr>
        <w:pStyle w:val="4"/>
        <w:keepNext/>
        <w:keepLines/>
        <w:pageBreakBefore w:val="0"/>
        <w:widowControl w:val="0"/>
        <w:kinsoku/>
        <w:wordWrap/>
        <w:overflowPunct/>
        <w:topLinePunct w:val="0"/>
        <w:autoSpaceDE/>
        <w:autoSpaceDN/>
        <w:bidi w:val="0"/>
        <w:adjustRightInd/>
        <w:snapToGrid/>
        <w:spacing w:before="0" w:after="0" w:line="600" w:lineRule="exact"/>
        <w:ind w:firstLine="643" w:firstLineChars="200"/>
        <w:textAlignment w:val="auto"/>
        <w:rPr>
          <w:rStyle w:val="14"/>
          <w:rFonts w:hint="eastAsia" w:ascii="仿宋_GB2312" w:hAnsi="仿宋" w:eastAsia="仿宋_GB2312" w:cs="Times New Roman"/>
          <w:b/>
          <w:bCs/>
          <w:color w:val="auto"/>
          <w:kern w:val="0"/>
          <w:sz w:val="32"/>
          <w:szCs w:val="32"/>
          <w:highlight w:val="none"/>
          <w:lang w:val="en-US" w:eastAsia="zh-CN"/>
        </w:rPr>
      </w:pPr>
      <w:r>
        <w:rPr>
          <w:rStyle w:val="14"/>
          <w:rFonts w:hint="eastAsia" w:ascii="仿宋_GB2312" w:hAnsi="仿宋" w:eastAsia="仿宋_GB2312" w:cs="Times New Roman"/>
          <w:b/>
          <w:bCs/>
          <w:color w:val="auto"/>
          <w:kern w:val="0"/>
          <w:sz w:val="32"/>
          <w:szCs w:val="32"/>
          <w:highlight w:val="none"/>
          <w:lang w:val="en-US" w:eastAsia="zh-CN"/>
        </w:rPr>
        <w:t>2.社区体育公园投入和后续管护机制有待完善。</w:t>
      </w:r>
    </w:p>
    <w:p>
      <w:pPr>
        <w:pageBreakBefore w:val="0"/>
        <w:kinsoku/>
        <w:wordWrap/>
        <w:overflowPunct/>
        <w:topLinePunct w:val="0"/>
        <w:autoSpaceDE/>
        <w:autoSpaceDN/>
        <w:bidi w:val="0"/>
        <w:adjustRightInd/>
        <w:spacing w:line="600" w:lineRule="exact"/>
        <w:ind w:firstLine="632"/>
        <w:jc w:val="left"/>
        <w:rPr>
          <w:rFonts w:hint="eastAsia" w:ascii="仿宋_GB2312" w:hAnsi="黑体" w:eastAsia="仿宋_GB2312"/>
          <w:color w:val="auto"/>
          <w:sz w:val="32"/>
          <w:highlight w:val="none"/>
        </w:rPr>
      </w:pPr>
      <w:r>
        <w:rPr>
          <w:rFonts w:hint="eastAsia" w:ascii="仿宋_GB2312" w:hAnsi="仿宋_GB2312" w:eastAsia="仿宋_GB2312" w:cs="仿宋_GB2312"/>
          <w:b w:val="0"/>
          <w:bCs w:val="0"/>
          <w:color w:val="auto"/>
          <w:sz w:val="32"/>
          <w:highlight w:val="none"/>
          <w:lang w:eastAsia="zh-CN"/>
        </w:rPr>
        <w:t>一是部分市县</w:t>
      </w:r>
      <w:r>
        <w:rPr>
          <w:rFonts w:hint="eastAsia" w:ascii="仿宋_GB2312" w:hAnsi="仿宋_GB2312" w:eastAsia="仿宋_GB2312" w:cs="仿宋_GB2312"/>
          <w:b w:val="0"/>
          <w:bCs w:val="0"/>
          <w:color w:val="auto"/>
          <w:sz w:val="32"/>
          <w:highlight w:val="none"/>
          <w:lang w:val="en-US" w:eastAsia="zh-CN"/>
        </w:rPr>
        <w:t>的社区体育公园建设项目</w:t>
      </w:r>
      <w:r>
        <w:rPr>
          <w:rFonts w:hint="eastAsia" w:ascii="仿宋_GB2312" w:hAnsi="仿宋_GB2312" w:eastAsia="仿宋_GB2312" w:cs="仿宋_GB2312"/>
          <w:b w:val="0"/>
          <w:bCs w:val="0"/>
          <w:color w:val="auto"/>
          <w:sz w:val="32"/>
          <w:highlight w:val="none"/>
          <w:lang w:eastAsia="zh-CN"/>
        </w:rPr>
        <w:t>高度依赖省级专项资金，本级财政</w:t>
      </w:r>
      <w:r>
        <w:rPr>
          <w:rFonts w:hint="eastAsia" w:ascii="仿宋_GB2312" w:hAnsi="仿宋" w:eastAsia="仿宋_GB2312" w:cs="仿宋"/>
          <w:bCs/>
          <w:color w:val="auto"/>
          <w:sz w:val="32"/>
          <w:highlight w:val="none"/>
          <w:lang w:val="en-US" w:eastAsia="zh-CN"/>
        </w:rPr>
        <w:t>和社会资金</w:t>
      </w:r>
      <w:r>
        <w:rPr>
          <w:rFonts w:hint="eastAsia" w:ascii="仿宋_GB2312" w:hAnsi="仿宋" w:eastAsia="仿宋_GB2312" w:cs="仿宋"/>
          <w:bCs/>
          <w:color w:val="auto"/>
          <w:sz w:val="32"/>
          <w:highlight w:val="none"/>
          <w:lang w:eastAsia="zh-CN"/>
        </w:rPr>
        <w:t>投入较少甚至是没有投入，个别县（市、区）承诺</w:t>
      </w:r>
      <w:r>
        <w:rPr>
          <w:rFonts w:hint="eastAsia" w:ascii="仿宋_GB2312" w:hAnsi="仿宋" w:eastAsia="仿宋_GB2312" w:cs="仿宋"/>
          <w:bCs/>
          <w:color w:val="auto"/>
          <w:sz w:val="32"/>
          <w:highlight w:val="none"/>
          <w:lang w:val="en-US" w:eastAsia="zh-CN"/>
        </w:rPr>
        <w:t>的</w:t>
      </w:r>
      <w:r>
        <w:rPr>
          <w:rFonts w:hint="eastAsia" w:ascii="仿宋_GB2312" w:hAnsi="仿宋" w:eastAsia="仿宋_GB2312" w:cs="仿宋"/>
          <w:bCs/>
          <w:color w:val="auto"/>
          <w:sz w:val="32"/>
          <w:highlight w:val="none"/>
          <w:lang w:eastAsia="zh-CN"/>
        </w:rPr>
        <w:t>地方财政预算资金仍未落实。</w:t>
      </w:r>
      <w:r>
        <w:rPr>
          <w:rFonts w:hint="eastAsia" w:ascii="仿宋_GB2312" w:hAnsi="仿宋" w:eastAsia="仿宋_GB2312" w:cs="仿宋"/>
          <w:b/>
          <w:bCs w:val="0"/>
          <w:color w:val="auto"/>
          <w:sz w:val="32"/>
          <w:highlight w:val="none"/>
          <w:lang w:val="en-US" w:eastAsia="zh-CN"/>
        </w:rPr>
        <w:t>二</w:t>
      </w:r>
      <w:r>
        <w:rPr>
          <w:rFonts w:hint="eastAsia" w:ascii="仿宋_GB2312" w:hAnsi="黑体" w:eastAsia="仿宋_GB2312"/>
          <w:color w:val="auto"/>
          <w:sz w:val="32"/>
          <w:highlight w:val="none"/>
          <w:lang w:val="en-US" w:eastAsia="zh-CN"/>
        </w:rPr>
        <w:t>是部分</w:t>
      </w:r>
      <w:r>
        <w:rPr>
          <w:rFonts w:hint="eastAsia" w:ascii="仿宋_GB2312" w:hAnsi="黑体" w:eastAsia="仿宋_GB2312"/>
          <w:color w:val="auto"/>
          <w:sz w:val="32"/>
          <w:highlight w:val="none"/>
        </w:rPr>
        <w:t>投入使用</w:t>
      </w:r>
      <w:r>
        <w:rPr>
          <w:rFonts w:hint="eastAsia" w:ascii="仿宋_GB2312" w:hAnsi="黑体" w:eastAsia="仿宋_GB2312"/>
          <w:color w:val="auto"/>
          <w:sz w:val="32"/>
          <w:highlight w:val="none"/>
          <w:lang w:val="en-US" w:eastAsia="zh-CN"/>
        </w:rPr>
        <w:t>的</w:t>
      </w:r>
      <w:r>
        <w:rPr>
          <w:rFonts w:hint="eastAsia" w:ascii="仿宋_GB2312" w:hAnsi="仿宋" w:eastAsia="仿宋_GB2312" w:cs="仿宋"/>
          <w:color w:val="auto"/>
          <w:sz w:val="32"/>
          <w:szCs w:val="32"/>
          <w:highlight w:val="none"/>
          <w:lang w:val="en-US" w:eastAsia="zh-CN"/>
        </w:rPr>
        <w:t>社区体育公园管护不到位，有的场地已发生破损未及时修复。三是多数</w:t>
      </w:r>
      <w:r>
        <w:rPr>
          <w:rFonts w:hint="eastAsia" w:ascii="仿宋_GB2312" w:hAnsi="仿宋" w:eastAsia="仿宋_GB2312" w:cs="仿宋"/>
          <w:bCs/>
          <w:color w:val="auto"/>
          <w:sz w:val="32"/>
          <w:highlight w:val="none"/>
          <w:lang w:eastAsia="zh-CN"/>
        </w:rPr>
        <w:t>县（市、区）</w:t>
      </w:r>
      <w:r>
        <w:rPr>
          <w:rFonts w:hint="eastAsia" w:ascii="仿宋_GB2312" w:hAnsi="仿宋" w:eastAsia="仿宋_GB2312" w:cs="仿宋"/>
          <w:bCs/>
          <w:color w:val="auto"/>
          <w:sz w:val="32"/>
          <w:highlight w:val="none"/>
          <w:lang w:val="en-US" w:eastAsia="zh-CN"/>
        </w:rPr>
        <w:t>的</w:t>
      </w:r>
      <w:r>
        <w:rPr>
          <w:rFonts w:hint="eastAsia" w:ascii="仿宋_GB2312" w:hAnsi="仿宋" w:eastAsia="仿宋_GB2312" w:cs="仿宋"/>
          <w:color w:val="auto"/>
          <w:sz w:val="32"/>
          <w:szCs w:val="32"/>
          <w:highlight w:val="none"/>
          <w:lang w:val="en-US" w:eastAsia="zh-CN"/>
        </w:rPr>
        <w:t>社区体育公园</w:t>
      </w:r>
      <w:r>
        <w:rPr>
          <w:rFonts w:hint="eastAsia" w:ascii="仿宋_GB2312" w:hAnsi="黑体" w:eastAsia="仿宋_GB2312"/>
          <w:color w:val="auto"/>
          <w:sz w:val="32"/>
          <w:highlight w:val="none"/>
        </w:rPr>
        <w:t>投入使用后，场地维护、体育</w:t>
      </w:r>
      <w:r>
        <w:rPr>
          <w:rFonts w:hint="eastAsia" w:ascii="仿宋_GB2312" w:hAnsi="黑体" w:eastAsia="仿宋_GB2312"/>
          <w:color w:val="auto"/>
          <w:sz w:val="32"/>
          <w:highlight w:val="none"/>
          <w:lang w:val="en-US" w:eastAsia="zh-CN"/>
        </w:rPr>
        <w:t>健身</w:t>
      </w:r>
      <w:r>
        <w:rPr>
          <w:rFonts w:hint="eastAsia" w:ascii="仿宋_GB2312" w:hAnsi="黑体" w:eastAsia="仿宋_GB2312"/>
          <w:color w:val="auto"/>
          <w:sz w:val="32"/>
          <w:highlight w:val="none"/>
        </w:rPr>
        <w:t>器材</w:t>
      </w:r>
      <w:r>
        <w:rPr>
          <w:rFonts w:hint="eastAsia" w:ascii="仿宋_GB2312" w:hAnsi="黑体" w:eastAsia="仿宋_GB2312"/>
          <w:color w:val="auto"/>
          <w:sz w:val="32"/>
          <w:highlight w:val="none"/>
          <w:lang w:val="en-US" w:eastAsia="zh-CN"/>
        </w:rPr>
        <w:t>更新</w:t>
      </w:r>
      <w:r>
        <w:rPr>
          <w:rFonts w:hint="eastAsia" w:ascii="仿宋_GB2312" w:hAnsi="黑体" w:eastAsia="仿宋_GB2312"/>
          <w:color w:val="auto"/>
          <w:sz w:val="32"/>
          <w:highlight w:val="none"/>
        </w:rPr>
        <w:t>维修</w:t>
      </w:r>
      <w:r>
        <w:rPr>
          <w:rFonts w:hint="eastAsia" w:ascii="仿宋_GB2312" w:hAnsi="黑体" w:eastAsia="仿宋_GB2312"/>
          <w:color w:val="auto"/>
          <w:sz w:val="32"/>
          <w:highlight w:val="none"/>
          <w:lang w:val="en-US" w:eastAsia="zh-CN"/>
        </w:rPr>
        <w:t>等所需</w:t>
      </w:r>
      <w:r>
        <w:rPr>
          <w:rFonts w:hint="eastAsia" w:ascii="仿宋_GB2312" w:hAnsi="黑体" w:eastAsia="仿宋_GB2312"/>
          <w:color w:val="auto"/>
          <w:sz w:val="32"/>
          <w:highlight w:val="none"/>
        </w:rPr>
        <w:t>资金</w:t>
      </w:r>
      <w:r>
        <w:rPr>
          <w:rFonts w:hint="eastAsia" w:ascii="仿宋_GB2312" w:hAnsi="黑体" w:eastAsia="仿宋_GB2312"/>
          <w:color w:val="auto"/>
          <w:sz w:val="32"/>
          <w:highlight w:val="none"/>
          <w:lang w:val="en-US" w:eastAsia="zh-CN"/>
        </w:rPr>
        <w:t>缺乏保障</w:t>
      </w:r>
      <w:r>
        <w:rPr>
          <w:rFonts w:hint="eastAsia" w:ascii="仿宋_GB2312" w:hAnsi="黑体" w:eastAsia="仿宋_GB2312"/>
          <w:color w:val="auto"/>
          <w:sz w:val="32"/>
          <w:highlight w:val="none"/>
        </w:rPr>
        <w:t>，很难做到有效管护</w:t>
      </w:r>
      <w:r>
        <w:rPr>
          <w:rFonts w:hint="eastAsia" w:ascii="仿宋_GB2312" w:hAnsi="黑体" w:eastAsia="仿宋_GB2312"/>
          <w:color w:val="auto"/>
          <w:sz w:val="32"/>
          <w:highlight w:val="none"/>
          <w:lang w:eastAsia="zh-CN"/>
        </w:rPr>
        <w:t>，</w:t>
      </w:r>
      <w:r>
        <w:rPr>
          <w:rFonts w:hint="eastAsia" w:ascii="仿宋_GB2312" w:hAnsi="黑体" w:eastAsia="仿宋_GB2312"/>
          <w:color w:val="auto"/>
          <w:sz w:val="32"/>
          <w:highlight w:val="none"/>
          <w:lang w:val="en-US" w:eastAsia="zh-CN"/>
        </w:rPr>
        <w:t>不利于项目的可持续性</w:t>
      </w:r>
      <w:r>
        <w:rPr>
          <w:rFonts w:hint="eastAsia" w:ascii="仿宋_GB2312" w:hAnsi="黑体" w:eastAsia="仿宋_GB2312"/>
          <w:color w:val="auto"/>
          <w:sz w:val="32"/>
          <w:highlight w:val="none"/>
        </w:rPr>
        <w:t>。</w:t>
      </w:r>
      <w:bookmarkEnd w:id="44"/>
      <w:bookmarkEnd w:id="45"/>
      <w:bookmarkEnd w:id="46"/>
      <w:bookmarkEnd w:id="47"/>
    </w:p>
    <w:p>
      <w:pPr>
        <w:pStyle w:val="2"/>
        <w:pageBreakBefore w:val="0"/>
        <w:kinsoku/>
        <w:wordWrap/>
        <w:overflowPunct/>
        <w:topLinePunct w:val="0"/>
        <w:autoSpaceDE/>
        <w:autoSpaceDN/>
        <w:bidi w:val="0"/>
        <w:adjustRightInd/>
        <w:spacing w:line="600" w:lineRule="exact"/>
        <w:ind w:left="0" w:leftChars="0" w:firstLine="643" w:firstLineChars="200"/>
        <w:rPr>
          <w:rFonts w:hint="eastAsia" w:ascii="仿宋_GB2312" w:hAnsi="仿宋_GB2312" w:eastAsia="仿宋_GB2312"/>
          <w:b/>
          <w:bCs/>
          <w:color w:val="auto"/>
          <w:kern w:val="0"/>
          <w:sz w:val="32"/>
          <w:szCs w:val="32"/>
          <w:highlight w:val="none"/>
          <w:lang w:val="en-US" w:eastAsia="zh-CN"/>
        </w:rPr>
      </w:pPr>
      <w:r>
        <w:rPr>
          <w:rFonts w:hint="eastAsia" w:ascii="仿宋_GB2312" w:hAnsi="仿宋_GB2312" w:eastAsia="仿宋_GB2312"/>
          <w:b/>
          <w:bCs/>
          <w:color w:val="auto"/>
          <w:kern w:val="0"/>
          <w:sz w:val="32"/>
          <w:szCs w:val="32"/>
          <w:highlight w:val="none"/>
          <w:lang w:val="en-US" w:eastAsia="zh-CN"/>
        </w:rPr>
        <w:t>3.老旧小区改造面临一些亟待解决的问题。</w:t>
      </w:r>
    </w:p>
    <w:p>
      <w:pPr>
        <w:pStyle w:val="2"/>
        <w:pageBreakBefore w:val="0"/>
        <w:kinsoku/>
        <w:wordWrap/>
        <w:overflowPunct/>
        <w:topLinePunct w:val="0"/>
        <w:autoSpaceDE/>
        <w:autoSpaceDN/>
        <w:bidi w:val="0"/>
        <w:adjustRightInd/>
        <w:spacing w:line="600" w:lineRule="exact"/>
        <w:ind w:left="0" w:leftChars="0" w:firstLine="640" w:firstLineChars="200"/>
        <w:rPr>
          <w:rFonts w:hint="eastAsia" w:ascii="仿宋" w:hAnsi="仿宋" w:eastAsia="仿宋" w:cs="仿宋"/>
          <w:color w:val="auto"/>
          <w:kern w:val="0"/>
          <w:sz w:val="32"/>
          <w:szCs w:val="32"/>
          <w:highlight w:val="none"/>
          <w:lang w:eastAsia="zh-CN"/>
        </w:rPr>
      </w:pPr>
      <w:r>
        <w:rPr>
          <w:rFonts w:hint="eastAsia" w:ascii="仿宋_GB2312" w:hAnsi="仿宋_GB2312" w:eastAsia="仿宋_GB2312"/>
          <w:b w:val="0"/>
          <w:bCs w:val="0"/>
          <w:color w:val="auto"/>
          <w:kern w:val="0"/>
          <w:sz w:val="32"/>
          <w:szCs w:val="32"/>
          <w:highlight w:val="none"/>
          <w:lang w:eastAsia="zh-CN"/>
        </w:rPr>
        <w:t>一是“</w:t>
      </w:r>
      <w:r>
        <w:rPr>
          <w:rFonts w:hint="eastAsia" w:ascii="仿宋_GB2312" w:hAnsi="仿宋_GB2312" w:eastAsia="仿宋_GB2312"/>
          <w:color w:val="auto"/>
          <w:kern w:val="0"/>
          <w:sz w:val="32"/>
          <w:szCs w:val="32"/>
          <w:highlight w:val="none"/>
          <w:lang w:eastAsia="zh-CN"/>
        </w:rPr>
        <w:t>改造资金政府与居民、社会力量合理共担机制”有待加强，财政资金</w:t>
      </w:r>
      <w:r>
        <w:rPr>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仍然是老旧小区改造资金的主要来源，地方财政反映财力有限，居民参与老旧小区改造的积极性仍未充分调动起来，居民出资意愿低，“谁受益、谁出资”的原则难以落实。二是部分老旧小区存在土地权属不清、对违章建筑物进行清拆容易引起纠纷、老旧小区公共空间狭小难以满足现行的规划设计要求、小区住户意见难以统一等问题，各方面利益协调平衡难度较大。三是现阶段老旧小区改造内容多以“保民生、保基础”的基础类项目为主，在公共服务设施完善、社区文化挖掘、业态活化利用、基层综合治理等方面仍需要加强。四是老旧小区既有业主委员会难成立，业主无法有效监督物业管理情况；也有物业管理机构服务素质差，对小区设施设备维护不到位等；还有老旧小区普遍存在物业管理服务费用低廉甚至拖欠，改造成果难以长期维持，改造后在形成良性长效管理机制方面仍有不少难点有待解决。五是预算资金执行进度需要加快</w:t>
      </w:r>
      <w:r>
        <w:rPr>
          <w:rFonts w:hint="eastAsia" w:ascii="仿宋" w:hAnsi="仿宋" w:eastAsia="仿宋" w:cs="仿宋"/>
          <w:color w:val="auto"/>
          <w:kern w:val="0"/>
          <w:sz w:val="32"/>
          <w:szCs w:val="32"/>
          <w:highlight w:val="none"/>
          <w:lang w:eastAsia="zh-CN"/>
        </w:rPr>
        <w:t>。</w:t>
      </w:r>
      <w:bookmarkStart w:id="48" w:name="_Toc42021450"/>
    </w:p>
    <w:p>
      <w:pPr>
        <w:pStyle w:val="2"/>
        <w:pageBreakBefore w:val="0"/>
        <w:kinsoku/>
        <w:wordWrap/>
        <w:overflowPunct/>
        <w:topLinePunct w:val="0"/>
        <w:autoSpaceDE/>
        <w:autoSpaceDN/>
        <w:bidi w:val="0"/>
        <w:adjustRightInd/>
        <w:spacing w:line="600" w:lineRule="exact"/>
        <w:ind w:left="0" w:leftChars="0" w:firstLine="643" w:firstLineChars="200"/>
        <w:rPr>
          <w:rFonts w:hint="eastAsia" w:ascii="仿宋_GB2312" w:hAnsi="仿宋_GB2312" w:eastAsia="仿宋_GB2312"/>
          <w:b/>
          <w:bCs/>
          <w:color w:val="auto"/>
          <w:kern w:val="0"/>
          <w:sz w:val="32"/>
          <w:szCs w:val="32"/>
          <w:highlight w:val="none"/>
          <w:lang w:val="en-US" w:eastAsia="zh-CN"/>
        </w:rPr>
      </w:pPr>
      <w:r>
        <w:rPr>
          <w:rFonts w:hint="eastAsia" w:ascii="仿宋_GB2312" w:hAnsi="仿宋_GB2312" w:eastAsia="仿宋_GB2312"/>
          <w:b/>
          <w:bCs/>
          <w:color w:val="auto"/>
          <w:kern w:val="0"/>
          <w:sz w:val="32"/>
          <w:szCs w:val="32"/>
          <w:highlight w:val="none"/>
          <w:lang w:val="en-US" w:eastAsia="zh-CN"/>
        </w:rPr>
        <w:t>4.农村削坡建房风险点排查需进一步提高。</w:t>
      </w:r>
    </w:p>
    <w:p>
      <w:pPr>
        <w:pageBreakBefore w:val="0"/>
        <w:kinsoku/>
        <w:wordWrap/>
        <w:overflowPunct/>
        <w:topLinePunct w:val="0"/>
        <w:autoSpaceDE/>
        <w:autoSpaceDN/>
        <w:bidi w:val="0"/>
        <w:adjustRightInd/>
        <w:spacing w:line="600" w:lineRule="exact"/>
        <w:ind w:firstLine="640" w:firstLineChars="200"/>
        <w:rPr>
          <w:rFonts w:hint="default" w:ascii="仿宋_GB2312" w:hAnsi="仿宋_GB2312" w:eastAsia="仿宋_GB2312" w:cs="仿宋_GB2312"/>
          <w:b w:val="0"/>
          <w:bCs/>
          <w:i w:val="0"/>
          <w:caps w:val="0"/>
          <w:color w:val="auto"/>
          <w:spacing w:val="0"/>
          <w:sz w:val="32"/>
          <w:szCs w:val="32"/>
          <w:highlight w:val="none"/>
          <w:shd w:val="clear" w:color="auto" w:fill="FFFFFF"/>
          <w:lang w:val="en-US" w:eastAsia="zh-CN"/>
        </w:rPr>
      </w:pPr>
      <w:r>
        <w:rPr>
          <w:rFonts w:hint="eastAsia" w:ascii="仿宋_GB2312" w:hAnsi="仿宋_GB2312" w:eastAsia="仿宋_GB2312" w:cs="仿宋_GB2312"/>
          <w:b w:val="0"/>
          <w:bCs/>
          <w:i w:val="0"/>
          <w:caps w:val="0"/>
          <w:color w:val="auto"/>
          <w:spacing w:val="0"/>
          <w:sz w:val="32"/>
          <w:szCs w:val="32"/>
          <w:highlight w:val="none"/>
          <w:shd w:val="clear" w:color="auto" w:fill="FFFFFF"/>
          <w:lang w:val="en-US" w:eastAsia="zh-CN"/>
        </w:rPr>
        <w:t>一是部分地市资金分配合理性和资金使用效率有待提高。</w:t>
      </w:r>
      <w:r>
        <w:rPr>
          <w:rFonts w:hint="eastAsia" w:ascii="仿宋_GB2312" w:hAnsi="仿宋_GB2312" w:eastAsia="仿宋_GB2312" w:cstheme="minorBidi"/>
          <w:color w:val="auto"/>
          <w:sz w:val="32"/>
          <w:highlight w:val="none"/>
          <w:lang w:val="en-US" w:eastAsia="zh-CN"/>
        </w:rPr>
        <w:t>部分地市在二次分配下达预算资金到县级时，对实际情况的掌握不够充分，资金分配方案不够合理，下达到部分县（市、区）的省级专项资金闲置，需要进行调整或收回。15个地市专项资金平均支出率为87.83%，支出率仍需提高。二是农村削坡建房风险点排查项目实施过程管理有待加强。少数县（市、区）在项目实施过程中成本控制效果较差，与精细化管理、节约财政资源、提高资金效益等要求仍有一定差距。三是部分市县农村削坡建房风险排查工作完成进度和质量未达到预期目标，农村削坡建房风险点排查项目完成质量有一定纰漏。</w:t>
      </w:r>
    </w:p>
    <w:p>
      <w:pPr>
        <w:pStyle w:val="2"/>
        <w:pageBreakBefore w:val="0"/>
        <w:kinsoku/>
        <w:wordWrap/>
        <w:overflowPunct/>
        <w:topLinePunct w:val="0"/>
        <w:autoSpaceDE/>
        <w:autoSpaceDN/>
        <w:bidi w:val="0"/>
        <w:adjustRightInd/>
        <w:spacing w:line="600" w:lineRule="exact"/>
        <w:ind w:left="0" w:leftChars="0" w:firstLine="640" w:firstLineChars="200"/>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三、改进意见</w:t>
      </w:r>
      <w:bookmarkEnd w:id="48"/>
      <w:bookmarkStart w:id="49" w:name="_Toc30496"/>
      <w:bookmarkStart w:id="50" w:name="_Toc29089"/>
    </w:p>
    <w:p>
      <w:pPr>
        <w:pStyle w:val="2"/>
        <w:pageBreakBefore w:val="0"/>
        <w:kinsoku/>
        <w:wordWrap/>
        <w:overflowPunct/>
        <w:topLinePunct w:val="0"/>
        <w:autoSpaceDE/>
        <w:autoSpaceDN/>
        <w:bidi w:val="0"/>
        <w:adjustRightInd/>
        <w:spacing w:line="600" w:lineRule="exact"/>
        <w:ind w:left="0" w:leftChars="0" w:firstLine="640" w:firstLineChars="200"/>
        <w:rPr>
          <w:rFonts w:hint="eastAsia" w:ascii="楷体_GB2312" w:hAnsi="楷体_GB2312" w:eastAsia="楷体_GB2312" w:cs="楷体_GB2312"/>
          <w:b w:val="0"/>
          <w:bCs/>
          <w:color w:val="auto"/>
          <w:kern w:val="44"/>
          <w:sz w:val="32"/>
          <w:szCs w:val="44"/>
          <w:highlight w:val="none"/>
          <w:lang w:val="en-US" w:eastAsia="zh-CN"/>
        </w:rPr>
      </w:pPr>
      <w:r>
        <w:rPr>
          <w:rFonts w:hint="eastAsia" w:ascii="楷体_GB2312" w:hAnsi="楷体_GB2312" w:eastAsia="楷体_GB2312" w:cs="楷体_GB2312"/>
          <w:b w:val="0"/>
          <w:bCs/>
          <w:color w:val="auto"/>
          <w:kern w:val="44"/>
          <w:sz w:val="32"/>
          <w:szCs w:val="44"/>
          <w:highlight w:val="none"/>
          <w:lang w:val="en-US" w:eastAsia="zh-CN"/>
        </w:rPr>
        <w:t>（一）进一步贯彻落实省委省政府全面实施绩效管理的重要部署，提高财政资金使用绩效</w:t>
      </w:r>
      <w:bookmarkEnd w:id="49"/>
    </w:p>
    <w:p>
      <w:pPr>
        <w:pStyle w:val="2"/>
        <w:pageBreakBefore w:val="0"/>
        <w:kinsoku/>
        <w:wordWrap/>
        <w:overflowPunct/>
        <w:topLinePunct w:val="0"/>
        <w:autoSpaceDE/>
        <w:autoSpaceDN/>
        <w:bidi w:val="0"/>
        <w:adjustRightInd/>
        <w:spacing w:line="600" w:lineRule="exact"/>
        <w:ind w:left="0" w:leftChars="0" w:firstLine="640" w:firstLineChars="200"/>
        <w:rPr>
          <w:rFonts w:hint="eastAsia" w:ascii="仿宋_GB2312" w:hAnsi="黑体" w:eastAsia="仿宋_GB2312"/>
          <w:b w:val="0"/>
          <w:bCs w:val="0"/>
          <w:color w:val="auto"/>
          <w:kern w:val="2"/>
          <w:sz w:val="32"/>
          <w:szCs w:val="24"/>
          <w:highlight w:val="none"/>
          <w:lang w:val="en-US" w:eastAsia="zh-CN"/>
        </w:rPr>
      </w:pPr>
      <w:r>
        <w:rPr>
          <w:rFonts w:hint="eastAsia" w:ascii="仿宋_GB2312" w:hAnsi="仿宋_GB2312" w:eastAsia="仿宋_GB2312" w:cs="仿宋_GB2312"/>
          <w:color w:val="auto"/>
          <w:kern w:val="2"/>
          <w:sz w:val="32"/>
          <w:highlight w:val="none"/>
          <w:lang w:val="en-US" w:eastAsia="zh-CN"/>
        </w:rPr>
        <w:t>一是加强对市县业务指导和监管，督促有关市县按照《中共广东省委 广东省人民政府关于全面实施预算绩效管理的若干意见》（粤发〔2019〕5号）要求，提高绩效管理意识，严格执行《广东省人民政府关于印发广东省省级财政专项资金管理办法（试行）的通知》（粤府〔2018〕120号）、《关于印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kern w:val="2"/>
          <w:sz w:val="32"/>
          <w:highlight w:val="none"/>
          <w:lang w:val="en-US" w:eastAsia="zh-CN"/>
        </w:rPr>
        <w:t>广东省住房和城乡建设厅预算绩效管理办法</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kern w:val="2"/>
          <w:sz w:val="32"/>
          <w:highlight w:val="none"/>
          <w:lang w:val="en-US" w:eastAsia="zh-CN"/>
        </w:rPr>
        <w:t>的通知》（粤建计〔2019〕228号）等专项资金管理制度，优化专项资金分配和预算绩效目标管理，规范管理和使用专项资金，认真开展绩效运行监控，做好预算执行，重视绩效评价，强化绩效结果应用</w:t>
      </w:r>
      <w:r>
        <w:rPr>
          <w:rFonts w:hint="eastAsia" w:cs="仿宋_GB2312"/>
          <w:color w:val="auto"/>
          <w:kern w:val="2"/>
          <w:sz w:val="32"/>
          <w:highlight w:val="none"/>
          <w:lang w:val="en-US" w:eastAsia="zh-CN"/>
        </w:rPr>
        <w:t>。</w:t>
      </w:r>
      <w:r>
        <w:rPr>
          <w:rFonts w:hint="eastAsia" w:ascii="仿宋_GB2312" w:hAnsi="仿宋_GB2312" w:eastAsia="仿宋_GB2312" w:cs="仿宋_GB2312"/>
          <w:color w:val="auto"/>
          <w:kern w:val="2"/>
          <w:sz w:val="32"/>
          <w:highlight w:val="none"/>
          <w:lang w:val="en-US" w:eastAsia="zh-CN"/>
        </w:rPr>
        <w:t>切实提高预算执行率和专项资金使用效益。二是督促市县主管部门落实监管责任，加强对项目的监督管理，</w:t>
      </w:r>
      <w:r>
        <w:rPr>
          <w:rFonts w:hint="eastAsia" w:ascii="仿宋_GB2312" w:hAnsi="Times New Roman" w:eastAsia="仿宋_GB2312" w:cs="仿宋_GB2312"/>
          <w:color w:val="auto"/>
          <w:sz w:val="32"/>
          <w:szCs w:val="22"/>
          <w:highlight w:val="none"/>
          <w:lang w:val="en-US" w:eastAsia="zh-CN"/>
        </w:rPr>
        <w:t>严格把关，</w:t>
      </w:r>
      <w:r>
        <w:rPr>
          <w:rFonts w:hint="eastAsia" w:ascii="仿宋_GB2312" w:hAnsi="仿宋_GB2312" w:eastAsia="仿宋_GB2312" w:cs="仿宋_GB2312"/>
          <w:color w:val="auto"/>
          <w:kern w:val="2"/>
          <w:sz w:val="32"/>
          <w:highlight w:val="none"/>
          <w:lang w:val="en-US" w:eastAsia="zh-CN"/>
        </w:rPr>
        <w:t>提高建设项目的质量。</w:t>
      </w:r>
      <w:bookmarkEnd w:id="50"/>
    </w:p>
    <w:p>
      <w:pPr>
        <w:pStyle w:val="4"/>
        <w:pageBreakBefore w:val="0"/>
        <w:kinsoku/>
        <w:wordWrap/>
        <w:overflowPunct/>
        <w:topLinePunct w:val="0"/>
        <w:autoSpaceDE/>
        <w:autoSpaceDN/>
        <w:bidi w:val="0"/>
        <w:adjustRightInd/>
        <w:spacing w:before="0" w:after="0" w:line="600" w:lineRule="exact"/>
        <w:ind w:firstLine="640" w:firstLineChars="200"/>
        <w:rPr>
          <w:rFonts w:hint="default" w:ascii="楷体_GB2312" w:hAnsi="宋体" w:eastAsia="楷体_GB2312" w:cs="Times New Roman"/>
          <w:b w:val="0"/>
          <w:bCs/>
          <w:i w:val="0"/>
          <w:iCs w:val="0"/>
          <w:color w:val="auto"/>
          <w:highlight w:val="none"/>
          <w:lang w:val="en-US" w:eastAsia="zh-CN"/>
        </w:rPr>
      </w:pPr>
      <w:bookmarkStart w:id="51" w:name="_Toc26330"/>
      <w:r>
        <w:rPr>
          <w:rFonts w:hint="eastAsia" w:ascii="楷体_GB2312" w:hAnsi="宋体" w:eastAsia="楷体_GB2312" w:cs="Times New Roman"/>
          <w:b w:val="0"/>
          <w:bCs/>
          <w:i w:val="0"/>
          <w:iCs w:val="0"/>
          <w:color w:val="auto"/>
          <w:highlight w:val="none"/>
          <w:lang w:val="en-US" w:eastAsia="zh-CN"/>
        </w:rPr>
        <w:t>（二）完善投入和后续管理维护机制，</w:t>
      </w:r>
      <w:bookmarkEnd w:id="51"/>
      <w:r>
        <w:rPr>
          <w:rFonts w:hint="eastAsia" w:ascii="楷体_GB2312" w:hAnsi="宋体" w:cs="Times New Roman"/>
          <w:b w:val="0"/>
          <w:bCs/>
          <w:i w:val="0"/>
          <w:iCs w:val="0"/>
          <w:color w:val="auto"/>
          <w:highlight w:val="none"/>
          <w:lang w:val="en-US" w:eastAsia="zh-CN"/>
        </w:rPr>
        <w:t>巩固和推进项目发展</w:t>
      </w:r>
    </w:p>
    <w:p>
      <w:pPr>
        <w:pageBreakBefore w:val="0"/>
        <w:kinsoku/>
        <w:wordWrap/>
        <w:overflowPunct/>
        <w:topLinePunct w:val="0"/>
        <w:autoSpaceDE/>
        <w:autoSpaceDN/>
        <w:bidi w:val="0"/>
        <w:adjustRightInd/>
        <w:snapToGrid w:val="0"/>
        <w:spacing w:line="600" w:lineRule="exact"/>
        <w:ind w:firstLine="643" w:firstLineChars="200"/>
        <w:rPr>
          <w:rFonts w:hint="eastAsia" w:ascii="仿宋_GB2312" w:eastAsia="仿宋_GB2312"/>
          <w:b/>
          <w:bCs/>
          <w:color w:val="auto"/>
          <w:sz w:val="32"/>
          <w:highlight w:val="none"/>
          <w:lang w:val="en-US" w:eastAsia="zh-CN"/>
        </w:rPr>
      </w:pPr>
      <w:r>
        <w:rPr>
          <w:rFonts w:hint="eastAsia" w:ascii="仿宋" w:hAnsi="仿宋" w:eastAsia="仿宋" w:cs="仿宋"/>
          <w:b/>
          <w:bCs/>
          <w:color w:val="auto"/>
          <w:sz w:val="32"/>
          <w:szCs w:val="32"/>
          <w:highlight w:val="none"/>
          <w:lang w:val="en-US" w:eastAsia="zh-CN"/>
        </w:rPr>
        <w:t>1.</w:t>
      </w:r>
      <w:r>
        <w:rPr>
          <w:rFonts w:hint="eastAsia" w:ascii="仿宋_GB2312" w:eastAsia="仿宋_GB2312"/>
          <w:b/>
          <w:bCs/>
          <w:color w:val="auto"/>
          <w:sz w:val="32"/>
          <w:highlight w:val="none"/>
          <w:lang w:val="en-US" w:eastAsia="zh-CN"/>
        </w:rPr>
        <w:t>社区体育公园补助资金。</w:t>
      </w:r>
    </w:p>
    <w:p>
      <w:pPr>
        <w:pageBreakBefore w:val="0"/>
        <w:kinsoku/>
        <w:wordWrap/>
        <w:overflowPunct/>
        <w:topLinePunct w:val="0"/>
        <w:autoSpaceDE/>
        <w:autoSpaceDN/>
        <w:bidi w:val="0"/>
        <w:adjustRightInd/>
        <w:snapToGrid w:val="0"/>
        <w:spacing w:line="600" w:lineRule="exact"/>
        <w:ind w:firstLine="640" w:firstLineChars="200"/>
        <w:rPr>
          <w:rFonts w:hint="eastAsia" w:ascii="仿宋_GB2312" w:hAnsi="黑体" w:eastAsia="仿宋_GB2312"/>
          <w:color w:val="auto"/>
          <w:sz w:val="32"/>
          <w:highlight w:val="none"/>
          <w:lang w:eastAsia="zh-CN"/>
        </w:rPr>
      </w:pPr>
      <w:r>
        <w:rPr>
          <w:rFonts w:hint="eastAsia" w:ascii="仿宋" w:hAnsi="仿宋" w:eastAsia="仿宋" w:cs="仿宋"/>
          <w:color w:val="auto"/>
          <w:sz w:val="32"/>
          <w:szCs w:val="32"/>
          <w:highlight w:val="none"/>
          <w:lang w:val="en-US" w:eastAsia="zh-CN"/>
        </w:rPr>
        <w:t>一是推动地方财政增加对</w:t>
      </w:r>
      <w:r>
        <w:rPr>
          <w:rFonts w:hint="eastAsia" w:ascii="仿宋_GB2312" w:hAnsi="仿宋" w:eastAsia="仿宋_GB2312" w:cs="仿宋"/>
          <w:color w:val="auto"/>
          <w:sz w:val="32"/>
          <w:szCs w:val="32"/>
          <w:highlight w:val="none"/>
          <w:lang w:val="en-US" w:eastAsia="zh-CN"/>
        </w:rPr>
        <w:t>社区体育公园的资金投入。二</w:t>
      </w:r>
      <w:r>
        <w:rPr>
          <w:rFonts w:hint="eastAsia" w:ascii="仿宋" w:hAnsi="仿宋" w:eastAsia="仿宋" w:cs="仿宋"/>
          <w:color w:val="auto"/>
          <w:sz w:val="32"/>
          <w:szCs w:val="32"/>
          <w:highlight w:val="none"/>
          <w:lang w:val="en-US" w:eastAsia="zh-CN"/>
        </w:rPr>
        <w:t>是探索出台相关政策支持和鼓励民间资金投入，在用地、用电、用水、贷款和税收方面倾斜，提高政策吸引力，建立多元化的融资渠道，以调动社会力量和民间资本参与社区体育建设的积极性。三是推动各地建立和完善社区体育公园后续管理维护长效机制，明确管护责任主体，落实管护责任、管护人员和</w:t>
      </w:r>
      <w:r>
        <w:rPr>
          <w:rFonts w:hint="eastAsia" w:ascii="仿宋_GB2312" w:hAnsi="黑体" w:eastAsia="仿宋_GB2312"/>
          <w:color w:val="auto"/>
          <w:sz w:val="32"/>
          <w:highlight w:val="none"/>
          <w:lang w:eastAsia="zh-CN"/>
        </w:rPr>
        <w:t>管护资金，</w:t>
      </w:r>
      <w:r>
        <w:rPr>
          <w:rFonts w:hint="eastAsia" w:ascii="仿宋_GB2312" w:hAnsi="黑体" w:eastAsia="仿宋_GB2312"/>
          <w:color w:val="auto"/>
          <w:sz w:val="32"/>
          <w:highlight w:val="none"/>
          <w:lang w:val="en-US" w:eastAsia="zh-CN"/>
        </w:rPr>
        <w:t>保障社区体育公园持续为人民群众提供有效服务</w:t>
      </w:r>
      <w:r>
        <w:rPr>
          <w:rFonts w:hint="eastAsia" w:ascii="仿宋_GB2312" w:hAnsi="黑体" w:eastAsia="仿宋_GB2312"/>
          <w:color w:val="auto"/>
          <w:sz w:val="32"/>
          <w:highlight w:val="none"/>
          <w:lang w:eastAsia="zh-CN"/>
        </w:rPr>
        <w:t>。</w:t>
      </w:r>
    </w:p>
    <w:p>
      <w:pPr>
        <w:pageBreakBefore w:val="0"/>
        <w:kinsoku/>
        <w:wordWrap/>
        <w:overflowPunct/>
        <w:topLinePunct w:val="0"/>
        <w:autoSpaceDE/>
        <w:autoSpaceDN/>
        <w:bidi w:val="0"/>
        <w:adjustRightInd/>
        <w:snapToGrid w:val="0"/>
        <w:spacing w:line="600" w:lineRule="exact"/>
        <w:ind w:firstLine="643" w:firstLineChars="200"/>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2.城镇老旧小区改造省级补助资金。</w:t>
      </w:r>
    </w:p>
    <w:p>
      <w:pPr>
        <w:pStyle w:val="2"/>
        <w:pageBreakBefore w:val="0"/>
        <w:kinsoku/>
        <w:wordWrap/>
        <w:overflowPunct/>
        <w:topLinePunct w:val="0"/>
        <w:autoSpaceDE/>
        <w:autoSpaceDN/>
        <w:bidi w:val="0"/>
        <w:adjustRightInd/>
        <w:spacing w:line="600" w:lineRule="exact"/>
        <w:ind w:left="0" w:leftChars="0" w:firstLine="640" w:firstLineChars="200"/>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lang w:val="zh-TW" w:eastAsia="zh-CN"/>
        </w:rPr>
        <w:t>一是深入</w:t>
      </w:r>
      <w:r>
        <w:rPr>
          <w:rFonts w:hint="eastAsia" w:ascii="仿宋" w:hAnsi="仿宋" w:eastAsia="仿宋" w:cs="仿宋"/>
          <w:color w:val="auto"/>
          <w:kern w:val="0"/>
          <w:sz w:val="32"/>
          <w:szCs w:val="32"/>
          <w:highlight w:val="none"/>
          <w:lang w:val="en-US" w:eastAsia="zh-CN"/>
        </w:rPr>
        <w:t>贯彻落实《国务院办公厅关于全面推进城镇老旧小区改造工作的指导意见》和《广东省人民政府办公厅关于全面推进城镇老旧小区改造工作的实施意见》，全面推进城镇老旧小区改造工作。</w:t>
      </w:r>
      <w:r>
        <w:rPr>
          <w:rFonts w:hint="eastAsia" w:ascii="仿宋" w:hAnsi="仿宋" w:eastAsia="仿宋" w:cs="仿宋"/>
          <w:color w:val="auto"/>
          <w:kern w:val="0"/>
          <w:sz w:val="32"/>
          <w:szCs w:val="32"/>
          <w:highlight w:val="none"/>
          <w:lang w:val="zh-TW" w:eastAsia="zh-CN"/>
        </w:rPr>
        <w:t>要求</w:t>
      </w:r>
      <w:r>
        <w:rPr>
          <w:rFonts w:hint="eastAsia" w:ascii="仿宋" w:hAnsi="仿宋" w:eastAsia="仿宋" w:cs="仿宋"/>
          <w:color w:val="auto"/>
          <w:kern w:val="0"/>
          <w:sz w:val="32"/>
          <w:szCs w:val="32"/>
          <w:highlight w:val="none"/>
          <w:lang w:val="en-US" w:eastAsia="zh-CN"/>
        </w:rPr>
        <w:t>市县政府切实提高政治站位，强化责任担当，落实主体责任。建立健全政府统筹、条块协作、各部门齐抓共管的专门工作机制，明确各有关部门、单位和街道（镇）、社区职责分工，制定工作规则、责任清单和议事规程，形成工作合力，共同破解难题，统筹推进城镇老旧小区改造工作。二是加强</w:t>
      </w:r>
      <w:r>
        <w:rPr>
          <w:rFonts w:hint="eastAsia" w:ascii="仿宋" w:hAnsi="仿宋" w:eastAsia="仿宋" w:cs="仿宋"/>
          <w:color w:val="auto"/>
          <w:kern w:val="0"/>
          <w:sz w:val="32"/>
          <w:szCs w:val="32"/>
          <w:highlight w:val="none"/>
          <w:lang w:eastAsia="zh-CN"/>
        </w:rPr>
        <w:t>老旧小区改造政策的</w:t>
      </w:r>
      <w:r>
        <w:rPr>
          <w:rFonts w:hint="eastAsia" w:ascii="仿宋" w:hAnsi="仿宋" w:eastAsia="仿宋" w:cs="仿宋"/>
          <w:color w:val="auto"/>
          <w:kern w:val="0"/>
          <w:sz w:val="32"/>
          <w:szCs w:val="32"/>
          <w:highlight w:val="none"/>
          <w:lang w:val="en-US" w:eastAsia="zh-CN"/>
        </w:rPr>
        <w:t>宣传工作。通过全媒体（广电、报刊、互联网等）、政府网站、社会宣传（宣传栏、横幅、标语）等多种形式，宣传城镇老</w:t>
      </w:r>
      <w:r>
        <w:rPr>
          <w:rFonts w:hint="eastAsia" w:ascii="仿宋" w:hAnsi="仿宋" w:eastAsia="仿宋" w:cs="仿宋"/>
          <w:color w:val="auto"/>
          <w:kern w:val="0"/>
          <w:sz w:val="32"/>
          <w:szCs w:val="32"/>
          <w:highlight w:val="none"/>
          <w:lang w:eastAsia="zh-CN"/>
        </w:rPr>
        <w:t>旧小区改造政策，公开</w:t>
      </w:r>
      <w:r>
        <w:rPr>
          <w:rFonts w:hint="eastAsia" w:ascii="仿宋" w:hAnsi="仿宋" w:eastAsia="仿宋" w:cs="仿宋"/>
          <w:color w:val="auto"/>
          <w:kern w:val="0"/>
          <w:sz w:val="32"/>
          <w:szCs w:val="32"/>
          <w:highlight w:val="none"/>
          <w:lang w:val="en-US" w:eastAsia="zh-CN"/>
        </w:rPr>
        <w:t>城镇</w:t>
      </w:r>
      <w:r>
        <w:rPr>
          <w:rFonts w:hint="eastAsia" w:ascii="仿宋" w:hAnsi="仿宋" w:eastAsia="仿宋" w:cs="仿宋"/>
          <w:color w:val="auto"/>
          <w:kern w:val="0"/>
          <w:sz w:val="32"/>
          <w:szCs w:val="32"/>
          <w:highlight w:val="none"/>
          <w:lang w:eastAsia="zh-CN"/>
        </w:rPr>
        <w:t>老旧小区改造相关信息，提升群众对</w:t>
      </w:r>
      <w:r>
        <w:rPr>
          <w:rFonts w:hint="eastAsia" w:ascii="仿宋" w:hAnsi="仿宋" w:eastAsia="仿宋" w:cs="仿宋"/>
          <w:color w:val="auto"/>
          <w:kern w:val="0"/>
          <w:sz w:val="32"/>
          <w:szCs w:val="32"/>
          <w:highlight w:val="none"/>
          <w:lang w:val="en-US" w:eastAsia="zh-CN"/>
        </w:rPr>
        <w:t>老</w:t>
      </w:r>
      <w:r>
        <w:rPr>
          <w:rFonts w:hint="eastAsia" w:ascii="仿宋" w:hAnsi="仿宋" w:eastAsia="仿宋" w:cs="仿宋"/>
          <w:color w:val="auto"/>
          <w:kern w:val="0"/>
          <w:sz w:val="32"/>
          <w:szCs w:val="32"/>
          <w:highlight w:val="none"/>
          <w:lang w:eastAsia="zh-CN"/>
        </w:rPr>
        <w:t>旧小区改造的认知度，协调</w:t>
      </w:r>
      <w:r>
        <w:rPr>
          <w:rFonts w:hint="eastAsia" w:ascii="仿宋" w:hAnsi="仿宋" w:eastAsia="仿宋" w:cs="仿宋"/>
          <w:color w:val="auto"/>
          <w:kern w:val="0"/>
          <w:sz w:val="32"/>
          <w:szCs w:val="32"/>
          <w:highlight w:val="none"/>
          <w:lang w:val="en-US" w:eastAsia="zh-CN"/>
        </w:rPr>
        <w:t>平衡好各方面利益，</w:t>
      </w:r>
      <w:r>
        <w:rPr>
          <w:rFonts w:hint="eastAsia" w:ascii="仿宋" w:hAnsi="仿宋" w:eastAsia="仿宋" w:cs="仿宋"/>
          <w:color w:val="auto"/>
          <w:kern w:val="0"/>
          <w:sz w:val="32"/>
          <w:szCs w:val="32"/>
          <w:highlight w:val="none"/>
          <w:lang w:eastAsia="zh-CN"/>
        </w:rPr>
        <w:t>推动</w:t>
      </w:r>
      <w:r>
        <w:rPr>
          <w:rFonts w:hint="eastAsia" w:ascii="仿宋" w:hAnsi="仿宋" w:eastAsia="仿宋" w:cs="仿宋"/>
          <w:color w:val="auto"/>
          <w:kern w:val="0"/>
          <w:sz w:val="32"/>
          <w:szCs w:val="32"/>
          <w:highlight w:val="none"/>
          <w:lang w:val="en-US" w:eastAsia="zh-CN"/>
        </w:rPr>
        <w:t>老</w:t>
      </w:r>
      <w:r>
        <w:rPr>
          <w:rFonts w:hint="eastAsia" w:ascii="仿宋" w:hAnsi="仿宋" w:eastAsia="仿宋" w:cs="仿宋"/>
          <w:color w:val="auto"/>
          <w:kern w:val="0"/>
          <w:sz w:val="32"/>
          <w:szCs w:val="32"/>
          <w:highlight w:val="none"/>
          <w:lang w:eastAsia="zh-CN"/>
        </w:rPr>
        <w:t>旧小区居民</w:t>
      </w:r>
      <w:r>
        <w:rPr>
          <w:rFonts w:hint="eastAsia" w:ascii="仿宋" w:hAnsi="仿宋" w:eastAsia="仿宋" w:cs="仿宋"/>
          <w:color w:val="auto"/>
          <w:kern w:val="0"/>
          <w:sz w:val="32"/>
          <w:szCs w:val="32"/>
          <w:highlight w:val="none"/>
          <w:lang w:val="en-US" w:eastAsia="zh-CN"/>
        </w:rPr>
        <w:t>“主动申请、参与改造”，吸引更多社会资本积极参与进来。三是</w:t>
      </w:r>
      <w:r>
        <w:rPr>
          <w:rFonts w:hint="eastAsia" w:ascii="仿宋" w:hAnsi="仿宋" w:eastAsia="仿宋" w:cs="仿宋"/>
          <w:color w:val="auto"/>
          <w:kern w:val="0"/>
          <w:sz w:val="32"/>
          <w:szCs w:val="32"/>
          <w:highlight w:val="none"/>
          <w:lang w:eastAsia="zh-CN"/>
        </w:rPr>
        <w:t>加强督促力度，加快项目工作进度和资金支付进度。</w:t>
      </w:r>
      <w:r>
        <w:rPr>
          <w:rFonts w:hint="eastAsia" w:ascii="仿宋" w:hAnsi="仿宋" w:eastAsia="仿宋" w:cs="仿宋"/>
          <w:color w:val="auto"/>
          <w:kern w:val="0"/>
          <w:sz w:val="32"/>
          <w:szCs w:val="32"/>
          <w:highlight w:val="none"/>
          <w:lang w:val="en-US" w:eastAsia="zh-CN"/>
        </w:rPr>
        <w:t>四是探索</w:t>
      </w:r>
      <w:r>
        <w:rPr>
          <w:rFonts w:hint="eastAsia" w:ascii="仿宋" w:hAnsi="仿宋" w:eastAsia="仿宋" w:cs="仿宋"/>
          <w:color w:val="auto"/>
          <w:kern w:val="0"/>
          <w:sz w:val="32"/>
          <w:szCs w:val="32"/>
          <w:highlight w:val="none"/>
          <w:lang w:eastAsia="zh-CN"/>
        </w:rPr>
        <w:t>创新老旧小区改造实施政策。</w:t>
      </w:r>
      <w:r>
        <w:rPr>
          <w:rFonts w:hint="eastAsia" w:ascii="仿宋" w:hAnsi="仿宋" w:eastAsia="仿宋" w:cs="仿宋"/>
          <w:color w:val="auto"/>
          <w:kern w:val="0"/>
          <w:sz w:val="32"/>
          <w:szCs w:val="32"/>
          <w:highlight w:val="none"/>
          <w:lang w:val="zh-TW" w:eastAsia="zh-TW"/>
        </w:rPr>
        <w:t>在项目审批、用地管理、</w:t>
      </w:r>
      <w:r>
        <w:rPr>
          <w:rFonts w:hint="eastAsia" w:ascii="仿宋" w:hAnsi="仿宋" w:eastAsia="仿宋" w:cs="仿宋"/>
          <w:color w:val="auto"/>
          <w:kern w:val="0"/>
          <w:sz w:val="32"/>
          <w:szCs w:val="32"/>
          <w:highlight w:val="none"/>
          <w:lang w:val="zh-TW" w:eastAsia="zh-CN"/>
        </w:rPr>
        <w:t>规划</w:t>
      </w:r>
      <w:r>
        <w:rPr>
          <w:rFonts w:hint="eastAsia" w:ascii="仿宋" w:hAnsi="仿宋" w:eastAsia="仿宋" w:cs="仿宋"/>
          <w:color w:val="auto"/>
          <w:kern w:val="0"/>
          <w:sz w:val="32"/>
          <w:szCs w:val="32"/>
          <w:highlight w:val="none"/>
          <w:lang w:val="zh-TW" w:eastAsia="zh-TW"/>
        </w:rPr>
        <w:t>管理、房屋管理、产业导入、金融和财税支持、长效运营管理等方面创新政策机制。</w:t>
      </w:r>
      <w:r>
        <w:rPr>
          <w:rFonts w:hint="eastAsia" w:ascii="仿宋" w:hAnsi="仿宋" w:eastAsia="仿宋" w:cs="仿宋"/>
          <w:color w:val="auto"/>
          <w:kern w:val="0"/>
          <w:sz w:val="32"/>
          <w:szCs w:val="32"/>
          <w:highlight w:val="none"/>
          <w:lang w:val="zh-TW" w:eastAsia="zh-CN"/>
        </w:rPr>
        <w:t>五是建管并重，完善小区后续管理维护机制。建立健全基层党组织领导，发挥社区居民委员会作</w:t>
      </w:r>
      <w:r>
        <w:rPr>
          <w:rFonts w:hint="eastAsia" w:ascii="仿宋" w:hAnsi="仿宋" w:eastAsia="仿宋" w:cs="仿宋"/>
          <w:color w:val="auto"/>
          <w:kern w:val="0"/>
          <w:sz w:val="32"/>
          <w:szCs w:val="32"/>
          <w:highlight w:val="none"/>
          <w:lang w:eastAsia="zh-CN"/>
        </w:rPr>
        <w:t>用，</w:t>
      </w:r>
      <w:r>
        <w:rPr>
          <w:rFonts w:hint="eastAsia" w:ascii="仿宋" w:hAnsi="仿宋" w:eastAsia="仿宋" w:cs="仿宋"/>
          <w:color w:val="auto"/>
          <w:kern w:val="0"/>
          <w:sz w:val="32"/>
          <w:szCs w:val="32"/>
          <w:highlight w:val="none"/>
          <w:lang w:val="zh-TW" w:eastAsia="zh-CN"/>
        </w:rPr>
        <w:t>鼓励和支持</w:t>
      </w:r>
      <w:r>
        <w:rPr>
          <w:rFonts w:hint="eastAsia" w:ascii="仿宋" w:hAnsi="仿宋" w:eastAsia="仿宋" w:cs="仿宋"/>
          <w:color w:val="auto"/>
          <w:kern w:val="0"/>
          <w:sz w:val="32"/>
          <w:szCs w:val="32"/>
          <w:highlight w:val="none"/>
          <w:lang w:val="en-US" w:eastAsia="zh-CN"/>
        </w:rPr>
        <w:t>城镇老</w:t>
      </w:r>
      <w:r>
        <w:rPr>
          <w:rFonts w:hint="eastAsia" w:ascii="仿宋" w:hAnsi="仿宋" w:eastAsia="仿宋" w:cs="仿宋"/>
          <w:color w:val="auto"/>
          <w:kern w:val="0"/>
          <w:sz w:val="32"/>
          <w:szCs w:val="32"/>
          <w:highlight w:val="none"/>
          <w:lang w:eastAsia="zh-CN"/>
        </w:rPr>
        <w:t>旧小区建立和完善业主委员会，加强对物业服务机构的监管，建立健全城镇老旧小区住宅专项维修资金归集、使用、续筹长效机制，促进小区改造后的维护更新进入良性轨道。</w:t>
      </w:r>
    </w:p>
    <w:p>
      <w:pPr>
        <w:pStyle w:val="2"/>
        <w:pageBreakBefore w:val="0"/>
        <w:kinsoku/>
        <w:wordWrap/>
        <w:overflowPunct/>
        <w:topLinePunct w:val="0"/>
        <w:autoSpaceDE/>
        <w:autoSpaceDN/>
        <w:bidi w:val="0"/>
        <w:adjustRightInd/>
        <w:spacing w:line="600" w:lineRule="exact"/>
        <w:ind w:left="0" w:leftChars="0" w:firstLine="643" w:firstLineChars="200"/>
        <w:rPr>
          <w:rFonts w:hint="eastAsia" w:ascii="仿宋_GB2312" w:eastAsia="仿宋_GB2312"/>
          <w:b/>
          <w:bCs/>
          <w:color w:val="auto"/>
          <w:sz w:val="32"/>
          <w:highlight w:val="none"/>
          <w:lang w:val="en-US" w:eastAsia="zh-CN"/>
        </w:rPr>
      </w:pPr>
      <w:r>
        <w:rPr>
          <w:rFonts w:hint="eastAsia" w:ascii="仿宋_GB2312" w:eastAsia="仿宋_GB2312"/>
          <w:b/>
          <w:bCs/>
          <w:color w:val="auto"/>
          <w:sz w:val="32"/>
          <w:highlight w:val="none"/>
          <w:lang w:val="en-US" w:eastAsia="zh-CN"/>
        </w:rPr>
        <w:t>3.农村削坡建房风险排查专项资金。</w:t>
      </w:r>
    </w:p>
    <w:p>
      <w:pPr>
        <w:pStyle w:val="2"/>
        <w:pageBreakBefore w:val="0"/>
        <w:kinsoku/>
        <w:wordWrap/>
        <w:overflowPunct/>
        <w:topLinePunct w:val="0"/>
        <w:autoSpaceDE/>
        <w:autoSpaceDN/>
        <w:bidi w:val="0"/>
        <w:adjustRightInd/>
        <w:spacing w:line="600" w:lineRule="exact"/>
        <w:ind w:left="0" w:leftChars="0" w:firstLine="640" w:firstLineChars="200"/>
        <w:rPr>
          <w:rFonts w:hint="eastAsia" w:ascii="仿宋_GB2312" w:hAnsi="黑体" w:eastAsia="仿宋_GB2312"/>
          <w:color w:val="auto"/>
          <w:sz w:val="32"/>
          <w:highlight w:val="none"/>
        </w:rPr>
      </w:pPr>
      <w:r>
        <w:rPr>
          <w:rFonts w:hint="eastAsia" w:ascii="仿宋_GB2312" w:hAnsi="仿宋_GB2312" w:eastAsia="仿宋_GB2312" w:cstheme="minorBidi"/>
          <w:color w:val="auto"/>
          <w:sz w:val="32"/>
          <w:highlight w:val="none"/>
          <w:lang w:val="en-US" w:eastAsia="zh-CN"/>
        </w:rPr>
        <w:t>大力推进农村削坡建房风险点整治。农村削坡建房风险点排查的目的是对农村削坡建房风险点的风险等级进行排查认定，建立新的农村削坡建房风险点工作台账，锁定存量，从而明确后续农村削坡建房风险点整治的任务目标，消除农村削坡建房安全隐患。因此，我厅拟在农村削坡建房风险排查结果的基础上，深入推进农村削坡建房风险整治。一是督促有关市县应按照《广东省农村削坡建房地质灾害风险管控指引（试行）》《广东省农村削坡建房风险排查整治工作方案》规定的排查对象和标准，查漏补缺、做实做细，完善农村削坡建房风险点整治工作台账和有关档案资料。二是加强对有关市县的督导工作，按照《广东省农村削坡建房风险排查整治工作方案》《广东省住房和城乡建设厅关于明确2020-2022年全省农村削坡建房风险点整治目标的通知》等文件要求，把农村削坡建房风险点整治任务目标落到实处。</w:t>
      </w:r>
    </w:p>
    <w:sectPr>
      <w:footerReference r:id="rId4" w:type="default"/>
      <w:pgSz w:w="11906" w:h="16838"/>
      <w:pgMar w:top="1803" w:right="1440" w:bottom="1803" w:left="144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2FF" w:usb1="400004FF" w:usb2="00000000" w:usb3="00000000" w:csb0="2000019F" w:csb1="00000000"/>
  </w:font>
  <w:font w:name="仿宋GB2312">
    <w:altName w:val="仿宋"/>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posOffset>5238750</wp:posOffset>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12.5pt;margin-top:0pt;height:144pt;width:144pt;mso-position-horizontal-relative:margin;mso-wrap-style:none;z-index:251659264;mso-width-relative:page;mso-height-relative:page;" filled="f" stroked="f" coordsize="21600,21600" o:gfxdata="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eFCXCtYAAAAJAQAADwAAAAAAAAABACAA&#10;AAAiAAAAZHJzL2Rvd25yZXYueG1sUEsBAhQAFAAAAAgAh07iQHP4ZNkPAgAABwQAAA4AAAAAAAAA&#10;AQAgAAAAJQEAAGRycy9lMm9Eb2MueG1sUEsFBgAAAAAGAAYAWQEAAKYFAAAAAA==&#10;">
              <v:fill on="f" focussize="0,0"/>
              <v:stroke on="f" weight="0.5pt"/>
              <v:imagedata o:title=""/>
              <o:lock v:ext="edit" aspectratio="f"/>
              <v:textbox inset="0mm,0mm,0mm,0mm" style="mso-fit-shape-to-text:t;">
                <w:txbxContent>
                  <w:p>
                    <w:pPr>
                      <w:pStyle w:val="9"/>
                      <w:jc w:val="cente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- 1 -</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D0"/>
    <w:rsid w:val="00007C1C"/>
    <w:rsid w:val="00011F4F"/>
    <w:rsid w:val="00024539"/>
    <w:rsid w:val="00041063"/>
    <w:rsid w:val="00062AC8"/>
    <w:rsid w:val="00077799"/>
    <w:rsid w:val="000A7DF1"/>
    <w:rsid w:val="000B5C8C"/>
    <w:rsid w:val="000C38BD"/>
    <w:rsid w:val="000D6714"/>
    <w:rsid w:val="001077D4"/>
    <w:rsid w:val="001405D4"/>
    <w:rsid w:val="00152B67"/>
    <w:rsid w:val="00152C65"/>
    <w:rsid w:val="00155962"/>
    <w:rsid w:val="00156E6F"/>
    <w:rsid w:val="00175145"/>
    <w:rsid w:val="001D10EA"/>
    <w:rsid w:val="001D5A64"/>
    <w:rsid w:val="001E064D"/>
    <w:rsid w:val="001F1426"/>
    <w:rsid w:val="0021570B"/>
    <w:rsid w:val="00215CAF"/>
    <w:rsid w:val="0029042F"/>
    <w:rsid w:val="003138A7"/>
    <w:rsid w:val="00316B5A"/>
    <w:rsid w:val="003221D0"/>
    <w:rsid w:val="003364A6"/>
    <w:rsid w:val="00345D75"/>
    <w:rsid w:val="0035018B"/>
    <w:rsid w:val="00357D7D"/>
    <w:rsid w:val="00362AEC"/>
    <w:rsid w:val="0039133F"/>
    <w:rsid w:val="003B748E"/>
    <w:rsid w:val="003D7939"/>
    <w:rsid w:val="003E3DC4"/>
    <w:rsid w:val="004269BE"/>
    <w:rsid w:val="00453821"/>
    <w:rsid w:val="0045687C"/>
    <w:rsid w:val="00487168"/>
    <w:rsid w:val="00490666"/>
    <w:rsid w:val="00497A3F"/>
    <w:rsid w:val="004B3401"/>
    <w:rsid w:val="004D7A4A"/>
    <w:rsid w:val="004E2F46"/>
    <w:rsid w:val="00504CD1"/>
    <w:rsid w:val="005174F1"/>
    <w:rsid w:val="00523683"/>
    <w:rsid w:val="005410E6"/>
    <w:rsid w:val="0058684A"/>
    <w:rsid w:val="00593C61"/>
    <w:rsid w:val="005B1699"/>
    <w:rsid w:val="005B2A60"/>
    <w:rsid w:val="005D7252"/>
    <w:rsid w:val="005F65B7"/>
    <w:rsid w:val="006258D1"/>
    <w:rsid w:val="00651E73"/>
    <w:rsid w:val="00652306"/>
    <w:rsid w:val="00674B42"/>
    <w:rsid w:val="006B162A"/>
    <w:rsid w:val="006B2426"/>
    <w:rsid w:val="006B7C4F"/>
    <w:rsid w:val="006F4782"/>
    <w:rsid w:val="0071275A"/>
    <w:rsid w:val="007448F8"/>
    <w:rsid w:val="00745F9C"/>
    <w:rsid w:val="007463AC"/>
    <w:rsid w:val="00751C20"/>
    <w:rsid w:val="00793C1E"/>
    <w:rsid w:val="007B228A"/>
    <w:rsid w:val="007B2BA6"/>
    <w:rsid w:val="007D5CA2"/>
    <w:rsid w:val="007F3FFF"/>
    <w:rsid w:val="007F6541"/>
    <w:rsid w:val="00850A26"/>
    <w:rsid w:val="008A481B"/>
    <w:rsid w:val="008D45AB"/>
    <w:rsid w:val="008E5456"/>
    <w:rsid w:val="008F123E"/>
    <w:rsid w:val="008F1E2D"/>
    <w:rsid w:val="008F1E5E"/>
    <w:rsid w:val="008F6122"/>
    <w:rsid w:val="009006A6"/>
    <w:rsid w:val="00904413"/>
    <w:rsid w:val="00912EFE"/>
    <w:rsid w:val="00963A95"/>
    <w:rsid w:val="00975DE8"/>
    <w:rsid w:val="009A76BF"/>
    <w:rsid w:val="009B381C"/>
    <w:rsid w:val="009C185D"/>
    <w:rsid w:val="009D387C"/>
    <w:rsid w:val="009F365C"/>
    <w:rsid w:val="009F38E3"/>
    <w:rsid w:val="00A15BDD"/>
    <w:rsid w:val="00A42722"/>
    <w:rsid w:val="00A562D2"/>
    <w:rsid w:val="00AA6FD0"/>
    <w:rsid w:val="00AB42D9"/>
    <w:rsid w:val="00AC4792"/>
    <w:rsid w:val="00AE1C03"/>
    <w:rsid w:val="00AF2BA8"/>
    <w:rsid w:val="00B81707"/>
    <w:rsid w:val="00B83318"/>
    <w:rsid w:val="00B97B3C"/>
    <w:rsid w:val="00BD2451"/>
    <w:rsid w:val="00BD5D29"/>
    <w:rsid w:val="00BD61DF"/>
    <w:rsid w:val="00BE358B"/>
    <w:rsid w:val="00C02459"/>
    <w:rsid w:val="00C4222E"/>
    <w:rsid w:val="00C666BA"/>
    <w:rsid w:val="00C731CD"/>
    <w:rsid w:val="00C77F18"/>
    <w:rsid w:val="00C81F0F"/>
    <w:rsid w:val="00CC6A27"/>
    <w:rsid w:val="00CD2355"/>
    <w:rsid w:val="00CD36CE"/>
    <w:rsid w:val="00CF1750"/>
    <w:rsid w:val="00D60F67"/>
    <w:rsid w:val="00D943CE"/>
    <w:rsid w:val="00DE799A"/>
    <w:rsid w:val="00E05F81"/>
    <w:rsid w:val="00E16108"/>
    <w:rsid w:val="00E33F3C"/>
    <w:rsid w:val="00E8376A"/>
    <w:rsid w:val="00E94B36"/>
    <w:rsid w:val="00EA19CC"/>
    <w:rsid w:val="00EB1779"/>
    <w:rsid w:val="00EB1F1E"/>
    <w:rsid w:val="00F01828"/>
    <w:rsid w:val="00F12244"/>
    <w:rsid w:val="00F67C07"/>
    <w:rsid w:val="00F801C8"/>
    <w:rsid w:val="00FB6015"/>
    <w:rsid w:val="00FC03E5"/>
    <w:rsid w:val="00FE7094"/>
    <w:rsid w:val="01141870"/>
    <w:rsid w:val="01627210"/>
    <w:rsid w:val="0171095C"/>
    <w:rsid w:val="017B2084"/>
    <w:rsid w:val="018D7851"/>
    <w:rsid w:val="019D7559"/>
    <w:rsid w:val="01A21D74"/>
    <w:rsid w:val="01AB01A5"/>
    <w:rsid w:val="01E0036C"/>
    <w:rsid w:val="01F525CE"/>
    <w:rsid w:val="023F5CB3"/>
    <w:rsid w:val="024862D8"/>
    <w:rsid w:val="02651338"/>
    <w:rsid w:val="02792BEA"/>
    <w:rsid w:val="027F7101"/>
    <w:rsid w:val="02877425"/>
    <w:rsid w:val="0293741E"/>
    <w:rsid w:val="02C46E62"/>
    <w:rsid w:val="02F41777"/>
    <w:rsid w:val="0378149E"/>
    <w:rsid w:val="03815B49"/>
    <w:rsid w:val="038F174B"/>
    <w:rsid w:val="0397336C"/>
    <w:rsid w:val="03FE4610"/>
    <w:rsid w:val="04123289"/>
    <w:rsid w:val="04325BFC"/>
    <w:rsid w:val="043C5883"/>
    <w:rsid w:val="04742A5B"/>
    <w:rsid w:val="04896D7D"/>
    <w:rsid w:val="049411A1"/>
    <w:rsid w:val="04A551D0"/>
    <w:rsid w:val="04A81DBC"/>
    <w:rsid w:val="04AA161D"/>
    <w:rsid w:val="04D35F3E"/>
    <w:rsid w:val="04DF5109"/>
    <w:rsid w:val="04E03303"/>
    <w:rsid w:val="04E1731F"/>
    <w:rsid w:val="04E51356"/>
    <w:rsid w:val="04EE7C25"/>
    <w:rsid w:val="04F77FB2"/>
    <w:rsid w:val="051B0649"/>
    <w:rsid w:val="051B26EE"/>
    <w:rsid w:val="057633A2"/>
    <w:rsid w:val="05DE371C"/>
    <w:rsid w:val="06102C76"/>
    <w:rsid w:val="061F4067"/>
    <w:rsid w:val="065819C7"/>
    <w:rsid w:val="065A63C9"/>
    <w:rsid w:val="06825279"/>
    <w:rsid w:val="06AD336D"/>
    <w:rsid w:val="06B43FED"/>
    <w:rsid w:val="06DD3DEA"/>
    <w:rsid w:val="06EE6530"/>
    <w:rsid w:val="06F43BCC"/>
    <w:rsid w:val="074A647B"/>
    <w:rsid w:val="074B3A16"/>
    <w:rsid w:val="076F2ECD"/>
    <w:rsid w:val="079041FC"/>
    <w:rsid w:val="07B246D1"/>
    <w:rsid w:val="07BC4290"/>
    <w:rsid w:val="07BD60E0"/>
    <w:rsid w:val="083A4841"/>
    <w:rsid w:val="08620CB8"/>
    <w:rsid w:val="088F1FB5"/>
    <w:rsid w:val="089D16D6"/>
    <w:rsid w:val="08D7729F"/>
    <w:rsid w:val="09076943"/>
    <w:rsid w:val="091B5295"/>
    <w:rsid w:val="091D6427"/>
    <w:rsid w:val="097A071A"/>
    <w:rsid w:val="09D97F9D"/>
    <w:rsid w:val="09FC19D9"/>
    <w:rsid w:val="0A394CAB"/>
    <w:rsid w:val="0AB37F6D"/>
    <w:rsid w:val="0B05005A"/>
    <w:rsid w:val="0B113617"/>
    <w:rsid w:val="0B390286"/>
    <w:rsid w:val="0B411B58"/>
    <w:rsid w:val="0B7D11E3"/>
    <w:rsid w:val="0B8E4AFE"/>
    <w:rsid w:val="0BD3517F"/>
    <w:rsid w:val="0BDB6102"/>
    <w:rsid w:val="0BE36533"/>
    <w:rsid w:val="0BF82174"/>
    <w:rsid w:val="0C2942B6"/>
    <w:rsid w:val="0C6438DD"/>
    <w:rsid w:val="0C697BC1"/>
    <w:rsid w:val="0CA4455C"/>
    <w:rsid w:val="0CBC71FC"/>
    <w:rsid w:val="0CE27754"/>
    <w:rsid w:val="0CE551DA"/>
    <w:rsid w:val="0CF91566"/>
    <w:rsid w:val="0D535AC4"/>
    <w:rsid w:val="0D65079D"/>
    <w:rsid w:val="0DCA3E55"/>
    <w:rsid w:val="0DE171DA"/>
    <w:rsid w:val="0DE25564"/>
    <w:rsid w:val="0E0936CF"/>
    <w:rsid w:val="0E302C83"/>
    <w:rsid w:val="0E5E5B9A"/>
    <w:rsid w:val="0E6000B1"/>
    <w:rsid w:val="0E773AB4"/>
    <w:rsid w:val="0EAC20A6"/>
    <w:rsid w:val="0EC10CAD"/>
    <w:rsid w:val="0EE6638F"/>
    <w:rsid w:val="0EF6043D"/>
    <w:rsid w:val="0F1F4462"/>
    <w:rsid w:val="0F3951FD"/>
    <w:rsid w:val="0F41073E"/>
    <w:rsid w:val="0F7A7C39"/>
    <w:rsid w:val="0F9A1334"/>
    <w:rsid w:val="0FC740E3"/>
    <w:rsid w:val="0FD41694"/>
    <w:rsid w:val="0FDB0895"/>
    <w:rsid w:val="1025078F"/>
    <w:rsid w:val="10252AA2"/>
    <w:rsid w:val="105F083F"/>
    <w:rsid w:val="107A246B"/>
    <w:rsid w:val="10813B7B"/>
    <w:rsid w:val="10A57D1A"/>
    <w:rsid w:val="10E5425D"/>
    <w:rsid w:val="10FD05CA"/>
    <w:rsid w:val="1119786B"/>
    <w:rsid w:val="11256050"/>
    <w:rsid w:val="117D3E16"/>
    <w:rsid w:val="11A5601B"/>
    <w:rsid w:val="11AF64EC"/>
    <w:rsid w:val="11D74F0A"/>
    <w:rsid w:val="11F50BAB"/>
    <w:rsid w:val="121D5ECA"/>
    <w:rsid w:val="12640487"/>
    <w:rsid w:val="126B06D1"/>
    <w:rsid w:val="12830F4E"/>
    <w:rsid w:val="12862F76"/>
    <w:rsid w:val="12BF1CCA"/>
    <w:rsid w:val="12CC7C43"/>
    <w:rsid w:val="12DE7E00"/>
    <w:rsid w:val="12E1125E"/>
    <w:rsid w:val="12F82822"/>
    <w:rsid w:val="12F964D1"/>
    <w:rsid w:val="13554D0D"/>
    <w:rsid w:val="137257D4"/>
    <w:rsid w:val="13773B6E"/>
    <w:rsid w:val="13822027"/>
    <w:rsid w:val="13917638"/>
    <w:rsid w:val="13A51F52"/>
    <w:rsid w:val="13C604CB"/>
    <w:rsid w:val="13F07F40"/>
    <w:rsid w:val="14180C5D"/>
    <w:rsid w:val="141A2D37"/>
    <w:rsid w:val="141F532D"/>
    <w:rsid w:val="142563D6"/>
    <w:rsid w:val="14636EE2"/>
    <w:rsid w:val="14B41373"/>
    <w:rsid w:val="14C86408"/>
    <w:rsid w:val="14EE1926"/>
    <w:rsid w:val="15123642"/>
    <w:rsid w:val="151C4D63"/>
    <w:rsid w:val="152D7AB0"/>
    <w:rsid w:val="155E6B3F"/>
    <w:rsid w:val="1589255F"/>
    <w:rsid w:val="15A60BEE"/>
    <w:rsid w:val="15D07AA7"/>
    <w:rsid w:val="15D51F8D"/>
    <w:rsid w:val="15D92A75"/>
    <w:rsid w:val="161E32D2"/>
    <w:rsid w:val="16716FA4"/>
    <w:rsid w:val="16DF75C9"/>
    <w:rsid w:val="16FA2DF7"/>
    <w:rsid w:val="17072E0B"/>
    <w:rsid w:val="170847F7"/>
    <w:rsid w:val="170A5BDD"/>
    <w:rsid w:val="17235D0D"/>
    <w:rsid w:val="175D717B"/>
    <w:rsid w:val="17700063"/>
    <w:rsid w:val="1788578F"/>
    <w:rsid w:val="17B102F4"/>
    <w:rsid w:val="17DB3E95"/>
    <w:rsid w:val="180C6EEA"/>
    <w:rsid w:val="181C70C9"/>
    <w:rsid w:val="18295A65"/>
    <w:rsid w:val="182E685B"/>
    <w:rsid w:val="18357721"/>
    <w:rsid w:val="18361774"/>
    <w:rsid w:val="1842425A"/>
    <w:rsid w:val="1848120B"/>
    <w:rsid w:val="18560CA4"/>
    <w:rsid w:val="188A0D98"/>
    <w:rsid w:val="18AE757C"/>
    <w:rsid w:val="18B1753E"/>
    <w:rsid w:val="18BB66A4"/>
    <w:rsid w:val="18FA3D8C"/>
    <w:rsid w:val="19173FA3"/>
    <w:rsid w:val="1938714C"/>
    <w:rsid w:val="193B1EEB"/>
    <w:rsid w:val="19421E45"/>
    <w:rsid w:val="198E23BD"/>
    <w:rsid w:val="19C64E27"/>
    <w:rsid w:val="19FA14C0"/>
    <w:rsid w:val="1A0003E6"/>
    <w:rsid w:val="1A062B69"/>
    <w:rsid w:val="1A181932"/>
    <w:rsid w:val="1A3721FE"/>
    <w:rsid w:val="1A4C3B8C"/>
    <w:rsid w:val="1A5F49BD"/>
    <w:rsid w:val="1A6311B0"/>
    <w:rsid w:val="1A757977"/>
    <w:rsid w:val="1A8515E3"/>
    <w:rsid w:val="1A932028"/>
    <w:rsid w:val="1A9349CF"/>
    <w:rsid w:val="1A9D29EF"/>
    <w:rsid w:val="1AA26938"/>
    <w:rsid w:val="1AA62EEA"/>
    <w:rsid w:val="1ABF03F9"/>
    <w:rsid w:val="1AC2509B"/>
    <w:rsid w:val="1AFF5A14"/>
    <w:rsid w:val="1B0B5181"/>
    <w:rsid w:val="1B886D96"/>
    <w:rsid w:val="1C026A0B"/>
    <w:rsid w:val="1C587FC9"/>
    <w:rsid w:val="1C623835"/>
    <w:rsid w:val="1C8F7C2B"/>
    <w:rsid w:val="1C9E4BCD"/>
    <w:rsid w:val="1CA11FF8"/>
    <w:rsid w:val="1CBC6798"/>
    <w:rsid w:val="1D277A67"/>
    <w:rsid w:val="1D366A4C"/>
    <w:rsid w:val="1D505A3B"/>
    <w:rsid w:val="1D704195"/>
    <w:rsid w:val="1D795CBF"/>
    <w:rsid w:val="1D8001CF"/>
    <w:rsid w:val="1D8E6B4F"/>
    <w:rsid w:val="1DA05FD2"/>
    <w:rsid w:val="1DEC768B"/>
    <w:rsid w:val="1DEF79DF"/>
    <w:rsid w:val="1DF970B3"/>
    <w:rsid w:val="1E006219"/>
    <w:rsid w:val="1E024C20"/>
    <w:rsid w:val="1E2B5FD7"/>
    <w:rsid w:val="1E2C0DB2"/>
    <w:rsid w:val="1E377AF7"/>
    <w:rsid w:val="1E43742A"/>
    <w:rsid w:val="1E633573"/>
    <w:rsid w:val="1EA12C73"/>
    <w:rsid w:val="1EF77157"/>
    <w:rsid w:val="1F08402C"/>
    <w:rsid w:val="1F0D0CB8"/>
    <w:rsid w:val="1F255E62"/>
    <w:rsid w:val="1F3F3924"/>
    <w:rsid w:val="1F5958B1"/>
    <w:rsid w:val="1F647B16"/>
    <w:rsid w:val="1F705D0A"/>
    <w:rsid w:val="1F76421A"/>
    <w:rsid w:val="1F890903"/>
    <w:rsid w:val="1F946EAD"/>
    <w:rsid w:val="1F974213"/>
    <w:rsid w:val="1F991666"/>
    <w:rsid w:val="20295083"/>
    <w:rsid w:val="202A39BE"/>
    <w:rsid w:val="204244A8"/>
    <w:rsid w:val="206D1D81"/>
    <w:rsid w:val="20DF2DB0"/>
    <w:rsid w:val="20FD68B8"/>
    <w:rsid w:val="215F5BE1"/>
    <w:rsid w:val="21640C0A"/>
    <w:rsid w:val="2165149E"/>
    <w:rsid w:val="21725522"/>
    <w:rsid w:val="217B0B0F"/>
    <w:rsid w:val="217C78EF"/>
    <w:rsid w:val="21825B31"/>
    <w:rsid w:val="21B40EDE"/>
    <w:rsid w:val="22052BE9"/>
    <w:rsid w:val="220E301C"/>
    <w:rsid w:val="223535B6"/>
    <w:rsid w:val="22987546"/>
    <w:rsid w:val="22A653F8"/>
    <w:rsid w:val="22BE77E2"/>
    <w:rsid w:val="230C646B"/>
    <w:rsid w:val="235924C7"/>
    <w:rsid w:val="23693268"/>
    <w:rsid w:val="238E5E2D"/>
    <w:rsid w:val="23B03381"/>
    <w:rsid w:val="23C15460"/>
    <w:rsid w:val="23C856C0"/>
    <w:rsid w:val="23E13761"/>
    <w:rsid w:val="242108ED"/>
    <w:rsid w:val="249C5B04"/>
    <w:rsid w:val="24A23D4C"/>
    <w:rsid w:val="24DA0B4C"/>
    <w:rsid w:val="24E50E2F"/>
    <w:rsid w:val="251A461B"/>
    <w:rsid w:val="257A0CB0"/>
    <w:rsid w:val="259B628F"/>
    <w:rsid w:val="25BF2E34"/>
    <w:rsid w:val="25D64D91"/>
    <w:rsid w:val="25ED53F5"/>
    <w:rsid w:val="25F71E07"/>
    <w:rsid w:val="262C2AA5"/>
    <w:rsid w:val="262D631C"/>
    <w:rsid w:val="26470278"/>
    <w:rsid w:val="265654F0"/>
    <w:rsid w:val="265A16A0"/>
    <w:rsid w:val="2668128F"/>
    <w:rsid w:val="269662F8"/>
    <w:rsid w:val="26982C97"/>
    <w:rsid w:val="26AB6AB9"/>
    <w:rsid w:val="26B8566E"/>
    <w:rsid w:val="270A6B48"/>
    <w:rsid w:val="27526BDB"/>
    <w:rsid w:val="276E0050"/>
    <w:rsid w:val="27797CA0"/>
    <w:rsid w:val="27B11977"/>
    <w:rsid w:val="27F55DBA"/>
    <w:rsid w:val="283661D1"/>
    <w:rsid w:val="283B2DC7"/>
    <w:rsid w:val="28481550"/>
    <w:rsid w:val="28574095"/>
    <w:rsid w:val="28615C27"/>
    <w:rsid w:val="288365B9"/>
    <w:rsid w:val="2888071D"/>
    <w:rsid w:val="28A222F8"/>
    <w:rsid w:val="28ED019C"/>
    <w:rsid w:val="28F550BC"/>
    <w:rsid w:val="292306AD"/>
    <w:rsid w:val="292938C4"/>
    <w:rsid w:val="29306D12"/>
    <w:rsid w:val="29937C68"/>
    <w:rsid w:val="29943A04"/>
    <w:rsid w:val="29BB5E34"/>
    <w:rsid w:val="29C64DB0"/>
    <w:rsid w:val="29E544E7"/>
    <w:rsid w:val="29E64A91"/>
    <w:rsid w:val="2A215464"/>
    <w:rsid w:val="2A485F91"/>
    <w:rsid w:val="2A735E13"/>
    <w:rsid w:val="2A7804E6"/>
    <w:rsid w:val="2A8A1F00"/>
    <w:rsid w:val="2ADC699A"/>
    <w:rsid w:val="2B03110E"/>
    <w:rsid w:val="2B1D2653"/>
    <w:rsid w:val="2B213473"/>
    <w:rsid w:val="2B4E0F5E"/>
    <w:rsid w:val="2B873D97"/>
    <w:rsid w:val="2B9C04FE"/>
    <w:rsid w:val="2BA063FA"/>
    <w:rsid w:val="2BEA3D4A"/>
    <w:rsid w:val="2BFE45F6"/>
    <w:rsid w:val="2C045177"/>
    <w:rsid w:val="2C8E5BAB"/>
    <w:rsid w:val="2CB961CA"/>
    <w:rsid w:val="2CC578D1"/>
    <w:rsid w:val="2CCC2AC0"/>
    <w:rsid w:val="2CF01534"/>
    <w:rsid w:val="2CF268CC"/>
    <w:rsid w:val="2CF34BD4"/>
    <w:rsid w:val="2D191EBA"/>
    <w:rsid w:val="2D306B61"/>
    <w:rsid w:val="2D341991"/>
    <w:rsid w:val="2D61555D"/>
    <w:rsid w:val="2D8522DC"/>
    <w:rsid w:val="2DA72F0F"/>
    <w:rsid w:val="2DB6680D"/>
    <w:rsid w:val="2DC234A9"/>
    <w:rsid w:val="2E103E50"/>
    <w:rsid w:val="2E104919"/>
    <w:rsid w:val="2E277CED"/>
    <w:rsid w:val="2E5E5779"/>
    <w:rsid w:val="2E6C187C"/>
    <w:rsid w:val="2E7E524F"/>
    <w:rsid w:val="2E7F7EB2"/>
    <w:rsid w:val="2E951AE4"/>
    <w:rsid w:val="2EAB136A"/>
    <w:rsid w:val="2EC54FFE"/>
    <w:rsid w:val="2EDE33AB"/>
    <w:rsid w:val="2F0156EA"/>
    <w:rsid w:val="2F0854FD"/>
    <w:rsid w:val="2F2215BE"/>
    <w:rsid w:val="2F50160A"/>
    <w:rsid w:val="2F6856B5"/>
    <w:rsid w:val="2F8B6E46"/>
    <w:rsid w:val="2F994DA7"/>
    <w:rsid w:val="2FA366BF"/>
    <w:rsid w:val="2FA637BB"/>
    <w:rsid w:val="2FE57AEC"/>
    <w:rsid w:val="30081C4B"/>
    <w:rsid w:val="307B7C54"/>
    <w:rsid w:val="309836C0"/>
    <w:rsid w:val="30C73B30"/>
    <w:rsid w:val="30C85648"/>
    <w:rsid w:val="30E613D5"/>
    <w:rsid w:val="30E958C3"/>
    <w:rsid w:val="30FC7FB5"/>
    <w:rsid w:val="30FF165A"/>
    <w:rsid w:val="31066357"/>
    <w:rsid w:val="310D6A0C"/>
    <w:rsid w:val="315B3FCE"/>
    <w:rsid w:val="318063C0"/>
    <w:rsid w:val="31825A76"/>
    <w:rsid w:val="322D2025"/>
    <w:rsid w:val="323C737B"/>
    <w:rsid w:val="324A4BBD"/>
    <w:rsid w:val="32505226"/>
    <w:rsid w:val="32661D67"/>
    <w:rsid w:val="328726C9"/>
    <w:rsid w:val="329B1B53"/>
    <w:rsid w:val="32B6153E"/>
    <w:rsid w:val="33455BF9"/>
    <w:rsid w:val="335D3069"/>
    <w:rsid w:val="33BA34F4"/>
    <w:rsid w:val="34321BAF"/>
    <w:rsid w:val="34384578"/>
    <w:rsid w:val="34505616"/>
    <w:rsid w:val="3481653F"/>
    <w:rsid w:val="34A055E6"/>
    <w:rsid w:val="34B07302"/>
    <w:rsid w:val="34D273D8"/>
    <w:rsid w:val="34F313C3"/>
    <w:rsid w:val="350063BA"/>
    <w:rsid w:val="350C4152"/>
    <w:rsid w:val="35225BA9"/>
    <w:rsid w:val="352B3CEA"/>
    <w:rsid w:val="356979AE"/>
    <w:rsid w:val="356E0774"/>
    <w:rsid w:val="357F0BAF"/>
    <w:rsid w:val="35B95099"/>
    <w:rsid w:val="35C61DC8"/>
    <w:rsid w:val="35E02176"/>
    <w:rsid w:val="35EB0C0B"/>
    <w:rsid w:val="36216559"/>
    <w:rsid w:val="36253076"/>
    <w:rsid w:val="362B66F7"/>
    <w:rsid w:val="365264A3"/>
    <w:rsid w:val="36633EA0"/>
    <w:rsid w:val="366505C0"/>
    <w:rsid w:val="36931F4E"/>
    <w:rsid w:val="36D36FDE"/>
    <w:rsid w:val="36D80B7F"/>
    <w:rsid w:val="36DB4345"/>
    <w:rsid w:val="36DC76A6"/>
    <w:rsid w:val="36EC58E0"/>
    <w:rsid w:val="36F01248"/>
    <w:rsid w:val="37286BFC"/>
    <w:rsid w:val="373C710A"/>
    <w:rsid w:val="37406D4D"/>
    <w:rsid w:val="37950F1D"/>
    <w:rsid w:val="37BD3C27"/>
    <w:rsid w:val="37C26A81"/>
    <w:rsid w:val="37F3463A"/>
    <w:rsid w:val="381456D7"/>
    <w:rsid w:val="38263DA0"/>
    <w:rsid w:val="386C1915"/>
    <w:rsid w:val="38742402"/>
    <w:rsid w:val="38915C50"/>
    <w:rsid w:val="39055C49"/>
    <w:rsid w:val="39105247"/>
    <w:rsid w:val="39381BBA"/>
    <w:rsid w:val="395055E9"/>
    <w:rsid w:val="397047BB"/>
    <w:rsid w:val="39876C41"/>
    <w:rsid w:val="399D4DF5"/>
    <w:rsid w:val="39A91492"/>
    <w:rsid w:val="39B94FD0"/>
    <w:rsid w:val="39DC57EE"/>
    <w:rsid w:val="3A1170BB"/>
    <w:rsid w:val="3A120531"/>
    <w:rsid w:val="3A2B180B"/>
    <w:rsid w:val="3A4A4F03"/>
    <w:rsid w:val="3A6406C3"/>
    <w:rsid w:val="3A672E20"/>
    <w:rsid w:val="3ADA3776"/>
    <w:rsid w:val="3B055E84"/>
    <w:rsid w:val="3B4D5FE3"/>
    <w:rsid w:val="3B825CC6"/>
    <w:rsid w:val="3B9552C2"/>
    <w:rsid w:val="3B97203E"/>
    <w:rsid w:val="3BDD6EFB"/>
    <w:rsid w:val="3BEB6F06"/>
    <w:rsid w:val="3BF34CA2"/>
    <w:rsid w:val="3BF91AF1"/>
    <w:rsid w:val="3C221152"/>
    <w:rsid w:val="3C3B7D69"/>
    <w:rsid w:val="3C906486"/>
    <w:rsid w:val="3CAB2B3B"/>
    <w:rsid w:val="3CCB705B"/>
    <w:rsid w:val="3CE50D05"/>
    <w:rsid w:val="3D10440D"/>
    <w:rsid w:val="3D20116D"/>
    <w:rsid w:val="3D2474CF"/>
    <w:rsid w:val="3D4536DB"/>
    <w:rsid w:val="3D544521"/>
    <w:rsid w:val="3D8375CF"/>
    <w:rsid w:val="3D847CFF"/>
    <w:rsid w:val="3DB251DC"/>
    <w:rsid w:val="3DFC6F2A"/>
    <w:rsid w:val="3E5F2386"/>
    <w:rsid w:val="3E65491C"/>
    <w:rsid w:val="3E9A26F9"/>
    <w:rsid w:val="3E9F214D"/>
    <w:rsid w:val="3EAB664F"/>
    <w:rsid w:val="3EB11324"/>
    <w:rsid w:val="3EC0210E"/>
    <w:rsid w:val="3ECC3D62"/>
    <w:rsid w:val="3ED646F6"/>
    <w:rsid w:val="3EDE5957"/>
    <w:rsid w:val="3F201EC5"/>
    <w:rsid w:val="3F470DC3"/>
    <w:rsid w:val="3F4C4AAC"/>
    <w:rsid w:val="3F6E68D4"/>
    <w:rsid w:val="3F777199"/>
    <w:rsid w:val="3FA353D1"/>
    <w:rsid w:val="3FDD65EB"/>
    <w:rsid w:val="3FFC3EE0"/>
    <w:rsid w:val="40285734"/>
    <w:rsid w:val="404606C5"/>
    <w:rsid w:val="40676B5E"/>
    <w:rsid w:val="40683676"/>
    <w:rsid w:val="40B943F7"/>
    <w:rsid w:val="40C33E8C"/>
    <w:rsid w:val="40C50C06"/>
    <w:rsid w:val="40CF0E2E"/>
    <w:rsid w:val="40D375B3"/>
    <w:rsid w:val="40DC0547"/>
    <w:rsid w:val="40DE24C0"/>
    <w:rsid w:val="40F22086"/>
    <w:rsid w:val="411A496E"/>
    <w:rsid w:val="411C64C2"/>
    <w:rsid w:val="41985742"/>
    <w:rsid w:val="41A767BA"/>
    <w:rsid w:val="41C93225"/>
    <w:rsid w:val="42030EFA"/>
    <w:rsid w:val="420600B5"/>
    <w:rsid w:val="42137E49"/>
    <w:rsid w:val="423B491C"/>
    <w:rsid w:val="423E34FC"/>
    <w:rsid w:val="427E23AB"/>
    <w:rsid w:val="42AD30F5"/>
    <w:rsid w:val="42F760B1"/>
    <w:rsid w:val="42FF280A"/>
    <w:rsid w:val="435D7F7A"/>
    <w:rsid w:val="436B059C"/>
    <w:rsid w:val="438117CF"/>
    <w:rsid w:val="43997839"/>
    <w:rsid w:val="43D900B5"/>
    <w:rsid w:val="43DE0D0F"/>
    <w:rsid w:val="43EF70AA"/>
    <w:rsid w:val="447330A0"/>
    <w:rsid w:val="44771A22"/>
    <w:rsid w:val="44B10EE9"/>
    <w:rsid w:val="44C74BFE"/>
    <w:rsid w:val="44FA5440"/>
    <w:rsid w:val="45325EA8"/>
    <w:rsid w:val="456D228A"/>
    <w:rsid w:val="458B0D2E"/>
    <w:rsid w:val="45A163D4"/>
    <w:rsid w:val="45B62101"/>
    <w:rsid w:val="45D67A09"/>
    <w:rsid w:val="46061439"/>
    <w:rsid w:val="46062E52"/>
    <w:rsid w:val="46503480"/>
    <w:rsid w:val="46625FC7"/>
    <w:rsid w:val="46692CE5"/>
    <w:rsid w:val="466A6B0C"/>
    <w:rsid w:val="466D3FFF"/>
    <w:rsid w:val="46A67EFA"/>
    <w:rsid w:val="46BE4002"/>
    <w:rsid w:val="46C37154"/>
    <w:rsid w:val="470D05B5"/>
    <w:rsid w:val="47330952"/>
    <w:rsid w:val="475C5B96"/>
    <w:rsid w:val="476E292E"/>
    <w:rsid w:val="47B55C38"/>
    <w:rsid w:val="47E04B82"/>
    <w:rsid w:val="480B4E1D"/>
    <w:rsid w:val="4837659A"/>
    <w:rsid w:val="484021B6"/>
    <w:rsid w:val="48882AFF"/>
    <w:rsid w:val="48912283"/>
    <w:rsid w:val="48C265D4"/>
    <w:rsid w:val="49170E29"/>
    <w:rsid w:val="492B0560"/>
    <w:rsid w:val="494F53C8"/>
    <w:rsid w:val="496013F6"/>
    <w:rsid w:val="49924968"/>
    <w:rsid w:val="49A31940"/>
    <w:rsid w:val="49A54E81"/>
    <w:rsid w:val="49AA5DF0"/>
    <w:rsid w:val="49B72CF1"/>
    <w:rsid w:val="49B771CB"/>
    <w:rsid w:val="49C9278E"/>
    <w:rsid w:val="49F127A9"/>
    <w:rsid w:val="4A0064C4"/>
    <w:rsid w:val="4A3F17E6"/>
    <w:rsid w:val="4A5E7304"/>
    <w:rsid w:val="4A6040D9"/>
    <w:rsid w:val="4A9E3D2F"/>
    <w:rsid w:val="4ACF253B"/>
    <w:rsid w:val="4ADC04C3"/>
    <w:rsid w:val="4AEE4E55"/>
    <w:rsid w:val="4B1F3A48"/>
    <w:rsid w:val="4B2E1F51"/>
    <w:rsid w:val="4B4675A6"/>
    <w:rsid w:val="4B655078"/>
    <w:rsid w:val="4B790B54"/>
    <w:rsid w:val="4B8E5897"/>
    <w:rsid w:val="4B9750EA"/>
    <w:rsid w:val="4BA82A38"/>
    <w:rsid w:val="4BB44E59"/>
    <w:rsid w:val="4BCD10AB"/>
    <w:rsid w:val="4BD32E0C"/>
    <w:rsid w:val="4BFC7E29"/>
    <w:rsid w:val="4C082092"/>
    <w:rsid w:val="4C1314B6"/>
    <w:rsid w:val="4C1C4302"/>
    <w:rsid w:val="4C7873AB"/>
    <w:rsid w:val="4C7B348D"/>
    <w:rsid w:val="4C823296"/>
    <w:rsid w:val="4C82561F"/>
    <w:rsid w:val="4D2C38EF"/>
    <w:rsid w:val="4D433C85"/>
    <w:rsid w:val="4D4914C0"/>
    <w:rsid w:val="4D532741"/>
    <w:rsid w:val="4D71452F"/>
    <w:rsid w:val="4D7665C4"/>
    <w:rsid w:val="4D971D71"/>
    <w:rsid w:val="4DB4008D"/>
    <w:rsid w:val="4DC1358A"/>
    <w:rsid w:val="4DDE3FAA"/>
    <w:rsid w:val="4DED3AAA"/>
    <w:rsid w:val="4E074DBD"/>
    <w:rsid w:val="4E3D13BA"/>
    <w:rsid w:val="4E645E77"/>
    <w:rsid w:val="4E946E1B"/>
    <w:rsid w:val="4ED91854"/>
    <w:rsid w:val="4EDD0E4C"/>
    <w:rsid w:val="4F4625D5"/>
    <w:rsid w:val="4F70137C"/>
    <w:rsid w:val="4F777B7D"/>
    <w:rsid w:val="4FA31EA5"/>
    <w:rsid w:val="4FB25BE8"/>
    <w:rsid w:val="500348AB"/>
    <w:rsid w:val="502D3DD0"/>
    <w:rsid w:val="502D65DA"/>
    <w:rsid w:val="504D4F4C"/>
    <w:rsid w:val="50666CEF"/>
    <w:rsid w:val="50D41DA3"/>
    <w:rsid w:val="50D506A9"/>
    <w:rsid w:val="510A7086"/>
    <w:rsid w:val="511D1383"/>
    <w:rsid w:val="51686DE0"/>
    <w:rsid w:val="516E18F6"/>
    <w:rsid w:val="51813954"/>
    <w:rsid w:val="519A0115"/>
    <w:rsid w:val="51C32F7E"/>
    <w:rsid w:val="51CB79AB"/>
    <w:rsid w:val="51CE7A1A"/>
    <w:rsid w:val="51D64A0D"/>
    <w:rsid w:val="51EE45F7"/>
    <w:rsid w:val="52600A6C"/>
    <w:rsid w:val="52792884"/>
    <w:rsid w:val="52A32873"/>
    <w:rsid w:val="52A4714D"/>
    <w:rsid w:val="52B46CB8"/>
    <w:rsid w:val="52D5405B"/>
    <w:rsid w:val="531F16D8"/>
    <w:rsid w:val="531F357D"/>
    <w:rsid w:val="535649BC"/>
    <w:rsid w:val="537B21AB"/>
    <w:rsid w:val="537C620E"/>
    <w:rsid w:val="53B353C4"/>
    <w:rsid w:val="53E12686"/>
    <w:rsid w:val="542E2387"/>
    <w:rsid w:val="54375765"/>
    <w:rsid w:val="543856B6"/>
    <w:rsid w:val="547D0220"/>
    <w:rsid w:val="54AE0E21"/>
    <w:rsid w:val="54B11BF7"/>
    <w:rsid w:val="54BC6BC2"/>
    <w:rsid w:val="54E32795"/>
    <w:rsid w:val="552B495D"/>
    <w:rsid w:val="55521606"/>
    <w:rsid w:val="55632CF6"/>
    <w:rsid w:val="55797E63"/>
    <w:rsid w:val="557D6A9E"/>
    <w:rsid w:val="559C3B78"/>
    <w:rsid w:val="55B50024"/>
    <w:rsid w:val="55B9087C"/>
    <w:rsid w:val="562B6930"/>
    <w:rsid w:val="56604132"/>
    <w:rsid w:val="56631897"/>
    <w:rsid w:val="56685906"/>
    <w:rsid w:val="566E5545"/>
    <w:rsid w:val="568825B9"/>
    <w:rsid w:val="56966DA2"/>
    <w:rsid w:val="56C475BF"/>
    <w:rsid w:val="56DB2751"/>
    <w:rsid w:val="571D7AD2"/>
    <w:rsid w:val="576E797B"/>
    <w:rsid w:val="57A42E69"/>
    <w:rsid w:val="57B761DB"/>
    <w:rsid w:val="57DA72E1"/>
    <w:rsid w:val="57E119B7"/>
    <w:rsid w:val="57E74426"/>
    <w:rsid w:val="57E95E36"/>
    <w:rsid w:val="583527FE"/>
    <w:rsid w:val="58493639"/>
    <w:rsid w:val="584C6011"/>
    <w:rsid w:val="589301F4"/>
    <w:rsid w:val="589E5684"/>
    <w:rsid w:val="58A41D0F"/>
    <w:rsid w:val="58B026DF"/>
    <w:rsid w:val="58CF0013"/>
    <w:rsid w:val="58DC01BF"/>
    <w:rsid w:val="592E3450"/>
    <w:rsid w:val="595E7566"/>
    <w:rsid w:val="598C3A79"/>
    <w:rsid w:val="599812E5"/>
    <w:rsid w:val="59B53AB7"/>
    <w:rsid w:val="59CC4EE0"/>
    <w:rsid w:val="5A337429"/>
    <w:rsid w:val="5A606BFC"/>
    <w:rsid w:val="5A7536F8"/>
    <w:rsid w:val="5A921A6F"/>
    <w:rsid w:val="5A927DA4"/>
    <w:rsid w:val="5AA14217"/>
    <w:rsid w:val="5AED246F"/>
    <w:rsid w:val="5AF23C6F"/>
    <w:rsid w:val="5B2C5C96"/>
    <w:rsid w:val="5B345F67"/>
    <w:rsid w:val="5B3B6CC1"/>
    <w:rsid w:val="5B5D7AEF"/>
    <w:rsid w:val="5B605757"/>
    <w:rsid w:val="5BA86B79"/>
    <w:rsid w:val="5BAB57F8"/>
    <w:rsid w:val="5BE54158"/>
    <w:rsid w:val="5BF11894"/>
    <w:rsid w:val="5C576958"/>
    <w:rsid w:val="5C6A0C6B"/>
    <w:rsid w:val="5C7240D4"/>
    <w:rsid w:val="5C8B2909"/>
    <w:rsid w:val="5CAB1E9A"/>
    <w:rsid w:val="5CBA6764"/>
    <w:rsid w:val="5CC0312F"/>
    <w:rsid w:val="5CCB2156"/>
    <w:rsid w:val="5CCF6F29"/>
    <w:rsid w:val="5CF90314"/>
    <w:rsid w:val="5D396AF3"/>
    <w:rsid w:val="5D651C60"/>
    <w:rsid w:val="5D77084D"/>
    <w:rsid w:val="5D981475"/>
    <w:rsid w:val="5DB07601"/>
    <w:rsid w:val="5DF80830"/>
    <w:rsid w:val="5E0134E5"/>
    <w:rsid w:val="5E1524EB"/>
    <w:rsid w:val="5E3509FD"/>
    <w:rsid w:val="5E5D0C54"/>
    <w:rsid w:val="5E6205CA"/>
    <w:rsid w:val="5E632778"/>
    <w:rsid w:val="5E666C1C"/>
    <w:rsid w:val="5E772C8D"/>
    <w:rsid w:val="5E89337E"/>
    <w:rsid w:val="5EDC74F1"/>
    <w:rsid w:val="5EDE25E9"/>
    <w:rsid w:val="5EF4048F"/>
    <w:rsid w:val="5EF60C33"/>
    <w:rsid w:val="5EF76AF1"/>
    <w:rsid w:val="5F0E466E"/>
    <w:rsid w:val="5F1118E6"/>
    <w:rsid w:val="5F1B1144"/>
    <w:rsid w:val="5F493F95"/>
    <w:rsid w:val="5F7712B3"/>
    <w:rsid w:val="5F875E4B"/>
    <w:rsid w:val="5F891558"/>
    <w:rsid w:val="5F990C37"/>
    <w:rsid w:val="5F9E0AB5"/>
    <w:rsid w:val="6005415B"/>
    <w:rsid w:val="6011718D"/>
    <w:rsid w:val="6035649E"/>
    <w:rsid w:val="603776DA"/>
    <w:rsid w:val="607950E5"/>
    <w:rsid w:val="60797ECD"/>
    <w:rsid w:val="60844C20"/>
    <w:rsid w:val="609D6CD6"/>
    <w:rsid w:val="60A83990"/>
    <w:rsid w:val="60A924A6"/>
    <w:rsid w:val="60D32DD1"/>
    <w:rsid w:val="60F5036B"/>
    <w:rsid w:val="61106A90"/>
    <w:rsid w:val="612B548C"/>
    <w:rsid w:val="6133160F"/>
    <w:rsid w:val="617C6B62"/>
    <w:rsid w:val="619A0A54"/>
    <w:rsid w:val="619D34BB"/>
    <w:rsid w:val="61AB51D0"/>
    <w:rsid w:val="61AF19C8"/>
    <w:rsid w:val="61B25CAB"/>
    <w:rsid w:val="61BB7604"/>
    <w:rsid w:val="61DA138A"/>
    <w:rsid w:val="61E80FE9"/>
    <w:rsid w:val="62231EE1"/>
    <w:rsid w:val="6236544E"/>
    <w:rsid w:val="623D4935"/>
    <w:rsid w:val="62661BC0"/>
    <w:rsid w:val="62B04E04"/>
    <w:rsid w:val="62B74455"/>
    <w:rsid w:val="62DB0035"/>
    <w:rsid w:val="632A2E4A"/>
    <w:rsid w:val="633544AB"/>
    <w:rsid w:val="633767A9"/>
    <w:rsid w:val="63800F4A"/>
    <w:rsid w:val="6393198E"/>
    <w:rsid w:val="63AE3325"/>
    <w:rsid w:val="63CB5C33"/>
    <w:rsid w:val="63DA6AFE"/>
    <w:rsid w:val="63F01322"/>
    <w:rsid w:val="64180CD3"/>
    <w:rsid w:val="64354802"/>
    <w:rsid w:val="643826C6"/>
    <w:rsid w:val="64985766"/>
    <w:rsid w:val="64A65C66"/>
    <w:rsid w:val="64CD28AC"/>
    <w:rsid w:val="65416457"/>
    <w:rsid w:val="654F4BDE"/>
    <w:rsid w:val="656C4491"/>
    <w:rsid w:val="65716BAE"/>
    <w:rsid w:val="65833513"/>
    <w:rsid w:val="658432E3"/>
    <w:rsid w:val="65AE1918"/>
    <w:rsid w:val="65B2515C"/>
    <w:rsid w:val="65B7046E"/>
    <w:rsid w:val="65BC2BA3"/>
    <w:rsid w:val="65EE2D7E"/>
    <w:rsid w:val="65FB1815"/>
    <w:rsid w:val="65FF7928"/>
    <w:rsid w:val="66025E2A"/>
    <w:rsid w:val="660A1151"/>
    <w:rsid w:val="660F47D1"/>
    <w:rsid w:val="6625271B"/>
    <w:rsid w:val="662C1AAA"/>
    <w:rsid w:val="66451B7E"/>
    <w:rsid w:val="666C126B"/>
    <w:rsid w:val="667B55C0"/>
    <w:rsid w:val="66805037"/>
    <w:rsid w:val="668E0DF8"/>
    <w:rsid w:val="66990F31"/>
    <w:rsid w:val="669939BD"/>
    <w:rsid w:val="66DC721E"/>
    <w:rsid w:val="670A0C0D"/>
    <w:rsid w:val="670A63AB"/>
    <w:rsid w:val="670B3AD6"/>
    <w:rsid w:val="670E24A3"/>
    <w:rsid w:val="67114B39"/>
    <w:rsid w:val="67254A0C"/>
    <w:rsid w:val="675608B6"/>
    <w:rsid w:val="67815F3D"/>
    <w:rsid w:val="67860BDE"/>
    <w:rsid w:val="678D73DA"/>
    <w:rsid w:val="679D29F1"/>
    <w:rsid w:val="67A855DE"/>
    <w:rsid w:val="67B832CD"/>
    <w:rsid w:val="67BA4FAF"/>
    <w:rsid w:val="67BC778E"/>
    <w:rsid w:val="67D70D69"/>
    <w:rsid w:val="67D976D5"/>
    <w:rsid w:val="67F8351F"/>
    <w:rsid w:val="67F911EE"/>
    <w:rsid w:val="680F122E"/>
    <w:rsid w:val="6826548A"/>
    <w:rsid w:val="683F30FE"/>
    <w:rsid w:val="685240C6"/>
    <w:rsid w:val="68683080"/>
    <w:rsid w:val="687414E0"/>
    <w:rsid w:val="688835A3"/>
    <w:rsid w:val="68B42E16"/>
    <w:rsid w:val="68EA0DA7"/>
    <w:rsid w:val="69054E81"/>
    <w:rsid w:val="69313B09"/>
    <w:rsid w:val="69713099"/>
    <w:rsid w:val="69795D69"/>
    <w:rsid w:val="6A0C1E3A"/>
    <w:rsid w:val="6A2263DB"/>
    <w:rsid w:val="6A2477ED"/>
    <w:rsid w:val="6A374582"/>
    <w:rsid w:val="6A496B74"/>
    <w:rsid w:val="6A737E2B"/>
    <w:rsid w:val="6ABE1033"/>
    <w:rsid w:val="6B064E83"/>
    <w:rsid w:val="6B2A4D1C"/>
    <w:rsid w:val="6B502E53"/>
    <w:rsid w:val="6B5B2A7F"/>
    <w:rsid w:val="6B750D8C"/>
    <w:rsid w:val="6B975345"/>
    <w:rsid w:val="6BAE722A"/>
    <w:rsid w:val="6BB203AA"/>
    <w:rsid w:val="6BB61312"/>
    <w:rsid w:val="6BC0037A"/>
    <w:rsid w:val="6BE3540D"/>
    <w:rsid w:val="6C247659"/>
    <w:rsid w:val="6C25665B"/>
    <w:rsid w:val="6C3E3FF5"/>
    <w:rsid w:val="6C3F7978"/>
    <w:rsid w:val="6C772A2C"/>
    <w:rsid w:val="6CB03BAF"/>
    <w:rsid w:val="6CEE575B"/>
    <w:rsid w:val="6CF45DAC"/>
    <w:rsid w:val="6DAB3ED9"/>
    <w:rsid w:val="6DB34A63"/>
    <w:rsid w:val="6DC1145A"/>
    <w:rsid w:val="6DF84EE3"/>
    <w:rsid w:val="6E034E25"/>
    <w:rsid w:val="6E152A45"/>
    <w:rsid w:val="6E3A1CA5"/>
    <w:rsid w:val="6E442BDD"/>
    <w:rsid w:val="6E8D61CD"/>
    <w:rsid w:val="6EA7743F"/>
    <w:rsid w:val="6F102712"/>
    <w:rsid w:val="6F5E7DC9"/>
    <w:rsid w:val="6F7878A3"/>
    <w:rsid w:val="6F850CE8"/>
    <w:rsid w:val="6F8651C6"/>
    <w:rsid w:val="6FD03C8D"/>
    <w:rsid w:val="704323BA"/>
    <w:rsid w:val="706A051D"/>
    <w:rsid w:val="708745A7"/>
    <w:rsid w:val="708E789C"/>
    <w:rsid w:val="70975C2C"/>
    <w:rsid w:val="70C42741"/>
    <w:rsid w:val="70C648F6"/>
    <w:rsid w:val="70F63163"/>
    <w:rsid w:val="70F92CD6"/>
    <w:rsid w:val="710B6121"/>
    <w:rsid w:val="71122003"/>
    <w:rsid w:val="713D372A"/>
    <w:rsid w:val="7144719B"/>
    <w:rsid w:val="71561E5E"/>
    <w:rsid w:val="71B72F62"/>
    <w:rsid w:val="71EF2B0B"/>
    <w:rsid w:val="72427B4C"/>
    <w:rsid w:val="724849E6"/>
    <w:rsid w:val="7271745F"/>
    <w:rsid w:val="728656FE"/>
    <w:rsid w:val="72EA2AE8"/>
    <w:rsid w:val="730F64FC"/>
    <w:rsid w:val="7329437F"/>
    <w:rsid w:val="734115C8"/>
    <w:rsid w:val="73A33BD5"/>
    <w:rsid w:val="73BC07AA"/>
    <w:rsid w:val="73E96659"/>
    <w:rsid w:val="74341DF8"/>
    <w:rsid w:val="745A2085"/>
    <w:rsid w:val="74676792"/>
    <w:rsid w:val="74704B78"/>
    <w:rsid w:val="74750647"/>
    <w:rsid w:val="748F15B9"/>
    <w:rsid w:val="74CF3E35"/>
    <w:rsid w:val="74E03E87"/>
    <w:rsid w:val="74F93A5C"/>
    <w:rsid w:val="755556EE"/>
    <w:rsid w:val="7577496F"/>
    <w:rsid w:val="75D10B11"/>
    <w:rsid w:val="75FF5CAF"/>
    <w:rsid w:val="762C6CBC"/>
    <w:rsid w:val="76461C08"/>
    <w:rsid w:val="76625254"/>
    <w:rsid w:val="76C62B85"/>
    <w:rsid w:val="76DA4B0A"/>
    <w:rsid w:val="76FE0E6C"/>
    <w:rsid w:val="771F7586"/>
    <w:rsid w:val="77317359"/>
    <w:rsid w:val="77891FD1"/>
    <w:rsid w:val="77B25E1A"/>
    <w:rsid w:val="77D342D3"/>
    <w:rsid w:val="77DD3C81"/>
    <w:rsid w:val="781B4757"/>
    <w:rsid w:val="78282F82"/>
    <w:rsid w:val="783D7D16"/>
    <w:rsid w:val="78807C41"/>
    <w:rsid w:val="78894906"/>
    <w:rsid w:val="78B871F0"/>
    <w:rsid w:val="78C504DE"/>
    <w:rsid w:val="78EA1606"/>
    <w:rsid w:val="79016219"/>
    <w:rsid w:val="796E7CCF"/>
    <w:rsid w:val="79771051"/>
    <w:rsid w:val="79964D9E"/>
    <w:rsid w:val="79A23B15"/>
    <w:rsid w:val="79CC256C"/>
    <w:rsid w:val="79FC78F7"/>
    <w:rsid w:val="7A447204"/>
    <w:rsid w:val="7A6F307E"/>
    <w:rsid w:val="7A721CF6"/>
    <w:rsid w:val="7A7C1790"/>
    <w:rsid w:val="7ABE5DB5"/>
    <w:rsid w:val="7AEA2D29"/>
    <w:rsid w:val="7B86775B"/>
    <w:rsid w:val="7B8C2F50"/>
    <w:rsid w:val="7BC62AA4"/>
    <w:rsid w:val="7BD00AC7"/>
    <w:rsid w:val="7BD87F3B"/>
    <w:rsid w:val="7C315AAD"/>
    <w:rsid w:val="7C362596"/>
    <w:rsid w:val="7C8D009F"/>
    <w:rsid w:val="7C950A0B"/>
    <w:rsid w:val="7CEE2E9A"/>
    <w:rsid w:val="7D2A29F1"/>
    <w:rsid w:val="7D3E71B2"/>
    <w:rsid w:val="7D3F4E53"/>
    <w:rsid w:val="7D4520AD"/>
    <w:rsid w:val="7D4545C3"/>
    <w:rsid w:val="7D572804"/>
    <w:rsid w:val="7D6C27EE"/>
    <w:rsid w:val="7D7C4568"/>
    <w:rsid w:val="7D8B57B4"/>
    <w:rsid w:val="7D9C5C1D"/>
    <w:rsid w:val="7DB55EDE"/>
    <w:rsid w:val="7DCE7A21"/>
    <w:rsid w:val="7DD055D2"/>
    <w:rsid w:val="7DF67C77"/>
    <w:rsid w:val="7E4436DC"/>
    <w:rsid w:val="7E522C7B"/>
    <w:rsid w:val="7E725FD3"/>
    <w:rsid w:val="7E89234E"/>
    <w:rsid w:val="7E8C0973"/>
    <w:rsid w:val="7ECB19B1"/>
    <w:rsid w:val="7EE624FB"/>
    <w:rsid w:val="7EFF5F5E"/>
    <w:rsid w:val="7F2A7062"/>
    <w:rsid w:val="7F4169A9"/>
    <w:rsid w:val="7F923D51"/>
    <w:rsid w:val="FF4D5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3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spacing w:before="340" w:after="330" w:line="578" w:lineRule="auto"/>
      <w:outlineLvl w:val="0"/>
    </w:pPr>
    <w:rPr>
      <w:rFonts w:eastAsia="楷体_GB2312"/>
      <w:b/>
      <w:bCs/>
      <w:kern w:val="44"/>
      <w:sz w:val="32"/>
      <w:szCs w:val="44"/>
    </w:rPr>
  </w:style>
  <w:style w:type="paragraph" w:styleId="4">
    <w:name w:val="heading 2"/>
    <w:basedOn w:val="1"/>
    <w:next w:val="1"/>
    <w:link w:val="23"/>
    <w:qFormat/>
    <w:uiPriority w:val="9"/>
    <w:pPr>
      <w:keepNext/>
      <w:keepLines/>
      <w:spacing w:before="260" w:after="260" w:line="416" w:lineRule="auto"/>
      <w:outlineLvl w:val="1"/>
    </w:pPr>
    <w:rPr>
      <w:rFonts w:ascii="等线 Light" w:hAnsi="等线 Light" w:eastAsia="楷体_GB2312"/>
      <w:b/>
      <w:bCs/>
      <w:kern w:val="0"/>
      <w:sz w:val="32"/>
      <w:szCs w:val="32"/>
    </w:rPr>
  </w:style>
  <w:style w:type="paragraph" w:styleId="5">
    <w:name w:val="heading 3"/>
    <w:basedOn w:val="1"/>
    <w:next w:val="1"/>
    <w:link w:val="33"/>
    <w:unhideWhenUsed/>
    <w:qFormat/>
    <w:uiPriority w:val="9"/>
    <w:pPr>
      <w:keepNext/>
      <w:keepLines/>
      <w:spacing w:before="260" w:after="260" w:line="415" w:lineRule="auto"/>
      <w:ind w:left="200" w:leftChars="200"/>
      <w:outlineLvl w:val="2"/>
      <w:pPrChange w:id="0" w:author="XIE XIN" w:date="2020-06-02T20:01:00Z">
        <w:pPr>
          <w:keepNext/>
          <w:keepLines/>
          <w:widowControl w:val="0"/>
          <w:spacing w:before="260" w:after="260" w:line="416" w:lineRule="auto"/>
          <w:jc w:val="both"/>
          <w:outlineLvl w:val="2"/>
        </w:pPr>
      </w:pPrChange>
    </w:pPr>
    <w:rPr>
      <w:rFonts w:eastAsia="仿宋_GB2312"/>
      <w:b/>
      <w:bCs/>
      <w:sz w:val="32"/>
      <w:szCs w:val="32"/>
      <w:rPrChange w:id="1" w:author="XIE XIN" w:date="2020-06-02T20:01:00Z">
        <w:rPr>
          <w:rFonts w:eastAsia="仿宋_GB2312"/>
          <w:bCs/>
          <w:kern w:val="2"/>
          <w:sz w:val="32"/>
          <w:szCs w:val="32"/>
          <w:lang w:val="en-US" w:eastAsia="zh-CN" w:bidi="ar-SA"/>
        </w:rPr>
      </w:rPrChange>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2">
    <w:name w:val="toc 2"/>
    <w:basedOn w:val="1"/>
    <w:next w:val="1"/>
    <w:unhideWhenUsed/>
    <w:qFormat/>
    <w:uiPriority w:val="39"/>
    <w:pPr>
      <w:spacing w:line="360" w:lineRule="auto"/>
      <w:ind w:left="420" w:leftChars="200"/>
    </w:pPr>
    <w:rPr>
      <w:rFonts w:ascii="Calibri" w:hAnsi="Calibri"/>
      <w:kern w:val="0"/>
      <w:szCs w:val="32"/>
    </w:rPr>
  </w:style>
  <w:style w:type="paragraph" w:styleId="6">
    <w:name w:val="annotation text"/>
    <w:basedOn w:val="1"/>
    <w:unhideWhenUsed/>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8">
    <w:name w:val="Balloon Text"/>
    <w:basedOn w:val="1"/>
    <w:link w:val="20"/>
    <w:unhideWhenUsed/>
    <w:qFormat/>
    <w:uiPriority w:val="99"/>
    <w:rPr>
      <w:sz w:val="18"/>
      <w:szCs w:val="18"/>
    </w:rPr>
  </w:style>
  <w:style w:type="paragraph" w:styleId="9">
    <w:name w:val="footer"/>
    <w:basedOn w:val="1"/>
    <w:link w:val="28"/>
    <w:unhideWhenUsed/>
    <w:qFormat/>
    <w:uiPriority w:val="99"/>
    <w:pPr>
      <w:tabs>
        <w:tab w:val="center" w:pos="4153"/>
        <w:tab w:val="right" w:pos="8306"/>
      </w:tabs>
      <w:snapToGrid w:val="0"/>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2">
    <w:name w:val="Subtitle"/>
    <w:basedOn w:val="1"/>
    <w:next w:val="1"/>
    <w:link w:val="21"/>
    <w:qFormat/>
    <w:uiPriority w:val="11"/>
    <w:pPr>
      <w:spacing w:before="240" w:after="60" w:line="312" w:lineRule="auto"/>
      <w:jc w:val="center"/>
      <w:outlineLvl w:val="1"/>
    </w:pPr>
    <w:rPr>
      <w:rFonts w:ascii="等线 Light" w:hAnsi="等线 Light"/>
      <w:b/>
      <w:bCs/>
      <w:kern w:val="28"/>
      <w:sz w:val="32"/>
      <w:szCs w:val="32"/>
    </w:rPr>
  </w:style>
  <w:style w:type="paragraph" w:styleId="13">
    <w:name w:val="Title"/>
    <w:basedOn w:val="3"/>
    <w:next w:val="1"/>
    <w:link w:val="24"/>
    <w:qFormat/>
    <w:uiPriority w:val="0"/>
    <w:pPr>
      <w:spacing w:line="360" w:lineRule="auto"/>
      <w:ind w:firstLine="880" w:firstLineChars="200"/>
      <w:jc w:val="left"/>
    </w:pPr>
    <w:rPr>
      <w:rFonts w:ascii="Cambria" w:hAnsi="Cambria" w:eastAsia="黑体"/>
      <w:b w:val="0"/>
      <w:bCs w:val="0"/>
      <w:kern w:val="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annotation reference"/>
    <w:basedOn w:val="14"/>
    <w:unhideWhenUsed/>
    <w:qFormat/>
    <w:uiPriority w:val="99"/>
    <w:rPr>
      <w:sz w:val="21"/>
      <w:szCs w:val="21"/>
    </w:rPr>
  </w:style>
  <w:style w:type="paragraph" w:customStyle="1" w:styleId="18">
    <w:name w:val="样式1"/>
    <w:basedOn w:val="5"/>
    <w:next w:val="1"/>
    <w:qFormat/>
    <w:uiPriority w:val="0"/>
    <w:pPr>
      <w:keepNext w:val="0"/>
      <w:keepLines w:val="0"/>
      <w:widowControl/>
      <w:spacing w:before="100" w:beforeAutospacing="1" w:after="100" w:afterAutospacing="1" w:line="360" w:lineRule="auto"/>
      <w:ind w:firstLine="880" w:firstLineChars="200"/>
      <w:jc w:val="left"/>
    </w:pPr>
    <w:rPr>
      <w:rFonts w:ascii="Arial" w:hAnsi="Arial"/>
      <w:b w:val="0"/>
      <w:kern w:val="0"/>
      <w:szCs w:val="27"/>
    </w:rPr>
  </w:style>
  <w:style w:type="character" w:customStyle="1" w:styleId="19">
    <w:name w:val="标题 3 字符"/>
    <w:basedOn w:val="14"/>
    <w:link w:val="5"/>
    <w:qFormat/>
    <w:uiPriority w:val="9"/>
    <w:rPr>
      <w:rFonts w:eastAsia="仿宋_GB2312"/>
      <w:b/>
      <w:bCs/>
      <w:kern w:val="2"/>
      <w:sz w:val="32"/>
      <w:szCs w:val="32"/>
    </w:rPr>
  </w:style>
  <w:style w:type="character" w:customStyle="1" w:styleId="20">
    <w:name w:val="批注框文本 字符"/>
    <w:basedOn w:val="14"/>
    <w:link w:val="8"/>
    <w:semiHidden/>
    <w:qFormat/>
    <w:uiPriority w:val="99"/>
    <w:rPr>
      <w:rFonts w:ascii="Times New Roman" w:hAnsi="Times New Roman" w:eastAsia="宋体" w:cs="Times New Roman"/>
      <w:sz w:val="18"/>
      <w:szCs w:val="18"/>
    </w:rPr>
  </w:style>
  <w:style w:type="character" w:customStyle="1" w:styleId="21">
    <w:name w:val="副标题 字符"/>
    <w:basedOn w:val="14"/>
    <w:link w:val="12"/>
    <w:qFormat/>
    <w:uiPriority w:val="11"/>
    <w:rPr>
      <w:rFonts w:ascii="等线 Light" w:hAnsi="等线 Light" w:eastAsia="宋体" w:cs="Times New Roman"/>
      <w:b/>
      <w:bCs/>
      <w:kern w:val="28"/>
      <w:sz w:val="32"/>
      <w:szCs w:val="32"/>
    </w:rPr>
  </w:style>
  <w:style w:type="paragraph" w:customStyle="1" w:styleId="22">
    <w:name w:val="1."/>
    <w:basedOn w:val="5"/>
    <w:qFormat/>
    <w:uiPriority w:val="0"/>
    <w:pPr>
      <w:keepNext w:val="0"/>
      <w:keepLines w:val="0"/>
      <w:widowControl/>
      <w:spacing w:before="100" w:beforeAutospacing="1" w:after="100" w:afterAutospacing="1" w:line="360" w:lineRule="auto"/>
      <w:ind w:firstLine="880" w:firstLineChars="200"/>
      <w:jc w:val="left"/>
    </w:pPr>
    <w:rPr>
      <w:rFonts w:ascii="宋体" w:hAnsi="宋体"/>
      <w:kern w:val="0"/>
      <w:szCs w:val="27"/>
    </w:rPr>
  </w:style>
  <w:style w:type="character" w:customStyle="1" w:styleId="23">
    <w:name w:val="标题 2 字符"/>
    <w:basedOn w:val="14"/>
    <w:link w:val="4"/>
    <w:qFormat/>
    <w:uiPriority w:val="9"/>
    <w:rPr>
      <w:rFonts w:ascii="等线 Light" w:hAnsi="等线 Light" w:eastAsia="楷体_GB2312"/>
      <w:b/>
      <w:bCs/>
      <w:sz w:val="32"/>
      <w:szCs w:val="32"/>
    </w:rPr>
  </w:style>
  <w:style w:type="character" w:customStyle="1" w:styleId="24">
    <w:name w:val="标题 字符"/>
    <w:basedOn w:val="14"/>
    <w:link w:val="13"/>
    <w:qFormat/>
    <w:uiPriority w:val="0"/>
    <w:rPr>
      <w:rFonts w:ascii="Cambria" w:hAnsi="Cambria" w:eastAsia="黑体" w:cs="Times New Roman"/>
      <w:sz w:val="32"/>
      <w:szCs w:val="44"/>
    </w:rPr>
  </w:style>
  <w:style w:type="character" w:customStyle="1" w:styleId="25">
    <w:name w:val="标题 1 字符"/>
    <w:basedOn w:val="14"/>
    <w:link w:val="3"/>
    <w:qFormat/>
    <w:uiPriority w:val="9"/>
    <w:rPr>
      <w:rFonts w:eastAsia="楷体_GB2312"/>
      <w:b/>
      <w:bCs/>
      <w:kern w:val="44"/>
      <w:sz w:val="32"/>
      <w:szCs w:val="44"/>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Cs w:val="32"/>
    </w:rPr>
  </w:style>
  <w:style w:type="character" w:customStyle="1" w:styleId="27">
    <w:name w:val="页眉 字符"/>
    <w:basedOn w:val="14"/>
    <w:link w:val="10"/>
    <w:qFormat/>
    <w:uiPriority w:val="99"/>
    <w:rPr>
      <w:rFonts w:ascii="Times New Roman" w:hAnsi="Times New Roman" w:eastAsia="宋体" w:cs="Times New Roman"/>
      <w:sz w:val="18"/>
      <w:szCs w:val="18"/>
    </w:rPr>
  </w:style>
  <w:style w:type="character" w:customStyle="1" w:styleId="28">
    <w:name w:val="页脚 字符"/>
    <w:basedOn w:val="14"/>
    <w:link w:val="9"/>
    <w:qFormat/>
    <w:uiPriority w:val="99"/>
    <w:rPr>
      <w:rFonts w:ascii="Times New Roman" w:hAnsi="Times New Roman" w:eastAsia="宋体" w:cs="Times New Roman"/>
      <w:sz w:val="18"/>
      <w:szCs w:val="18"/>
    </w:rPr>
  </w:style>
  <w:style w:type="paragraph" w:customStyle="1" w:styleId="29">
    <w:name w:val="（一）"/>
    <w:basedOn w:val="4"/>
    <w:next w:val="1"/>
    <w:qFormat/>
    <w:uiPriority w:val="0"/>
    <w:pPr>
      <w:spacing w:line="360" w:lineRule="auto"/>
    </w:pPr>
    <w:rPr>
      <w:rFonts w:eastAsia="楷体_GB2312"/>
      <w:b w:val="0"/>
    </w:rPr>
  </w:style>
  <w:style w:type="paragraph" w:customStyle="1" w:styleId="30">
    <w:name w:val="_Style 1"/>
    <w:basedOn w:val="1"/>
    <w:qFormat/>
    <w:uiPriority w:val="0"/>
    <w:pPr>
      <w:ind w:firstLine="420"/>
    </w:pPr>
  </w:style>
  <w:style w:type="character" w:customStyle="1" w:styleId="31">
    <w:name w:val="font51"/>
    <w:basedOn w:val="14"/>
    <w:qFormat/>
    <w:uiPriority w:val="0"/>
    <w:rPr>
      <w:rFonts w:ascii="宋体" w:hAnsi="宋体" w:eastAsia="宋体" w:cs="宋体"/>
      <w:b/>
      <w:color w:val="000000"/>
      <w:sz w:val="24"/>
      <w:szCs w:val="24"/>
      <w:u w:val="none"/>
    </w:rPr>
  </w:style>
  <w:style w:type="character" w:customStyle="1" w:styleId="32">
    <w:name w:val="NormalCharacter"/>
    <w:link w:val="1"/>
    <w:semiHidden/>
    <w:qFormat/>
    <w:uiPriority w:val="0"/>
    <w:rPr>
      <w:rFonts w:ascii="Times New Roman" w:hAnsi="Times New Roman" w:eastAsia="宋体" w:cs="Times New Roman"/>
      <w:kern w:val="2"/>
      <w:sz w:val="21"/>
      <w:szCs w:val="24"/>
      <w:lang w:val="en-US" w:eastAsia="zh-CN" w:bidi="ar-SA"/>
    </w:rPr>
  </w:style>
  <w:style w:type="character" w:customStyle="1" w:styleId="33">
    <w:name w:val="标题 3 Char"/>
    <w:link w:val="5"/>
    <w:qFormat/>
    <w:uiPriority w:val="0"/>
    <w:rPr>
      <w:rFonts w:ascii="仿宋GB2312" w:hAnsi="仿宋GB2312" w:eastAsia="仿宋_GB2312"/>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1738</Words>
  <Characters>9911</Characters>
  <Lines>82</Lines>
  <Paragraphs>23</Paragraphs>
  <TotalTime>31</TotalTime>
  <ScaleCrop>false</ScaleCrop>
  <LinksUpToDate>false</LinksUpToDate>
  <CharactersWithSpaces>11626</CharactersWithSpaces>
  <Application>WPS Office_10.8.2.7090_F1E327BC-269C-435d-A152-05C5408002CA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2020-05-22T00:44:00Z</dcterms:created>
  <dc:creator>XIE XIN</dc:creator>
  <cp:lastModifiedBy>pc</cp:lastModifiedBy>
  <cp:lastPrinted>2020-06-23T22:33:00Z</cp:lastPrinted>
  <dcterms:modified xsi:type="dcterms:W3CDTF">2021-10-15T00:57:48Z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2052-10.8.2.7090</vt:lpwstr>
  </property>
  <property fmtid="{D5CDD505-2E9C-101B-9397-08002B2CF9AE}" pid="3" name="ICV">
    <vt:lpwstr>98D685BF6A714A93AF360C20C4AB160A</vt:lpwstr>
  </property>
  <property fmtid="{D5CDD505-2E9C-101B-9397-08002B2CF9AE}" pid="4" name="ribbonExt">
    <vt:lpwstr>{"WPSExtOfficeTab":{"OnGetEnabled":false,"OnGetVisible":false}}</vt:lpwstr>
  </property>
</Properties>
</file>