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600" w:lineRule="exact"/>
        <w:ind w:firstLine="480" w:firstLineChars="150"/>
        <w:jc w:val="both"/>
        <w:textAlignment w:val="auto"/>
        <w:rPr>
          <w:rFonts w:hint="eastAsia" w:ascii="仿宋_GB2312" w:eastAsia="仿宋_GB2312"/>
          <w:sz w:val="32"/>
          <w:szCs w:val="32"/>
          <w:highlight w:val="none"/>
        </w:rPr>
      </w:pPr>
      <w:r>
        <w:rPr>
          <w:rFonts w:hint="eastAsia" w:ascii="仿宋_GB2312" w:eastAsia="仿宋_GB2312"/>
          <w:sz w:val="32"/>
          <w:szCs w:val="32"/>
          <w:highlight w:val="none"/>
        </w:rPr>
        <w:t xml:space="preserve">     </w:t>
      </w:r>
    </w:p>
    <w:p>
      <w:pPr>
        <w:keepNext w:val="0"/>
        <w:keepLines w:val="0"/>
        <w:pageBreakBefore w:val="0"/>
        <w:kinsoku/>
        <w:wordWrap/>
        <w:overflowPunct/>
        <w:topLinePunct w:val="0"/>
        <w:bidi w:val="0"/>
        <w:spacing w:line="600" w:lineRule="exact"/>
        <w:ind w:firstLine="480" w:firstLineChars="150"/>
        <w:jc w:val="both"/>
        <w:textAlignment w:val="auto"/>
        <w:rPr>
          <w:rFonts w:hint="eastAsia" w:ascii="仿宋_GB2312" w:eastAsia="仿宋_GB2312"/>
          <w:sz w:val="32"/>
          <w:szCs w:val="32"/>
          <w:highlight w:val="none"/>
        </w:rPr>
      </w:pPr>
    </w:p>
    <w:p>
      <w:pPr>
        <w:keepNext w:val="0"/>
        <w:keepLines w:val="0"/>
        <w:pageBreakBefore w:val="0"/>
        <w:kinsoku/>
        <w:wordWrap/>
        <w:overflowPunct/>
        <w:topLinePunct w:val="0"/>
        <w:bidi w:val="0"/>
        <w:spacing w:line="600" w:lineRule="exact"/>
        <w:ind w:firstLine="480" w:firstLineChars="150"/>
        <w:jc w:val="both"/>
        <w:textAlignment w:val="auto"/>
        <w:rPr>
          <w:rFonts w:hint="eastAsia" w:ascii="仿宋_GB2312" w:eastAsia="仿宋_GB2312"/>
          <w:sz w:val="32"/>
          <w:szCs w:val="32"/>
          <w:highlight w:val="none"/>
        </w:rPr>
      </w:pPr>
    </w:p>
    <w:p>
      <w:pPr>
        <w:keepNext w:val="0"/>
        <w:keepLines w:val="0"/>
        <w:pageBreakBefore w:val="0"/>
        <w:kinsoku/>
        <w:wordWrap/>
        <w:overflowPunct/>
        <w:topLinePunct w:val="0"/>
        <w:bidi w:val="0"/>
        <w:spacing w:line="600" w:lineRule="exact"/>
        <w:ind w:firstLine="480" w:firstLineChars="150"/>
        <w:jc w:val="both"/>
        <w:textAlignment w:val="auto"/>
        <w:rPr>
          <w:rFonts w:hint="eastAsia" w:ascii="仿宋_GB2312" w:eastAsia="仿宋_GB2312"/>
          <w:sz w:val="32"/>
          <w:szCs w:val="32"/>
          <w:highlight w:val="none"/>
        </w:rPr>
      </w:pPr>
    </w:p>
    <w:p>
      <w:pPr>
        <w:keepNext w:val="0"/>
        <w:keepLines w:val="0"/>
        <w:pageBreakBefore w:val="0"/>
        <w:kinsoku/>
        <w:wordWrap/>
        <w:overflowPunct/>
        <w:topLinePunct w:val="0"/>
        <w:bidi w:val="0"/>
        <w:spacing w:line="600" w:lineRule="exact"/>
        <w:jc w:val="center"/>
        <w:textAlignment w:val="auto"/>
        <w:rPr>
          <w:rFonts w:ascii="方正小标宋简体" w:eastAsia="方正小标宋简体"/>
          <w:sz w:val="44"/>
          <w:szCs w:val="44"/>
          <w:highlight w:val="none"/>
        </w:rPr>
      </w:pPr>
      <w:r>
        <w:rPr>
          <w:rFonts w:hint="eastAsia" w:ascii="方正小标宋简体" w:eastAsia="方正小标宋简体"/>
          <w:sz w:val="44"/>
          <w:szCs w:val="44"/>
          <w:highlight w:val="none"/>
        </w:rPr>
        <w:t>部门整体支出绩效自评报告</w:t>
      </w: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ind w:firstLine="450" w:firstLineChars="150"/>
        <w:jc w:val="both"/>
        <w:textAlignment w:val="auto"/>
        <w:rPr>
          <w:rFonts w:ascii="仿宋_GB2312" w:eastAsia="仿宋_GB2312"/>
          <w:sz w:val="30"/>
          <w:szCs w:val="30"/>
          <w:highlight w:val="none"/>
        </w:rPr>
      </w:pPr>
    </w:p>
    <w:p>
      <w:pPr>
        <w:keepNext w:val="0"/>
        <w:keepLines w:val="0"/>
        <w:pageBreakBefore w:val="0"/>
        <w:kinsoku/>
        <w:wordWrap/>
        <w:overflowPunct/>
        <w:topLinePunct w:val="0"/>
        <w:bidi w:val="0"/>
        <w:spacing w:line="600" w:lineRule="exact"/>
        <w:jc w:val="both"/>
        <w:textAlignment w:val="auto"/>
        <w:rPr>
          <w:rFonts w:ascii="仿宋_GB2312" w:eastAsia="仿宋_GB2312"/>
          <w:sz w:val="32"/>
          <w:szCs w:val="32"/>
          <w:highlight w:val="none"/>
        </w:rPr>
      </w:pPr>
      <w:r>
        <w:rPr>
          <w:rFonts w:hint="eastAsia" w:ascii="仿宋_GB2312" w:eastAsia="仿宋_GB2312"/>
          <w:sz w:val="32"/>
          <w:szCs w:val="32"/>
          <w:highlight w:val="none"/>
        </w:rPr>
        <w:t xml:space="preserve">     </w:t>
      </w:r>
    </w:p>
    <w:p>
      <w:pPr>
        <w:keepNext w:val="0"/>
        <w:keepLines w:val="0"/>
        <w:pageBreakBefore w:val="0"/>
        <w:kinsoku/>
        <w:wordWrap/>
        <w:overflowPunct/>
        <w:topLinePunct w:val="0"/>
        <w:bidi w:val="0"/>
        <w:snapToGrid w:val="0"/>
        <w:spacing w:line="600" w:lineRule="exact"/>
        <w:jc w:val="both"/>
        <w:textAlignment w:val="auto"/>
        <w:rPr>
          <w:rFonts w:ascii="仿宋_GB2312" w:eastAsia="仿宋_GB2312"/>
          <w:sz w:val="32"/>
          <w:szCs w:val="32"/>
          <w:highlight w:val="none"/>
        </w:rPr>
      </w:pPr>
      <w:r>
        <w:rPr>
          <w:rFonts w:hint="eastAsia" w:ascii="仿宋_GB2312" w:eastAsia="仿宋_GB2312"/>
          <w:b/>
          <w:bCs/>
          <w:sz w:val="32"/>
          <w:szCs w:val="32"/>
          <w:highlight w:val="none"/>
        </w:rPr>
        <w:t>部门名称：</w:t>
      </w:r>
      <w:r>
        <w:rPr>
          <w:rFonts w:hint="eastAsia" w:ascii="仿宋_GB2312" w:eastAsia="仿宋_GB2312"/>
          <w:sz w:val="32"/>
          <w:szCs w:val="32"/>
          <w:highlight w:val="none"/>
        </w:rPr>
        <w:t>（公章）广东省住房和城乡建设厅</w:t>
      </w:r>
    </w:p>
    <w:p>
      <w:pPr>
        <w:keepNext w:val="0"/>
        <w:keepLines w:val="0"/>
        <w:pageBreakBefore w:val="0"/>
        <w:kinsoku/>
        <w:wordWrap/>
        <w:overflowPunct/>
        <w:topLinePunct w:val="0"/>
        <w:bidi w:val="0"/>
        <w:snapToGrid w:val="0"/>
        <w:spacing w:line="600" w:lineRule="exact"/>
        <w:jc w:val="both"/>
        <w:textAlignment w:val="auto"/>
        <w:rPr>
          <w:rFonts w:ascii="仿宋_GB2312" w:eastAsia="仿宋_GB2312"/>
          <w:sz w:val="32"/>
          <w:szCs w:val="32"/>
          <w:highlight w:val="none"/>
        </w:rPr>
      </w:pPr>
      <w:r>
        <w:rPr>
          <w:rFonts w:hint="eastAsia" w:ascii="仿宋_GB2312" w:eastAsia="仿宋_GB2312"/>
          <w:b/>
          <w:bCs/>
          <w:sz w:val="32"/>
          <w:szCs w:val="32"/>
          <w:highlight w:val="none"/>
        </w:rPr>
        <w:t>预算单位数量：</w:t>
      </w:r>
      <w:r>
        <w:rPr>
          <w:rFonts w:hint="eastAsia" w:ascii="仿宋_GB2312" w:eastAsia="仿宋_GB2312"/>
          <w:sz w:val="32"/>
          <w:szCs w:val="32"/>
          <w:highlight w:val="none"/>
        </w:rPr>
        <w:t>2</w:t>
      </w:r>
    </w:p>
    <w:p>
      <w:pPr>
        <w:keepNext w:val="0"/>
        <w:keepLines w:val="0"/>
        <w:pageBreakBefore w:val="0"/>
        <w:kinsoku/>
        <w:wordWrap/>
        <w:overflowPunct/>
        <w:topLinePunct w:val="0"/>
        <w:bidi w:val="0"/>
        <w:snapToGrid w:val="0"/>
        <w:spacing w:line="600" w:lineRule="exact"/>
        <w:jc w:val="both"/>
        <w:textAlignment w:val="auto"/>
        <w:rPr>
          <w:rStyle w:val="16"/>
          <w:rFonts w:ascii="仿宋_GB2312"/>
          <w:szCs w:val="32"/>
          <w:highlight w:val="none"/>
        </w:rPr>
      </w:pPr>
      <w:r>
        <w:rPr>
          <w:rStyle w:val="16"/>
          <w:rFonts w:ascii="仿宋_GB2312"/>
          <w:b/>
          <w:bCs/>
          <w:szCs w:val="32"/>
          <w:highlight w:val="none"/>
        </w:rPr>
        <w:t>填报人：</w:t>
      </w:r>
      <w:r>
        <w:rPr>
          <w:rStyle w:val="16"/>
          <w:rFonts w:ascii="仿宋_GB2312"/>
          <w:szCs w:val="32"/>
          <w:highlight w:val="none"/>
        </w:rPr>
        <w:t>陈凯亭</w:t>
      </w:r>
    </w:p>
    <w:p>
      <w:pPr>
        <w:keepNext w:val="0"/>
        <w:keepLines w:val="0"/>
        <w:pageBreakBefore w:val="0"/>
        <w:kinsoku/>
        <w:wordWrap/>
        <w:overflowPunct/>
        <w:topLinePunct w:val="0"/>
        <w:bidi w:val="0"/>
        <w:snapToGrid w:val="0"/>
        <w:spacing w:line="600" w:lineRule="exact"/>
        <w:jc w:val="both"/>
        <w:textAlignment w:val="auto"/>
        <w:rPr>
          <w:rStyle w:val="16"/>
          <w:rFonts w:ascii="仿宋_GB2312"/>
          <w:szCs w:val="32"/>
          <w:highlight w:val="none"/>
        </w:rPr>
      </w:pPr>
      <w:r>
        <w:rPr>
          <w:rStyle w:val="16"/>
          <w:rFonts w:ascii="仿宋_GB2312"/>
          <w:b/>
          <w:bCs/>
          <w:szCs w:val="32"/>
          <w:highlight w:val="none"/>
        </w:rPr>
        <w:t>联系电话：</w:t>
      </w:r>
      <w:r>
        <w:rPr>
          <w:rStyle w:val="16"/>
          <w:rFonts w:ascii="仿宋_GB2312"/>
          <w:szCs w:val="32"/>
          <w:highlight w:val="none"/>
        </w:rPr>
        <w:t>83133533</w:t>
      </w:r>
    </w:p>
    <w:p>
      <w:pPr>
        <w:keepNext w:val="0"/>
        <w:keepLines w:val="0"/>
        <w:pageBreakBefore w:val="0"/>
        <w:kinsoku/>
        <w:wordWrap/>
        <w:overflowPunct/>
        <w:topLinePunct w:val="0"/>
        <w:bidi w:val="0"/>
        <w:snapToGrid w:val="0"/>
        <w:spacing w:line="600" w:lineRule="exact"/>
        <w:jc w:val="both"/>
        <w:textAlignment w:val="auto"/>
        <w:rPr>
          <w:rStyle w:val="16"/>
          <w:rFonts w:ascii="仿宋_GB2312"/>
          <w:szCs w:val="32"/>
          <w:highlight w:val="none"/>
        </w:rPr>
      </w:pPr>
      <w:r>
        <w:rPr>
          <w:rStyle w:val="16"/>
          <w:rFonts w:ascii="仿宋_GB2312"/>
          <w:b/>
          <w:bCs/>
          <w:szCs w:val="32"/>
          <w:highlight w:val="none"/>
        </w:rPr>
        <w:t>填报日期：</w:t>
      </w:r>
      <w:r>
        <w:rPr>
          <w:rStyle w:val="16"/>
          <w:rFonts w:ascii="仿宋_GB2312"/>
          <w:szCs w:val="32"/>
          <w:highlight w:val="none"/>
        </w:rPr>
        <w:t>2021年9月22日</w:t>
      </w:r>
    </w:p>
    <w:p>
      <w:pPr>
        <w:keepNext w:val="0"/>
        <w:keepLines w:val="0"/>
        <w:pageBreakBefore w:val="0"/>
        <w:kinsoku/>
        <w:wordWrap/>
        <w:overflowPunct/>
        <w:topLinePunct w:val="0"/>
        <w:bidi w:val="0"/>
        <w:snapToGrid w:val="0"/>
        <w:spacing w:line="600" w:lineRule="exact"/>
        <w:ind w:firstLine="640" w:firstLineChars="200"/>
        <w:jc w:val="both"/>
        <w:textAlignment w:val="auto"/>
        <w:rPr>
          <w:rFonts w:hint="eastAsia" w:ascii="黑体" w:hAnsi="黑体" w:eastAsia="黑体" w:cs="黑体"/>
          <w:bCs/>
          <w:sz w:val="32"/>
          <w:szCs w:val="32"/>
          <w:highlight w:val="none"/>
        </w:rPr>
      </w:pPr>
    </w:p>
    <w:p>
      <w:pPr>
        <w:keepNext w:val="0"/>
        <w:keepLines w:val="0"/>
        <w:pageBreakBefore w:val="0"/>
        <w:kinsoku/>
        <w:wordWrap/>
        <w:overflowPunct/>
        <w:topLinePunct w:val="0"/>
        <w:bidi w:val="0"/>
        <w:snapToGrid w:val="0"/>
        <w:spacing w:line="600" w:lineRule="exact"/>
        <w:ind w:firstLine="640" w:firstLineChars="200"/>
        <w:jc w:val="both"/>
        <w:textAlignment w:val="auto"/>
        <w:rPr>
          <w:rFonts w:hint="eastAsia" w:ascii="黑体" w:hAnsi="黑体" w:eastAsia="黑体" w:cs="黑体"/>
          <w:bCs/>
          <w:sz w:val="32"/>
          <w:szCs w:val="32"/>
          <w:highlight w:val="none"/>
        </w:rPr>
      </w:pPr>
    </w:p>
    <w:p>
      <w:pPr>
        <w:keepNext w:val="0"/>
        <w:keepLines w:val="0"/>
        <w:pageBreakBefore w:val="0"/>
        <w:kinsoku/>
        <w:wordWrap/>
        <w:overflowPunct/>
        <w:topLinePunct w:val="0"/>
        <w:bidi w:val="0"/>
        <w:snapToGrid w:val="0"/>
        <w:spacing w:line="600" w:lineRule="exact"/>
        <w:ind w:firstLine="640" w:firstLineChars="200"/>
        <w:jc w:val="both"/>
        <w:textAlignment w:val="auto"/>
        <w:outlineLvl w:val="9"/>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一、部门基本情况</w:t>
      </w:r>
    </w:p>
    <w:p>
      <w:pPr>
        <w:keepNext w:val="0"/>
        <w:keepLines w:val="0"/>
        <w:pageBreakBefore w:val="0"/>
        <w:kinsoku/>
        <w:wordWrap/>
        <w:overflowPunct/>
        <w:topLinePunct w:val="0"/>
        <w:bidi w:val="0"/>
        <w:snapToGrid w:val="0"/>
        <w:spacing w:line="600" w:lineRule="exact"/>
        <w:ind w:firstLine="640" w:firstLineChars="200"/>
        <w:jc w:val="both"/>
        <w:textAlignment w:val="auto"/>
        <w:outlineLvl w:val="9"/>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val="0"/>
          <w:bCs w:val="0"/>
          <w:color w:val="auto"/>
          <w:sz w:val="32"/>
          <w:szCs w:val="32"/>
          <w:highlight w:val="none"/>
        </w:rPr>
        <w:t>（一）部门职能</w:t>
      </w:r>
    </w:p>
    <w:p>
      <w:pPr>
        <w:keepNext w:val="0"/>
        <w:keepLines w:val="0"/>
        <w:pageBreakBefore w:val="0"/>
        <w:widowControl/>
        <w:kinsoku/>
        <w:wordWrap/>
        <w:overflowPunct/>
        <w:topLinePunct w:val="0"/>
        <w:bidi w:val="0"/>
        <w:spacing w:line="600" w:lineRule="exact"/>
        <w:ind w:firstLine="640" w:firstLineChars="200"/>
        <w:jc w:val="both"/>
        <w:textAlignment w:val="auto"/>
        <w:outlineLvl w:val="9"/>
        <w:rPr>
          <w:rFonts w:hint="eastAsia" w:ascii="仿宋_GB2312" w:hAnsi="仿宋_GB2312" w:eastAsia="仿宋_GB2312" w:cs="仿宋_GB2312"/>
          <w:color w:val="auto"/>
          <w:sz w:val="28"/>
          <w:szCs w:val="28"/>
          <w:highlight w:val="none"/>
          <w:lang w:bidi="ar"/>
        </w:rPr>
      </w:pPr>
      <w:r>
        <w:rPr>
          <w:rFonts w:hint="eastAsia" w:ascii="仿宋_GB2312" w:hAnsi="仿宋_GB2312" w:eastAsia="仿宋_GB2312" w:cs="仿宋_GB2312"/>
          <w:color w:val="auto"/>
          <w:sz w:val="32"/>
          <w:szCs w:val="32"/>
          <w:highlight w:val="none"/>
        </w:rPr>
        <w:t>广东省住房和城乡建设厅本部内设办公室、法规处、计划财务处、住房发展与房地产市场监管处、住房保障处（与住房公积金监管处合署）、城市建设处、村镇建设处、建筑市场监管处、工程质量安全监管处、科技信息处（与建筑节能处合署）、行政许可管理处、人事处（与直属机关党委办公室合署）、城市管理综合执法监督处等13个机构。下设1个二级预算单位为：广东省建设工程标准定额站（下称“标定站”)，负责全省工程建设定额和造价管理制度的编制。</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主要职责：</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1.贯彻执行国家和省有关住房和城乡建设工作的方针政策和法律法规，组织起草有关地方性法规、规章草案，组织编制相关规划和年度计划，拟订相关政策、标准并指导和监督实施。</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2.承担推进住房改革与发展和保障城镇低收入家庭住房的责任。指导全省住房制度改革工作，会同有关部门做好省级财政廉租住房保障资金安排并监督各地组织实施。</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负责住房公积金监督管理，确保公积金的有效使用和安全。会同有关部门拟订住房公积金政策并组织实施，制定住房公积金缴存、使用、管理和监督制度，监督全省住房公积金和其他住房资金的管理、使用和安全。</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4.承担规范房地产市场秩序、监督管理房地产市场的责任。指导城镇土地使用权有偿转让和开发利用工作，提出全省房地产行业发展规划和产业政策。</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5.承担指导城市建设的责任。指导城市供水、节水、燃气、污水和生活垃圾处理等市政公用设施的建设、安全和应急管理，会同文物行政部门负责历史文化名城（镇、村）保护的监督管理工作。</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6.承担规范、指导村镇建设的责任。指导村镇建设和农村住房建设，指导小城镇和村庄人居环境的改善工作。</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监督管理建筑市场，规范建筑市场各方主体行为。指导全省工程建设、建筑业的行业改革发展，制定和发布工程建设全省统一定额、工期定额和有关技术标准并监督和指导实施，负责推进工程勘察设计业的改革发展。</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8.承担建筑工程质量安全监管的责任。负责全省工程质量和安全生产工作的指导和监督检查，指导编制工程质量安全事故应急救援预案，组织或参与重大工程质量安全事故调查和处理。</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9.承担推进建筑节能减排和行业科技发展的责任。组织科技项目研究开发，指导建设科技成果转化推广，负责发展散装水泥和商品混凝土的管理工作，指导行业注册师执业资格管理工作，会同有关部门组织行业的职称改革及专业技术职称评审工作，组织制定地方工程建设标准、规范、规程并监督实施。</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10.开展住房和城乡建设方面的对外经济技术交流与合作。</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color w:val="auto"/>
          <w:sz w:val="32"/>
          <w:szCs w:val="32"/>
          <w:highlight w:val="none"/>
        </w:rPr>
        <w:t>11.承办省人民政府与住房和城乡建设部交办的其他事项。</w:t>
      </w:r>
    </w:p>
    <w:p>
      <w:pPr>
        <w:keepNext w:val="0"/>
        <w:keepLines w:val="0"/>
        <w:pageBreakBefore w:val="0"/>
        <w:kinsoku/>
        <w:wordWrap/>
        <w:overflowPunct/>
        <w:topLinePunct w:val="0"/>
        <w:bidi w:val="0"/>
        <w:snapToGrid w:val="0"/>
        <w:spacing w:line="600" w:lineRule="exact"/>
        <w:ind w:firstLine="640" w:firstLineChars="20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（二）年度总体工作和重点工作任务</w:t>
      </w:r>
    </w:p>
    <w:p>
      <w:pPr>
        <w:keepNext w:val="0"/>
        <w:keepLines w:val="0"/>
        <w:pageBreakBefore w:val="0"/>
        <w:kinsoku/>
        <w:wordWrap/>
        <w:overflowPunct/>
        <w:topLinePunct w:val="0"/>
        <w:bidi w:val="0"/>
        <w:snapToGrid w:val="0"/>
        <w:spacing w:line="600" w:lineRule="exact"/>
        <w:ind w:firstLine="640"/>
        <w:jc w:val="both"/>
        <w:textAlignment w:val="auto"/>
        <w:outlineLvl w:val="9"/>
        <w:rPr>
          <w:rStyle w:val="16"/>
          <w:rFonts w:hint="eastAsia" w:ascii="仿宋_GB2312" w:hAnsi="仿宋_GB2312" w:eastAsia="仿宋_GB2312" w:cs="仿宋_GB2312"/>
          <w:color w:val="auto"/>
          <w:szCs w:val="32"/>
          <w:highlight w:val="none"/>
        </w:rPr>
      </w:pPr>
      <w:r>
        <w:rPr>
          <w:rFonts w:hint="eastAsia" w:ascii="仿宋_GB2312" w:hAnsi="仿宋_GB2312" w:eastAsia="仿宋_GB2312" w:cs="仿宋_GB2312"/>
          <w:color w:val="auto"/>
          <w:sz w:val="32"/>
          <w:szCs w:val="32"/>
          <w:highlight w:val="none"/>
        </w:rPr>
        <w:t>以习近平新时代中国特色社会主义思想为指导，全面贯彻党的十九大和十九届二中、三中、四中、五中全会以及中央经济工作会议精神，全面贯彻落实习近平总书记对广东重要讲话和重要指示批示精神，坚决贯彻落实党中央、国务院决策部署和省委、省政府工作要求，坚持以人民为中心的发展思想，坚持稳中求进工作总基调，坚持新发展理念，按照高质量发展要求，以供给侧结构性改革为主线，围绕省委“1+1+9”工作部署，统筹推进住房城乡建设领域稳增长、促改革、调结构、惠民生、防风险工作，</w:t>
      </w:r>
      <w:r>
        <w:rPr>
          <w:rFonts w:hint="eastAsia" w:ascii="仿宋_GB2312" w:hAnsi="仿宋_GB2312" w:eastAsia="仿宋_GB2312" w:cs="仿宋_GB2312"/>
          <w:color w:val="auto"/>
          <w:sz w:val="32"/>
          <w:szCs w:val="32"/>
          <w:highlight w:val="none"/>
          <w:lang w:eastAsia="zh-CN"/>
        </w:rPr>
        <w:t>聚集住房市场和住房保障两个体系，全力保障居民群众住有所居，推动建筑业提质增效，实施城市更新和乡村建设两大行动，提升城乡宜居环境水平，</w:t>
      </w:r>
      <w:r>
        <w:rPr>
          <w:rStyle w:val="16"/>
          <w:rFonts w:hint="eastAsia" w:ascii="仿宋_GB2312" w:hAnsi="仿宋_GB2312" w:eastAsia="仿宋_GB2312" w:cs="仿宋_GB2312"/>
          <w:color w:val="auto"/>
          <w:szCs w:val="32"/>
          <w:highlight w:val="none"/>
        </w:rPr>
        <w:t>努力开创住房城乡建设</w:t>
      </w:r>
      <w:r>
        <w:rPr>
          <w:rStyle w:val="16"/>
          <w:rFonts w:hint="eastAsia" w:ascii="仿宋_GB2312" w:hAnsi="仿宋_GB2312" w:eastAsia="仿宋_GB2312" w:cs="仿宋_GB2312"/>
          <w:color w:val="auto"/>
          <w:szCs w:val="32"/>
          <w:highlight w:val="none"/>
          <w:lang w:eastAsia="zh-CN"/>
        </w:rPr>
        <w:t>事业</w:t>
      </w:r>
      <w:r>
        <w:rPr>
          <w:rStyle w:val="16"/>
          <w:rFonts w:hint="eastAsia" w:ascii="仿宋_GB2312" w:hAnsi="仿宋_GB2312" w:eastAsia="仿宋_GB2312" w:cs="仿宋_GB2312"/>
          <w:color w:val="auto"/>
          <w:szCs w:val="32"/>
          <w:highlight w:val="none"/>
        </w:rPr>
        <w:t>高质量发展新局面，为我省实现“四个走在全国前列”、当好“两个重要窗口”作出更大贡献。</w:t>
      </w:r>
    </w:p>
    <w:p>
      <w:pPr>
        <w:keepNext w:val="0"/>
        <w:keepLines w:val="0"/>
        <w:pageBreakBefore w:val="0"/>
        <w:kinsoku/>
        <w:wordWrap/>
        <w:overflowPunct/>
        <w:topLinePunct w:val="0"/>
        <w:bidi w:val="0"/>
        <w:snapToGrid w:val="0"/>
        <w:spacing w:line="600" w:lineRule="exact"/>
        <w:ind w:firstLine="64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（三）部门整体支出绩效目标</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纳入部门预算中的重点项目（500万元（含）以上）的绩效目标情况如下：</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加强住房和城乡建设管理。推动我省省级住房和城乡规划建设管理以及改善农村人居环境相关工作，对住房保障和房地产进行调控，提升城市建设管理质量与空间品质，推进工程质量安全管理，加强乡村振兴与农村人居环境整治，推进建筑产业现代化与粤港澳合作，促进行业管理与行政许可事项的推进，做好各项综合性的工作与宣传，保障行业信息系统建设与维护。</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2.加快社区体育公园建设。实现加强构建宜居舒适生活环境，提升城乡社区空间品质，提高公共服务设施覆盖率目标。</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打好污染防治攻坚战。一是环境保护与监管能力建设，推进污水处理设施及管网建设，加强城市黑臭水体整治工作，推动城市水环境质量持续，2020年城市污水处理率达到95%，县城污水处理率力争达到90%；强化生活垃圾处理设施建设和监管力度，推动提升固废污染防治水平，2020年城市生活垃圾无害化处理率达到98%以上；完善城市市政基础设施建设管理，加快提升城市综合承载力，2020年建成区绿地率达到38.9%;建立健全农村生活垃圾收集、转运和处置体系，实现村庄保洁覆盖面达到100%，非正规垃圾堆放点完成整治比例达到100%，182个镇级填埋场完成整改比例达到100%等。二是练江流域污水管网建设，预计实现按计划完成省属国企参与的汕头、揭阳市练江流域城镇污水设施及配套管网建设的目标。三是黑臭水体治理，预计2020年，全省地级以上市城市建成区基本消除黑臭水体的目标。四是城市（县城）污水管网配套建设、老旧管网改造，对粤东西北地区（含江门、惠州、肇庆山区县）污水管网建设、老旧管网改造，切实提升污水处理设施运行效能，预计实现城市污水处理率达95%，县城污水处理率达85%，力争90%的目标。五是镇级污水处理设施运维，为推动我省2020年年底前实现全省建制镇污水处理设施全覆盖的工作目标，支持粤东西北地区和江门、惠州、肇庆等15个市的镇级污水处理设施运维费用，预计实现2020年年底前全省建制镇污水处理设施全覆盖的目标。六是生活垃圾无害化处理设施运营，为加强我省生活垃圾无害化处理设施运营，实现生活垃圾无害化、资源化、减量化目标。七是生活垃圾分类，2020年实现地级以上市公共机构生活垃圾分类全覆盖，至少有1个街道基本建成生活垃圾分类示范片区。八是绿色循环发展与节能降耗。通过开展绿色建筑、可再生能源建筑应用项目、既有建筑节能改造等项目，促进我省建筑节能和绿色建筑量质升，预计实现2020年完成一星级及以上运行标识绿色建筑项目11个，高星级绿色建筑评价标识项目3个，可再生能源建筑应用项目10个，既有建筑节能改造项目10个目标。</w:t>
      </w:r>
    </w:p>
    <w:p>
      <w:pPr>
        <w:keepNext w:val="0"/>
        <w:keepLines w:val="0"/>
        <w:pageBreakBefore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bidi w:val="0"/>
        <w:adjustRightInd w:val="0"/>
        <w:snapToGrid w:val="0"/>
        <w:spacing w:line="600" w:lineRule="exact"/>
        <w:ind w:firstLine="64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4.推动保障性安居工程建设。预计</w:t>
      </w:r>
      <w:r>
        <w:rPr>
          <w:rFonts w:hint="eastAsia" w:ascii="仿宋_GB2312" w:hAnsi="仿宋_GB2312" w:eastAsia="仿宋_GB2312" w:cs="仿宋_GB2312"/>
          <w:color w:val="auto"/>
          <w:sz w:val="32"/>
          <w:szCs w:val="32"/>
          <w:highlight w:val="none"/>
          <w:lang w:val="en-US" w:eastAsia="zh-CN"/>
        </w:rPr>
        <w:t>2020</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新开工建设</w:t>
      </w:r>
      <w:r>
        <w:rPr>
          <w:rFonts w:hint="eastAsia" w:ascii="仿宋_GB2312" w:hAnsi="仿宋_GB2312" w:eastAsia="仿宋_GB2312" w:cs="仿宋_GB2312"/>
          <w:color w:val="auto"/>
          <w:sz w:val="32"/>
          <w:szCs w:val="32"/>
          <w:highlight w:val="none"/>
        </w:rPr>
        <w:t>棚户区改造</w:t>
      </w:r>
      <w:r>
        <w:rPr>
          <w:rFonts w:hint="eastAsia" w:ascii="仿宋_GB2312" w:hAnsi="仿宋_GB2312" w:eastAsia="仿宋_GB2312" w:cs="仿宋_GB2312"/>
          <w:color w:val="auto"/>
          <w:sz w:val="32"/>
          <w:szCs w:val="32"/>
          <w:highlight w:val="none"/>
          <w:lang w:eastAsia="zh-CN"/>
        </w:rPr>
        <w:t>住房</w:t>
      </w:r>
      <w:r>
        <w:rPr>
          <w:rFonts w:hint="eastAsia" w:ascii="仿宋_GB2312" w:hAnsi="仿宋_GB2312" w:eastAsia="仿宋_GB2312" w:cs="仿宋_GB2312"/>
          <w:color w:val="auto"/>
          <w:sz w:val="32"/>
          <w:szCs w:val="32"/>
          <w:highlight w:val="none"/>
        </w:rPr>
        <w:t>0.</w:t>
      </w:r>
      <w:r>
        <w:rPr>
          <w:rFonts w:hint="eastAsia" w:ascii="仿宋_GB2312" w:hAnsi="仿宋_GB2312" w:eastAsia="仿宋_GB2312" w:cs="仿宋_GB2312"/>
          <w:color w:val="auto"/>
          <w:sz w:val="32"/>
          <w:szCs w:val="32"/>
          <w:highlight w:val="none"/>
          <w:lang w:val="en-US" w:eastAsia="zh-CN"/>
        </w:rPr>
        <w:t>79</w:t>
      </w:r>
      <w:r>
        <w:rPr>
          <w:rFonts w:hint="eastAsia" w:ascii="仿宋_GB2312" w:hAnsi="仿宋_GB2312" w:eastAsia="仿宋_GB2312" w:cs="仿宋_GB2312"/>
          <w:color w:val="auto"/>
          <w:sz w:val="32"/>
          <w:szCs w:val="32"/>
          <w:highlight w:val="none"/>
        </w:rPr>
        <w:t>万套</w:t>
      </w:r>
      <w:r>
        <w:rPr>
          <w:rFonts w:hint="eastAsia" w:ascii="仿宋_GB2312" w:hAnsi="仿宋_GB2312" w:eastAsia="仿宋_GB2312" w:cs="仿宋_GB2312"/>
          <w:color w:val="auto"/>
          <w:sz w:val="32"/>
          <w:szCs w:val="32"/>
          <w:highlight w:val="none"/>
          <w:lang w:eastAsia="zh-CN"/>
        </w:rPr>
        <w:t>、公租房</w:t>
      </w:r>
      <w:r>
        <w:rPr>
          <w:rFonts w:hint="eastAsia" w:ascii="仿宋_GB2312" w:hAnsi="仿宋_GB2312" w:eastAsia="仿宋_GB2312" w:cs="仿宋_GB2312"/>
          <w:color w:val="auto"/>
          <w:sz w:val="32"/>
          <w:szCs w:val="32"/>
          <w:highlight w:val="none"/>
          <w:lang w:val="en-US" w:eastAsia="zh-CN"/>
        </w:rPr>
        <w:t>0.04万套</w:t>
      </w:r>
      <w:r>
        <w:rPr>
          <w:rFonts w:hint="eastAsia" w:ascii="仿宋_GB2312" w:hAnsi="仿宋_GB2312" w:eastAsia="仿宋_GB2312" w:cs="仿宋_GB2312"/>
          <w:color w:val="auto"/>
          <w:sz w:val="32"/>
          <w:szCs w:val="32"/>
          <w:highlight w:val="none"/>
        </w:rPr>
        <w:t>，发放租赁补贴</w:t>
      </w:r>
      <w:r>
        <w:rPr>
          <w:rFonts w:hint="eastAsia" w:ascii="仿宋_GB2312" w:hAnsi="仿宋_GB2312" w:eastAsia="仿宋_GB2312" w:cs="仿宋_GB2312"/>
          <w:color w:val="auto"/>
          <w:sz w:val="32"/>
          <w:szCs w:val="32"/>
          <w:highlight w:val="none"/>
          <w:lang w:val="en-US" w:eastAsia="zh-CN"/>
        </w:rPr>
        <w:t>2.45</w:t>
      </w:r>
      <w:r>
        <w:rPr>
          <w:rFonts w:hint="eastAsia" w:ascii="仿宋_GB2312" w:hAnsi="仿宋_GB2312" w:eastAsia="仿宋_GB2312" w:cs="仿宋_GB2312"/>
          <w:color w:val="auto"/>
          <w:sz w:val="32"/>
          <w:szCs w:val="32"/>
          <w:highlight w:val="none"/>
        </w:rPr>
        <w:t>万户，带动全省各地保障性安居工程实现投资</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rPr>
        <w:t>亿元目标。</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（四）部门整体支出情况</w:t>
      </w:r>
    </w:p>
    <w:p>
      <w:pPr>
        <w:keepNext w:val="0"/>
        <w:keepLines w:val="0"/>
        <w:pageBreakBefore w:val="0"/>
        <w:widowControl/>
        <w:kinsoku/>
        <w:wordWrap/>
        <w:overflowPunct/>
        <w:topLinePunct w:val="0"/>
        <w:bidi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根据《广东省财政厅关于批复2020年省级部门预算的通知》（粤财预〔2020〕5号）、2020年部门决算报表（收入支出决算总表），部门整体收支情况如下：</w:t>
      </w:r>
    </w:p>
    <w:p>
      <w:pPr>
        <w:pStyle w:val="2"/>
        <w:keepNext w:val="0"/>
        <w:keepLines w:val="0"/>
        <w:pageBreakBefore w:val="0"/>
        <w:kinsoku/>
        <w:wordWrap/>
        <w:overflowPunct/>
        <w:topLinePunct w:val="0"/>
        <w:bidi w:val="0"/>
        <w:spacing w:line="600" w:lineRule="exact"/>
        <w:ind w:left="0" w:leftChars="0" w:firstLine="643" w:firstLineChars="200"/>
        <w:jc w:val="both"/>
        <w:textAlignment w:val="auto"/>
        <w:outlineLvl w:val="9"/>
        <w:rPr>
          <w:rFonts w:hint="eastAsia" w:ascii="仿宋_GB2312" w:hAnsi="仿宋_GB2312" w:eastAsia="仿宋_GB2312" w:cs="仿宋_GB2312"/>
          <w:b/>
          <w:bCs/>
          <w:color w:val="auto"/>
          <w:highlight w:val="none"/>
          <w:lang w:eastAsia="zh-CN"/>
        </w:rPr>
      </w:pPr>
      <w:r>
        <w:rPr>
          <w:rFonts w:hint="eastAsia" w:ascii="仿宋_GB2312" w:hAnsi="仿宋_GB2312" w:eastAsia="仿宋_GB2312" w:cs="仿宋_GB2312"/>
          <w:b/>
          <w:bCs/>
          <w:color w:val="auto"/>
          <w:highlight w:val="none"/>
          <w:lang w:eastAsia="zh-CN"/>
        </w:rPr>
        <w:t>1.部门整体收入</w:t>
      </w:r>
    </w:p>
    <w:p>
      <w:pPr>
        <w:pStyle w:val="2"/>
        <w:keepNext w:val="0"/>
        <w:keepLines w:val="0"/>
        <w:pageBreakBefore w:val="0"/>
        <w:kinsoku/>
        <w:wordWrap/>
        <w:overflowPunct/>
        <w:topLinePunct w:val="0"/>
        <w:bidi w:val="0"/>
        <w:spacing w:line="600" w:lineRule="exact"/>
        <w:ind w:left="0" w:leftChars="0" w:firstLine="640" w:firstLineChars="200"/>
        <w:jc w:val="both"/>
        <w:textAlignment w:val="auto"/>
        <w:outlineLvl w:val="9"/>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eastAsia="zh-CN"/>
        </w:rPr>
        <w:t>2</w:t>
      </w:r>
      <w:r>
        <w:rPr>
          <w:rFonts w:hint="eastAsia" w:ascii="仿宋_GB2312" w:hAnsi="仿宋_GB2312" w:eastAsia="仿宋_GB2312" w:cs="仿宋_GB2312"/>
          <w:color w:val="auto"/>
          <w:kern w:val="2"/>
          <w:highlight w:val="none"/>
          <w:lang w:eastAsia="zh-CN"/>
        </w:rPr>
        <w:t>020年省</w:t>
      </w:r>
      <w:r>
        <w:rPr>
          <w:rFonts w:hint="eastAsia" w:ascii="仿宋_GB2312" w:hAnsi="仿宋_GB2312" w:eastAsia="仿宋_GB2312" w:cs="仿宋_GB2312"/>
          <w:color w:val="auto"/>
          <w:sz w:val="32"/>
          <w:szCs w:val="32"/>
          <w:highlight w:val="none"/>
        </w:rPr>
        <w:t>住房城乡建设</w:t>
      </w:r>
      <w:r>
        <w:rPr>
          <w:rFonts w:hint="eastAsia" w:ascii="仿宋_GB2312" w:hAnsi="仿宋_GB2312" w:eastAsia="仿宋_GB2312" w:cs="仿宋_GB2312"/>
          <w:color w:val="auto"/>
          <w:sz w:val="32"/>
          <w:szCs w:val="32"/>
          <w:highlight w:val="none"/>
          <w:lang w:eastAsia="zh-CN"/>
        </w:rPr>
        <w:t>厅</w:t>
      </w:r>
      <w:r>
        <w:rPr>
          <w:rFonts w:hint="eastAsia" w:ascii="仿宋_GB2312" w:hAnsi="仿宋_GB2312" w:eastAsia="仿宋_GB2312" w:cs="仿宋_GB2312"/>
          <w:color w:val="auto"/>
          <w:kern w:val="2"/>
          <w:highlight w:val="none"/>
          <w:lang w:eastAsia="zh-CN"/>
        </w:rPr>
        <w:t>部门整体总收入合计20,935.95万元，主要收入来源是财政拨款收入。</w:t>
      </w:r>
    </w:p>
    <w:p>
      <w:pPr>
        <w:pStyle w:val="2"/>
        <w:keepNext w:val="0"/>
        <w:keepLines w:val="0"/>
        <w:pageBreakBefore w:val="0"/>
        <w:kinsoku/>
        <w:wordWrap/>
        <w:overflowPunct/>
        <w:topLinePunct w:val="0"/>
        <w:bidi w:val="0"/>
        <w:spacing w:line="600" w:lineRule="exact"/>
        <w:ind w:left="0" w:leftChars="0" w:firstLine="643" w:firstLineChars="200"/>
        <w:jc w:val="both"/>
        <w:textAlignment w:val="auto"/>
        <w:outlineLvl w:val="9"/>
        <w:rPr>
          <w:rFonts w:hint="eastAsia" w:ascii="仿宋_GB2312" w:hAnsi="仿宋_GB2312" w:eastAsia="仿宋_GB2312" w:cs="仿宋_GB2312"/>
          <w:b/>
          <w:bCs/>
          <w:color w:val="auto"/>
          <w:highlight w:val="none"/>
          <w:lang w:eastAsia="zh-CN"/>
        </w:rPr>
      </w:pPr>
      <w:r>
        <w:rPr>
          <w:rFonts w:hint="eastAsia" w:ascii="仿宋_GB2312" w:hAnsi="仿宋_GB2312" w:eastAsia="仿宋_GB2312" w:cs="仿宋_GB2312"/>
          <w:b/>
          <w:bCs/>
          <w:color w:val="auto"/>
          <w:highlight w:val="none"/>
          <w:lang w:eastAsia="zh-CN"/>
        </w:rPr>
        <w:t>2.部门整体支出</w:t>
      </w:r>
    </w:p>
    <w:p>
      <w:pPr>
        <w:pStyle w:val="2"/>
        <w:keepNext w:val="0"/>
        <w:keepLines w:val="0"/>
        <w:pageBreakBefore w:val="0"/>
        <w:kinsoku/>
        <w:wordWrap/>
        <w:overflowPunct/>
        <w:topLinePunct w:val="0"/>
        <w:bidi w:val="0"/>
        <w:spacing w:line="600" w:lineRule="exact"/>
        <w:ind w:left="0" w:leftChars="0" w:firstLine="640" w:firstLineChars="200"/>
        <w:jc w:val="both"/>
        <w:textAlignment w:val="auto"/>
        <w:outlineLvl w:val="9"/>
        <w:rPr>
          <w:rFonts w:hint="eastAsia" w:ascii="仿宋_GB2312" w:hAnsi="仿宋_GB2312" w:eastAsia="仿宋_GB2312" w:cs="仿宋_GB2312"/>
          <w:bCs/>
          <w:color w:val="auto"/>
          <w:highlight w:val="none"/>
          <w:lang w:eastAsia="zh-CN"/>
        </w:rPr>
      </w:pPr>
      <w:r>
        <w:rPr>
          <w:rFonts w:hint="eastAsia" w:ascii="仿宋_GB2312" w:hAnsi="仿宋_GB2312" w:eastAsia="仿宋_GB2312" w:cs="仿宋_GB2312"/>
          <w:color w:val="auto"/>
          <w:highlight w:val="none"/>
          <w:lang w:eastAsia="zh-CN"/>
        </w:rPr>
        <w:t>2020年省</w:t>
      </w:r>
      <w:r>
        <w:rPr>
          <w:rFonts w:hint="eastAsia" w:ascii="仿宋_GB2312" w:hAnsi="仿宋_GB2312" w:eastAsia="仿宋_GB2312" w:cs="仿宋_GB2312"/>
          <w:color w:val="auto"/>
          <w:sz w:val="32"/>
          <w:szCs w:val="32"/>
          <w:highlight w:val="none"/>
        </w:rPr>
        <w:t>住房城乡建设</w:t>
      </w:r>
      <w:r>
        <w:rPr>
          <w:rFonts w:hint="eastAsia" w:ascii="仿宋_GB2312" w:hAnsi="仿宋_GB2312" w:eastAsia="仿宋_GB2312" w:cs="仿宋_GB2312"/>
          <w:color w:val="auto"/>
          <w:sz w:val="32"/>
          <w:szCs w:val="32"/>
          <w:highlight w:val="none"/>
          <w:lang w:eastAsia="zh-CN"/>
        </w:rPr>
        <w:t>厅</w:t>
      </w:r>
      <w:r>
        <w:rPr>
          <w:rFonts w:hint="eastAsia" w:ascii="仿宋_GB2312" w:hAnsi="仿宋_GB2312" w:eastAsia="仿宋_GB2312" w:cs="仿宋_GB2312"/>
          <w:color w:val="auto"/>
          <w:highlight w:val="none"/>
          <w:lang w:eastAsia="zh-CN"/>
        </w:rPr>
        <w:t>部门整体支出合计18,844.39万元，实际支出率达90.01%。</w:t>
      </w:r>
      <w:r>
        <w:rPr>
          <w:rFonts w:hint="eastAsia" w:ascii="仿宋_GB2312" w:hAnsi="仿宋_GB2312" w:eastAsia="仿宋_GB2312" w:cs="仿宋_GB2312"/>
          <w:bCs/>
          <w:color w:val="auto"/>
          <w:highlight w:val="none"/>
          <w:lang w:eastAsia="zh-CN"/>
        </w:rPr>
        <w:t>其中：工资福利支出8,133.26万元，占总支出的43.16%；商品和服务支出7,445.34万元，占总支出的39.51%；对个人和家庭的补助支出2,235.02万元，占总支出的11.86%；资本性支出1,030.77万元，占总支出的5.47%。</w:t>
      </w:r>
    </w:p>
    <w:p>
      <w:pPr>
        <w:pStyle w:val="2"/>
        <w:keepNext w:val="0"/>
        <w:keepLines w:val="0"/>
        <w:pageBreakBefore w:val="0"/>
        <w:kinsoku/>
        <w:wordWrap/>
        <w:overflowPunct/>
        <w:topLinePunct w:val="0"/>
        <w:bidi w:val="0"/>
        <w:spacing w:line="600" w:lineRule="exact"/>
        <w:ind w:right="840" w:firstLine="640" w:firstLineChars="200"/>
        <w:jc w:val="both"/>
        <w:textAlignment w:val="auto"/>
        <w:outlineLvl w:val="9"/>
        <w:rPr>
          <w:rFonts w:ascii="仿宋" w:hAnsi="仿宋" w:eastAsia="仿宋" w:cs="黑体"/>
          <w:color w:val="auto"/>
          <w:highlight w:val="none"/>
          <w:lang w:eastAsia="zh-CN"/>
        </w:rPr>
      </w:pPr>
      <w:r>
        <w:rPr>
          <w:rFonts w:hint="eastAsia" w:ascii="仿宋" w:hAnsi="仿宋" w:eastAsia="仿宋" w:cs="黑体"/>
          <w:color w:val="auto"/>
          <w:highlight w:val="none"/>
          <w:lang w:eastAsia="zh-CN"/>
        </w:rPr>
        <w:t>单位：元</w:t>
      </w:r>
    </w:p>
    <w:tbl>
      <w:tblPr>
        <w:tblStyle w:val="8"/>
        <w:tblW w:w="9498"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7"/>
        <w:gridCol w:w="1981"/>
        <w:gridCol w:w="1985"/>
        <w:gridCol w:w="198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pStyle w:val="2"/>
              <w:keepNext w:val="0"/>
              <w:keepLines w:val="0"/>
              <w:pageBreakBefore w:val="0"/>
              <w:kinsoku/>
              <w:wordWrap/>
              <w:overflowPunct/>
              <w:topLinePunct w:val="0"/>
              <w:bidi w:val="0"/>
              <w:spacing w:line="600" w:lineRule="exact"/>
              <w:ind w:left="0"/>
              <w:jc w:val="both"/>
              <w:textAlignment w:val="auto"/>
              <w:outlineLvl w:val="9"/>
              <w:rPr>
                <w:rFonts w:ascii="仿宋" w:hAnsi="仿宋" w:eastAsia="仿宋" w:cs="黑体"/>
                <w:color w:val="auto"/>
                <w:sz w:val="24"/>
                <w:szCs w:val="24"/>
                <w:highlight w:val="none"/>
                <w:lang w:eastAsia="zh-CN"/>
              </w:rPr>
            </w:pPr>
            <w:r>
              <w:rPr>
                <w:rFonts w:hint="eastAsia" w:ascii="仿宋" w:hAnsi="仿宋" w:eastAsia="仿宋" w:cs="黑体"/>
                <w:color w:val="auto"/>
                <w:sz w:val="24"/>
                <w:szCs w:val="24"/>
                <w:highlight w:val="none"/>
                <w:lang w:eastAsia="zh-CN"/>
              </w:rPr>
              <w:t>项目</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年初预算数</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调整预算数</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决算数</w:t>
            </w:r>
          </w:p>
        </w:tc>
        <w:tc>
          <w:tcPr>
            <w:tcW w:w="1701" w:type="dxa"/>
            <w:vAlign w:val="center"/>
          </w:tcPr>
          <w:p>
            <w:pPr>
              <w:pStyle w:val="2"/>
              <w:keepNext w:val="0"/>
              <w:keepLines w:val="0"/>
              <w:pageBreakBefore w:val="0"/>
              <w:kinsoku/>
              <w:wordWrap/>
              <w:overflowPunct/>
              <w:topLinePunct w:val="0"/>
              <w:bidi w:val="0"/>
              <w:spacing w:line="600" w:lineRule="exact"/>
              <w:ind w:left="0"/>
              <w:jc w:val="both"/>
              <w:textAlignment w:val="auto"/>
              <w:outlineLvl w:val="9"/>
              <w:rPr>
                <w:rFonts w:ascii="仿宋" w:hAnsi="仿宋" w:eastAsia="仿宋" w:cs="黑体"/>
                <w:color w:val="auto"/>
                <w:sz w:val="24"/>
                <w:szCs w:val="24"/>
                <w:highlight w:val="none"/>
                <w:lang w:eastAsia="zh-CN"/>
              </w:rPr>
            </w:pPr>
            <w:r>
              <w:rPr>
                <w:rFonts w:hint="eastAsia" w:ascii="仿宋" w:hAnsi="仿宋" w:eastAsia="仿宋" w:cs="黑体"/>
                <w:color w:val="auto"/>
                <w:sz w:val="24"/>
                <w:szCs w:val="24"/>
                <w:highlight w:val="none"/>
                <w:lang w:eastAsia="zh-CN"/>
              </w:rPr>
              <w:t>占总支出比例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bookmarkStart w:id="0" w:name="_Hlk38547244"/>
            <w:r>
              <w:rPr>
                <w:rFonts w:hint="eastAsia" w:ascii="仿宋" w:hAnsi="仿宋" w:eastAsia="仿宋" w:cs="黑体"/>
                <w:color w:val="auto"/>
                <w:sz w:val="24"/>
                <w:szCs w:val="24"/>
                <w:highlight w:val="none"/>
              </w:rPr>
              <w:t>一、基本支出</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81,978,380.68</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117,990,525.39</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111,146,630.24</w:t>
            </w:r>
          </w:p>
        </w:tc>
        <w:tc>
          <w:tcPr>
            <w:tcW w:w="1701"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58.98%</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人员经费</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73,138,016.58</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108,375,961.29</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103,678,686.51</w:t>
            </w:r>
          </w:p>
        </w:tc>
        <w:tc>
          <w:tcPr>
            <w:tcW w:w="1701"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55.02%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日常公用经费</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8,840,364.10</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9,614,564.10</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7,467,943.73</w:t>
            </w:r>
          </w:p>
        </w:tc>
        <w:tc>
          <w:tcPr>
            <w:tcW w:w="1701"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二、项目支出</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80,145,000.00</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102,586,784.30</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77,297,235.18</w:t>
            </w:r>
          </w:p>
        </w:tc>
        <w:tc>
          <w:tcPr>
            <w:tcW w:w="1701"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41.02%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keepNext w:val="0"/>
              <w:keepLines w:val="0"/>
              <w:pageBreakBefore w:val="0"/>
              <w:widowControl/>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其中：基本建设类项目</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0.00</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13,620,000.00</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1,460,240.00</w:t>
            </w:r>
          </w:p>
        </w:tc>
        <w:tc>
          <w:tcPr>
            <w:tcW w:w="1701" w:type="dxa"/>
            <w:vAlign w:val="bottom"/>
          </w:tcPr>
          <w:p>
            <w:pPr>
              <w:keepNext w:val="0"/>
              <w:keepLines w:val="0"/>
              <w:pageBreakBefore w:val="0"/>
              <w:kinsoku/>
              <w:wordWrap/>
              <w:overflowPunct/>
              <w:topLinePunct w:val="0"/>
              <w:bidi w:val="0"/>
              <w:spacing w:line="600" w:lineRule="exact"/>
              <w:ind w:firstLine="480" w:firstLineChars="200"/>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pStyle w:val="2"/>
              <w:keepNext w:val="0"/>
              <w:keepLines w:val="0"/>
              <w:pageBreakBefore w:val="0"/>
              <w:kinsoku/>
              <w:wordWrap/>
              <w:overflowPunct/>
              <w:topLinePunct w:val="0"/>
              <w:bidi w:val="0"/>
              <w:spacing w:line="600" w:lineRule="exact"/>
              <w:ind w:left="0"/>
              <w:jc w:val="both"/>
              <w:textAlignment w:val="auto"/>
              <w:outlineLvl w:val="9"/>
              <w:rPr>
                <w:rFonts w:ascii="仿宋" w:hAnsi="仿宋" w:eastAsia="仿宋" w:cs="黑体"/>
                <w:color w:val="auto"/>
                <w:sz w:val="24"/>
                <w:szCs w:val="24"/>
                <w:highlight w:val="none"/>
                <w:lang w:eastAsia="zh-CN"/>
              </w:rPr>
            </w:pPr>
            <w:r>
              <w:rPr>
                <w:rFonts w:hint="eastAsia" w:ascii="仿宋" w:hAnsi="仿宋" w:eastAsia="仿宋" w:cs="黑体"/>
                <w:color w:val="auto"/>
                <w:sz w:val="24"/>
                <w:szCs w:val="24"/>
                <w:highlight w:val="none"/>
                <w:lang w:eastAsia="zh-CN"/>
              </w:rPr>
              <w:t>三、经营支出</w:t>
            </w:r>
          </w:p>
        </w:tc>
        <w:tc>
          <w:tcPr>
            <w:tcW w:w="1981"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0.00</w:t>
            </w:r>
          </w:p>
        </w:tc>
        <w:tc>
          <w:tcPr>
            <w:tcW w:w="1985"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0.00</w:t>
            </w:r>
          </w:p>
        </w:tc>
        <w:tc>
          <w:tcPr>
            <w:tcW w:w="1984" w:type="dxa"/>
            <w:vAlign w:val="center"/>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hint="eastAsia" w:ascii="仿宋" w:hAnsi="仿宋" w:eastAsia="仿宋" w:cs="黑体"/>
                <w:color w:val="auto"/>
                <w:sz w:val="24"/>
                <w:szCs w:val="24"/>
                <w:highlight w:val="none"/>
              </w:rPr>
              <w:t>0.00</w:t>
            </w:r>
          </w:p>
        </w:tc>
        <w:tc>
          <w:tcPr>
            <w:tcW w:w="1701" w:type="dxa"/>
            <w:vAlign w:val="bottom"/>
          </w:tcPr>
          <w:p>
            <w:pPr>
              <w:pStyle w:val="2"/>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kern w:val="2"/>
                <w:sz w:val="24"/>
                <w:szCs w:val="24"/>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7" w:type="dxa"/>
            <w:vAlign w:val="center"/>
          </w:tcPr>
          <w:p>
            <w:pPr>
              <w:pStyle w:val="2"/>
              <w:keepNext w:val="0"/>
              <w:keepLines w:val="0"/>
              <w:pageBreakBefore w:val="0"/>
              <w:kinsoku/>
              <w:wordWrap/>
              <w:overflowPunct/>
              <w:topLinePunct w:val="0"/>
              <w:bidi w:val="0"/>
              <w:spacing w:line="600" w:lineRule="exact"/>
              <w:ind w:left="0"/>
              <w:jc w:val="both"/>
              <w:textAlignment w:val="auto"/>
              <w:outlineLvl w:val="9"/>
              <w:rPr>
                <w:rFonts w:ascii="仿宋" w:hAnsi="仿宋" w:eastAsia="仿宋" w:cs="黑体"/>
                <w:color w:val="auto"/>
                <w:sz w:val="24"/>
                <w:szCs w:val="24"/>
                <w:highlight w:val="none"/>
                <w:lang w:eastAsia="zh-CN"/>
              </w:rPr>
            </w:pPr>
            <w:r>
              <w:rPr>
                <w:rFonts w:hint="eastAsia" w:ascii="仿宋" w:hAnsi="仿宋" w:eastAsia="仿宋" w:cs="黑体"/>
                <w:color w:val="auto"/>
                <w:sz w:val="24"/>
                <w:szCs w:val="24"/>
                <w:highlight w:val="none"/>
                <w:lang w:eastAsia="zh-CN"/>
              </w:rPr>
              <w:t>本年合计</w:t>
            </w:r>
          </w:p>
        </w:tc>
        <w:tc>
          <w:tcPr>
            <w:tcW w:w="1981"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 xml:space="preserve">162,123,380.68 </w:t>
            </w:r>
          </w:p>
        </w:tc>
        <w:tc>
          <w:tcPr>
            <w:tcW w:w="1985"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 xml:space="preserve">220,577,309.69 </w:t>
            </w:r>
          </w:p>
        </w:tc>
        <w:tc>
          <w:tcPr>
            <w:tcW w:w="1984" w:type="dxa"/>
            <w:vAlign w:val="bottom"/>
          </w:tcPr>
          <w:p>
            <w:pPr>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sz w:val="24"/>
                <w:szCs w:val="24"/>
                <w:highlight w:val="none"/>
              </w:rPr>
            </w:pPr>
            <w:r>
              <w:rPr>
                <w:rFonts w:ascii="仿宋" w:hAnsi="仿宋" w:eastAsia="仿宋" w:cs="黑体"/>
                <w:color w:val="auto"/>
                <w:sz w:val="24"/>
                <w:szCs w:val="24"/>
                <w:highlight w:val="none"/>
              </w:rPr>
              <w:t xml:space="preserve">188,443,865.42 </w:t>
            </w:r>
          </w:p>
        </w:tc>
        <w:tc>
          <w:tcPr>
            <w:tcW w:w="1701" w:type="dxa"/>
            <w:vAlign w:val="bottom"/>
          </w:tcPr>
          <w:p>
            <w:pPr>
              <w:pStyle w:val="2"/>
              <w:keepNext w:val="0"/>
              <w:keepLines w:val="0"/>
              <w:pageBreakBefore w:val="0"/>
              <w:kinsoku/>
              <w:wordWrap/>
              <w:overflowPunct/>
              <w:topLinePunct w:val="0"/>
              <w:bidi w:val="0"/>
              <w:spacing w:line="600" w:lineRule="exact"/>
              <w:jc w:val="both"/>
              <w:textAlignment w:val="auto"/>
              <w:outlineLvl w:val="9"/>
              <w:rPr>
                <w:rFonts w:ascii="仿宋" w:hAnsi="仿宋" w:eastAsia="仿宋" w:cs="黑体"/>
                <w:color w:val="auto"/>
                <w:kern w:val="2"/>
                <w:sz w:val="24"/>
                <w:szCs w:val="24"/>
                <w:highlight w:val="none"/>
                <w:lang w:eastAsia="zh-CN"/>
              </w:rPr>
            </w:pPr>
            <w:r>
              <w:rPr>
                <w:rFonts w:ascii="仿宋" w:hAnsi="仿宋" w:eastAsia="仿宋" w:cs="黑体"/>
                <w:color w:val="auto"/>
                <w:kern w:val="2"/>
                <w:sz w:val="24"/>
                <w:szCs w:val="24"/>
                <w:highlight w:val="none"/>
                <w:lang w:eastAsia="zh-CN"/>
              </w:rPr>
              <w:t>100%</w:t>
            </w:r>
          </w:p>
        </w:tc>
      </w:tr>
    </w:tbl>
    <w:p>
      <w:pPr>
        <w:pStyle w:val="2"/>
        <w:keepNext w:val="0"/>
        <w:keepLines w:val="0"/>
        <w:pageBreakBefore w:val="0"/>
        <w:kinsoku/>
        <w:wordWrap/>
        <w:overflowPunct/>
        <w:topLinePunct w:val="0"/>
        <w:bidi w:val="0"/>
        <w:spacing w:line="600" w:lineRule="exact"/>
        <w:ind w:firstLine="640" w:firstLineChars="200"/>
        <w:jc w:val="both"/>
        <w:textAlignment w:val="auto"/>
        <w:outlineLvl w:val="9"/>
        <w:rPr>
          <w:rFonts w:ascii="仿宋" w:hAnsi="仿宋" w:eastAsia="仿宋" w:cs="楷体_GB2312"/>
          <w:bCs/>
          <w:color w:val="auto"/>
          <w:highlight w:val="none"/>
          <w:lang w:eastAsia="zh-CN"/>
        </w:rPr>
      </w:pPr>
    </w:p>
    <w:p>
      <w:pPr>
        <w:keepNext w:val="0"/>
        <w:keepLines w:val="0"/>
        <w:pageBreakBefore w:val="0"/>
        <w:kinsoku/>
        <w:wordWrap/>
        <w:overflowPunct/>
        <w:topLinePunct w:val="0"/>
        <w:bidi w:val="0"/>
        <w:snapToGrid w:val="0"/>
        <w:spacing w:line="600" w:lineRule="exact"/>
        <w:ind w:firstLine="643" w:firstLineChars="200"/>
        <w:jc w:val="both"/>
        <w:textAlignment w:val="auto"/>
        <w:outlineLvl w:val="9"/>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rPr>
        <w:t>3.经济分类科目情况</w:t>
      </w:r>
    </w:p>
    <w:p>
      <w:pPr>
        <w:keepNext w:val="0"/>
        <w:keepLines w:val="0"/>
        <w:pageBreakBefore w:val="0"/>
        <w:kinsoku/>
        <w:wordWrap/>
        <w:overflowPunct/>
        <w:topLinePunct w:val="0"/>
        <w:bidi w:val="0"/>
        <w:snapToGrid w:val="0"/>
        <w:spacing w:line="600" w:lineRule="exact"/>
        <w:ind w:firstLine="643"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一是</w:t>
      </w:r>
      <w:r>
        <w:rPr>
          <w:rFonts w:hint="eastAsia" w:ascii="仿宋_GB2312" w:hAnsi="仿宋_GB2312" w:eastAsia="仿宋_GB2312" w:cs="仿宋_GB2312"/>
          <w:color w:val="auto"/>
          <w:sz w:val="32"/>
          <w:szCs w:val="32"/>
          <w:highlight w:val="none"/>
        </w:rPr>
        <w:t>“三公”经费支出情况。一般公共预算财政拨款“三公”经费支出合计31.98万元，比预算减少36.04万元，比上年决算减少26.92万元。其中：因公出国（境）费支出1.31万元，比预算减少19.71万元，比上年决算减少17.25万元；公务用车购置及运行维护费支出27.10万元，比预算减少12.40万元，比上年决算减少7.42万元；公务接待费支出3.57万元，比预算减少3.93万元，比上年决算减少2.25万元；</w:t>
      </w:r>
    </w:p>
    <w:p>
      <w:pPr>
        <w:keepNext w:val="0"/>
        <w:keepLines w:val="0"/>
        <w:pageBreakBefore w:val="0"/>
        <w:kinsoku/>
        <w:wordWrap/>
        <w:overflowPunct/>
        <w:topLinePunct w:val="0"/>
        <w:bidi w:val="0"/>
        <w:snapToGrid w:val="0"/>
        <w:spacing w:line="600" w:lineRule="exact"/>
        <w:ind w:firstLine="643"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val="0"/>
          <w:color w:val="auto"/>
          <w:sz w:val="32"/>
          <w:szCs w:val="32"/>
          <w:highlight w:val="none"/>
        </w:rPr>
        <w:t>二是</w:t>
      </w:r>
      <w:r>
        <w:rPr>
          <w:rFonts w:hint="eastAsia" w:ascii="仿宋_GB2312" w:hAnsi="仿宋_GB2312" w:eastAsia="仿宋_GB2312" w:cs="仿宋_GB2312"/>
          <w:color w:val="auto"/>
          <w:sz w:val="32"/>
          <w:szCs w:val="32"/>
          <w:highlight w:val="none"/>
        </w:rPr>
        <w:t>会议费支出情况。2020年会议费支出49.16万元，比预算减少121.76万元，比上年决算减少28.46万元。</w:t>
      </w:r>
    </w:p>
    <w:p>
      <w:pPr>
        <w:keepNext w:val="0"/>
        <w:keepLines w:val="0"/>
        <w:pageBreakBefore w:val="0"/>
        <w:kinsoku/>
        <w:wordWrap/>
        <w:overflowPunct/>
        <w:topLinePunct w:val="0"/>
        <w:bidi w:val="0"/>
        <w:snapToGrid w:val="0"/>
        <w:spacing w:line="600" w:lineRule="exact"/>
        <w:ind w:firstLine="643"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val="0"/>
          <w:color w:val="auto"/>
          <w:sz w:val="32"/>
          <w:szCs w:val="32"/>
          <w:highlight w:val="none"/>
          <w:lang w:eastAsia="zh-CN"/>
        </w:rPr>
        <w:t>三</w:t>
      </w:r>
      <w:r>
        <w:rPr>
          <w:rFonts w:hint="eastAsia" w:ascii="仿宋_GB2312" w:hAnsi="仿宋_GB2312" w:eastAsia="仿宋_GB2312" w:cs="仿宋_GB2312"/>
          <w:b/>
          <w:bCs w:val="0"/>
          <w:color w:val="auto"/>
          <w:sz w:val="32"/>
          <w:szCs w:val="32"/>
          <w:highlight w:val="none"/>
        </w:rPr>
        <w:t>是</w:t>
      </w:r>
      <w:r>
        <w:rPr>
          <w:rFonts w:hint="eastAsia" w:ascii="仿宋_GB2312" w:hAnsi="仿宋_GB2312" w:eastAsia="仿宋_GB2312" w:cs="仿宋_GB2312"/>
          <w:color w:val="auto"/>
          <w:sz w:val="32"/>
          <w:szCs w:val="32"/>
          <w:highlight w:val="none"/>
        </w:rPr>
        <w:t>培训费支出情况。2020年培训费支出128.52万元，比预算增加117.22万元，比上年决算增加120.08万元。</w:t>
      </w:r>
    </w:p>
    <w:p>
      <w:pPr>
        <w:keepNext w:val="0"/>
        <w:keepLines w:val="0"/>
        <w:pageBreakBefore w:val="0"/>
        <w:kinsoku/>
        <w:wordWrap/>
        <w:overflowPunct/>
        <w:topLinePunct w:val="0"/>
        <w:bidi w:val="0"/>
        <w:snapToGrid w:val="0"/>
        <w:spacing w:line="600" w:lineRule="exact"/>
        <w:ind w:firstLine="640" w:firstLineChars="200"/>
        <w:jc w:val="both"/>
        <w:textAlignment w:val="auto"/>
        <w:outlineLvl w:val="9"/>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二、绩效自评情况</w:t>
      </w:r>
    </w:p>
    <w:p>
      <w:pPr>
        <w:keepNext w:val="0"/>
        <w:keepLines w:val="0"/>
        <w:pageBreakBefore w:val="0"/>
        <w:kinsoku/>
        <w:wordWrap/>
        <w:overflowPunct/>
        <w:topLinePunct w:val="0"/>
        <w:bidi w:val="0"/>
        <w:snapToGrid w:val="0"/>
        <w:spacing w:line="600" w:lineRule="exact"/>
        <w:ind w:firstLine="640" w:firstLineChars="20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（一）自评结论</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按照《部门整体支出绩效自评指标评分表》的评分指标，我厅进行了认真的自评分析，经研究，我厅2020年部门整体支出绩效评价得分为96.18分，绩效等级为“优”。各指标得分情况详见附件2-1。</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（二）履职效能分析</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1.整体效能</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该二级指标下设有“部门整体绩效目标产出指标完成情况”“部门整体绩效目标效益指标完成情况”及“部门预算资金支出率”等3个三级指标。</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（1）部门整体绩效目标产出指标完成情况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该项指标反映部门年度预算编报时确定的部门整体预算绩效目标中产出指标完成情况。指标分值10分，评价得8.97分。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省住房城乡建设厅2020年绩效目标产出完成情况具体体现如下：</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1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①</w:t>
      </w:r>
      <w:r>
        <w:rPr>
          <w:rFonts w:hint="eastAsia" w:ascii="仿宋_GB2312" w:hAnsi="仿宋_GB2312" w:eastAsia="仿宋_GB2312" w:cs="仿宋_GB2312"/>
          <w:color w:val="auto"/>
          <w:spacing w:val="2"/>
          <w:sz w:val="32"/>
          <w:szCs w:val="32"/>
          <w:highlight w:val="none"/>
        </w:rPr>
        <w:fldChar w:fldCharType="end"/>
      </w:r>
      <w:r>
        <w:rPr>
          <w:rFonts w:hint="eastAsia" w:ascii="仿宋_GB2312" w:hAnsi="仿宋_GB2312" w:eastAsia="仿宋_GB2312" w:cs="仿宋_GB2312"/>
          <w:color w:val="auto"/>
          <w:spacing w:val="2"/>
          <w:sz w:val="32"/>
          <w:szCs w:val="32"/>
          <w:highlight w:val="none"/>
        </w:rPr>
        <w:t xml:space="preserve"> 夺取“双胜利”见行见效。全省300万建筑施工、物业管理、城管执法、环卫保洁、公园管理、市政设施养护人员逆行出征，全力保障城市运行“生命线”、筑牢建设工地“防护墙”、守住城市物业“安全门”。成立建设工地疫情防控专班，出台“工地八条”防疫措施，开复工工地未出现输入性病例。在全国率先出台公积金、住房保障减免租金等暖企惠民政策措施，为43万住房困难群众减免租金3.9亿元。出台10条惠企援企政策，在全国率先主动为超过1.4万家建设工程企业延长资质证书有效期，推动我省建筑业总产值在建筑业大省中率先实现正增长。</w:t>
      </w:r>
    </w:p>
    <w:p>
      <w:pPr>
        <w:keepNext w:val="0"/>
        <w:keepLines w:val="0"/>
        <w:pageBreakBefore w:val="0"/>
        <w:kinsoku/>
        <w:wordWrap/>
        <w:overflowPunct/>
        <w:topLinePunct w:val="0"/>
        <w:bidi w:val="0"/>
        <w:snapToGrid w:val="0"/>
        <w:spacing w:line="600" w:lineRule="exact"/>
        <w:ind w:firstLine="648" w:firstLineChars="200"/>
        <w:jc w:val="both"/>
        <w:textAlignment w:val="auto"/>
        <w:outlineLvl w:val="9"/>
        <w:rPr>
          <w:rStyle w:val="16"/>
          <w:rFonts w:hint="eastAsia" w:ascii="仿宋_GB2312" w:hAnsi="仿宋_GB2312" w:eastAsia="仿宋_GB2312" w:cs="仿宋_GB2312"/>
          <w:color w:val="auto"/>
          <w:spacing w:val="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2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②</w:t>
      </w:r>
      <w:r>
        <w:rPr>
          <w:rFonts w:hint="eastAsia" w:ascii="仿宋_GB2312" w:hAnsi="仿宋_GB2312" w:eastAsia="仿宋_GB2312" w:cs="仿宋_GB2312"/>
          <w:color w:val="auto"/>
          <w:spacing w:val="2"/>
          <w:sz w:val="32"/>
          <w:szCs w:val="32"/>
          <w:highlight w:val="none"/>
        </w:rPr>
        <w:fldChar w:fldCharType="end"/>
      </w:r>
      <w:r>
        <w:rPr>
          <w:rStyle w:val="16"/>
          <w:rFonts w:hint="eastAsia" w:ascii="仿宋_GB2312" w:hAnsi="仿宋_GB2312" w:eastAsia="仿宋_GB2312" w:cs="仿宋_GB2312"/>
          <w:color w:val="auto"/>
          <w:spacing w:val="2"/>
          <w:szCs w:val="32"/>
          <w:highlight w:val="none"/>
        </w:rPr>
        <w:t>主管行业平稳发展。围绕房地产、建筑两大行业持续发力，对稳住经济发展基本盘发挥重要支撑作用。全省房地产开发投资累计居全国首位，同比增长9.2%，占固定资产投资比重达41.2%。国有土地使用权出让收同比增长45.3%，占财政总收入比重达36.7%。新建商品房累计销售面积同比增长6.5%左右。全省商品住宅消化周期12个月，整体处于合理区间。提前超额完成保障性安居工程目标，</w:t>
      </w:r>
      <w:r>
        <w:rPr>
          <w:rStyle w:val="16"/>
          <w:rFonts w:hint="eastAsia" w:ascii="仿宋_GB2312" w:hAnsi="仿宋_GB2312" w:eastAsia="仿宋_GB2312" w:cs="仿宋_GB2312"/>
          <w:color w:val="auto"/>
          <w:spacing w:val="2"/>
          <w:szCs w:val="32"/>
          <w:highlight w:val="none"/>
          <w:lang w:val="en-US"/>
        </w:rPr>
        <w:t>2020年实际</w:t>
      </w:r>
      <w:r>
        <w:rPr>
          <w:rFonts w:hint="eastAsia" w:ascii="仿宋_GB2312" w:hAnsi="仿宋_GB2312" w:eastAsia="仿宋_GB2312" w:cs="仿宋_GB2312"/>
          <w:color w:val="auto"/>
          <w:sz w:val="32"/>
          <w:szCs w:val="32"/>
          <w:highlight w:val="none"/>
          <w:lang w:eastAsia="zh-CN"/>
        </w:rPr>
        <w:t>新建</w:t>
      </w:r>
      <w:r>
        <w:rPr>
          <w:rFonts w:hint="eastAsia" w:ascii="仿宋_GB2312" w:hAnsi="仿宋_GB2312" w:eastAsia="仿宋_GB2312" w:cs="仿宋_GB2312"/>
          <w:color w:val="auto"/>
          <w:sz w:val="32"/>
          <w:szCs w:val="32"/>
          <w:highlight w:val="none"/>
        </w:rPr>
        <w:t>棚改</w:t>
      </w:r>
      <w:r>
        <w:rPr>
          <w:rFonts w:hint="eastAsia" w:ascii="仿宋_GB2312" w:hAnsi="仿宋_GB2312" w:eastAsia="仿宋_GB2312" w:cs="仿宋_GB2312"/>
          <w:color w:val="auto"/>
          <w:sz w:val="32"/>
          <w:szCs w:val="32"/>
          <w:highlight w:val="none"/>
          <w:lang w:eastAsia="zh-CN"/>
        </w:rPr>
        <w:t>住房</w:t>
      </w:r>
      <w:r>
        <w:rPr>
          <w:rFonts w:hint="eastAsia" w:ascii="仿宋_GB2312" w:hAnsi="仿宋_GB2312" w:eastAsia="仿宋_GB2312" w:cs="仿宋_GB2312"/>
          <w:color w:val="auto"/>
          <w:sz w:val="32"/>
          <w:szCs w:val="32"/>
          <w:highlight w:val="none"/>
          <w:lang w:val="en-US" w:eastAsia="zh-CN"/>
        </w:rPr>
        <w:t>1.4</w:t>
      </w:r>
      <w:r>
        <w:rPr>
          <w:rFonts w:hint="eastAsia" w:ascii="仿宋_GB2312" w:hAnsi="仿宋_GB2312" w:eastAsia="仿宋_GB2312" w:cs="仿宋_GB2312"/>
          <w:color w:val="auto"/>
          <w:sz w:val="32"/>
          <w:szCs w:val="32"/>
          <w:highlight w:val="none"/>
        </w:rPr>
        <w:t>万套</w:t>
      </w:r>
      <w:r>
        <w:rPr>
          <w:rFonts w:hint="eastAsia" w:ascii="仿宋_GB2312" w:hAnsi="仿宋_GB2312" w:eastAsia="仿宋_GB2312" w:cs="仿宋_GB2312"/>
          <w:color w:val="auto"/>
          <w:sz w:val="32"/>
          <w:szCs w:val="32"/>
          <w:highlight w:val="none"/>
          <w:lang w:eastAsia="zh-CN"/>
        </w:rPr>
        <w:t>、公租房</w:t>
      </w:r>
      <w:r>
        <w:rPr>
          <w:rFonts w:hint="eastAsia" w:ascii="仿宋_GB2312" w:hAnsi="仿宋_GB2312" w:eastAsia="仿宋_GB2312" w:cs="仿宋_GB2312"/>
          <w:color w:val="auto"/>
          <w:sz w:val="32"/>
          <w:szCs w:val="32"/>
          <w:highlight w:val="none"/>
          <w:lang w:val="en-US" w:eastAsia="zh-CN"/>
        </w:rPr>
        <w:t>0.04万套</w:t>
      </w:r>
      <w:r>
        <w:rPr>
          <w:rFonts w:hint="eastAsia" w:ascii="仿宋_GB2312" w:hAnsi="仿宋_GB2312" w:eastAsia="仿宋_GB2312" w:cs="仿宋_GB2312"/>
          <w:color w:val="auto"/>
          <w:sz w:val="32"/>
          <w:szCs w:val="32"/>
          <w:highlight w:val="none"/>
        </w:rPr>
        <w:t>，发放租赁补贴</w:t>
      </w:r>
      <w:r>
        <w:rPr>
          <w:rFonts w:hint="eastAsia" w:ascii="仿宋_GB2312" w:hAnsi="仿宋_GB2312" w:eastAsia="仿宋_GB2312" w:cs="仿宋_GB2312"/>
          <w:color w:val="auto"/>
          <w:sz w:val="32"/>
          <w:szCs w:val="32"/>
          <w:highlight w:val="none"/>
          <w:lang w:val="en-US" w:eastAsia="zh-CN"/>
        </w:rPr>
        <w:t>3.35</w:t>
      </w:r>
      <w:r>
        <w:rPr>
          <w:rFonts w:hint="eastAsia" w:ascii="仿宋_GB2312" w:hAnsi="仿宋_GB2312" w:eastAsia="仿宋_GB2312" w:cs="仿宋_GB2312"/>
          <w:color w:val="auto"/>
          <w:sz w:val="32"/>
          <w:szCs w:val="32"/>
          <w:highlight w:val="none"/>
        </w:rPr>
        <w:t>万户</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带动全省各地保障性安居工程实现投资</w:t>
      </w:r>
      <w:r>
        <w:rPr>
          <w:rFonts w:hint="eastAsia" w:ascii="仿宋_GB2312" w:hAnsi="仿宋_GB2312" w:eastAsia="仿宋_GB2312" w:cs="仿宋_GB2312"/>
          <w:color w:val="auto"/>
          <w:sz w:val="32"/>
          <w:szCs w:val="32"/>
          <w:highlight w:val="none"/>
          <w:lang w:val="en-US" w:eastAsia="zh-CN"/>
        </w:rPr>
        <w:t>137</w:t>
      </w:r>
      <w:r>
        <w:rPr>
          <w:rFonts w:hint="eastAsia" w:ascii="仿宋_GB2312" w:hAnsi="仿宋_GB2312" w:eastAsia="仿宋_GB2312" w:cs="仿宋_GB2312"/>
          <w:color w:val="auto"/>
          <w:sz w:val="32"/>
          <w:szCs w:val="32"/>
          <w:highlight w:val="none"/>
        </w:rPr>
        <w:t>亿元</w:t>
      </w:r>
      <w:r>
        <w:rPr>
          <w:rFonts w:hint="eastAsia" w:ascii="仿宋_GB2312" w:hAnsi="仿宋_GB2312" w:eastAsia="仿宋_GB2312" w:cs="仿宋_GB2312"/>
          <w:b w:val="0"/>
          <w:bCs w:val="0"/>
          <w:kern w:val="0"/>
          <w:sz w:val="32"/>
          <w:szCs w:val="32"/>
          <w:highlight w:val="none"/>
          <w:lang w:val="en-US" w:eastAsia="zh-CN" w:bidi="ar-SA"/>
        </w:rPr>
        <w:t>，</w:t>
      </w:r>
      <w:r>
        <w:rPr>
          <w:rFonts w:hint="eastAsia" w:ascii="仿宋_GB2312" w:hAnsi="仿宋_GB2312" w:eastAsia="仿宋_GB2312" w:cs="仿宋_GB2312"/>
          <w:bCs/>
          <w:sz w:val="32"/>
          <w:szCs w:val="32"/>
          <w:highlight w:val="none"/>
          <w:shd w:val="clear" w:color="auto" w:fill="FFFFFF"/>
          <w:lang w:val="en-US" w:eastAsia="zh-CN"/>
        </w:rPr>
        <w:t>为住房困难群众创造更加宜居的居住环境</w:t>
      </w:r>
      <w:r>
        <w:rPr>
          <w:rStyle w:val="16"/>
          <w:rFonts w:hint="eastAsia" w:ascii="仿宋_GB2312" w:hAnsi="仿宋_GB2312" w:eastAsia="仿宋_GB2312" w:cs="仿宋_GB2312"/>
          <w:color w:val="auto"/>
          <w:spacing w:val="2"/>
          <w:szCs w:val="32"/>
          <w:highlight w:val="none"/>
        </w:rPr>
        <w:t>。住房公积金累计缴存金额突破两万亿元，稳居全国首位。前三季度建筑业总产值1.14万亿元，同比增长7.3%，增速居东部地区第一位。施工总承包特级资质企业达30家，一级资质751家。《广东省绿色建筑条例》正式出台，新增绿色建筑面积1.2亿平方米，新获批1个国家装配式建筑范例城市和6个装配式建筑产业基地。</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3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③</w:t>
      </w:r>
      <w:r>
        <w:rPr>
          <w:rFonts w:hint="eastAsia" w:ascii="仿宋_GB2312" w:hAnsi="仿宋_GB2312" w:eastAsia="仿宋_GB2312" w:cs="仿宋_GB2312"/>
          <w:color w:val="auto"/>
          <w:spacing w:val="2"/>
          <w:sz w:val="32"/>
          <w:szCs w:val="32"/>
          <w:highlight w:val="none"/>
        </w:rPr>
        <w:fldChar w:fldCharType="end"/>
      </w:r>
      <w:r>
        <w:rPr>
          <w:rFonts w:hint="eastAsia" w:ascii="仿宋_GB2312" w:hAnsi="仿宋_GB2312" w:eastAsia="仿宋_GB2312" w:cs="仿宋_GB2312"/>
          <w:color w:val="auto"/>
          <w:spacing w:val="2"/>
          <w:sz w:val="32"/>
          <w:szCs w:val="32"/>
          <w:highlight w:val="none"/>
        </w:rPr>
        <w:t xml:space="preserve"> 重点任务强力推进、稳步推进。纳入国家监管平台的525个黑臭水体各地自评上报全部消除。新增城市（县城）生活污水处理设施26座，1125个乡镇基本实现生活污水处理设施覆盖。城乡生活污水管网全年新增1.4万公里（城市0.85万公里，乡镇0.55万公里）。污泥新增处置能力占三年行动计划任务的169%。练江流域17座城镇生活污水处理厂按期建成通水。全省开通地铁24条，在建（立项）30条，运营里程达895.74公里，居全国首位。全省开工改造城镇老旧小区1687个，52.48万户居民受益。“厕所革命”三年改造任务超额完成。城市建成区绿化覆盖率、人均公园面积任务目标提前实现。</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4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④</w:t>
      </w:r>
      <w:r>
        <w:rPr>
          <w:rFonts w:hint="eastAsia" w:ascii="仿宋_GB2312" w:hAnsi="仿宋_GB2312" w:eastAsia="仿宋_GB2312" w:cs="仿宋_GB2312"/>
          <w:color w:val="auto"/>
          <w:spacing w:val="2"/>
          <w:sz w:val="32"/>
          <w:szCs w:val="32"/>
          <w:highlight w:val="none"/>
        </w:rPr>
        <w:fldChar w:fldCharType="end"/>
      </w:r>
      <w:r>
        <w:rPr>
          <w:rFonts w:hint="eastAsia" w:ascii="仿宋_GB2312" w:hAnsi="仿宋_GB2312" w:eastAsia="仿宋_GB2312" w:cs="仿宋_GB2312"/>
          <w:color w:val="auto"/>
          <w:spacing w:val="2"/>
          <w:sz w:val="32"/>
          <w:szCs w:val="32"/>
          <w:highlight w:val="none"/>
        </w:rPr>
        <w:t xml:space="preserve"> 城乡治理水平稳步提高。城市管理大部门制改革全面完成，“强基础、转作风、树形象”三年行动圆满收官。在全国率先编制发布新增执法职能自由裁量权基准。广州CIM（城市信息模型）平台建设成为全国标杆。开展环境提升7个专项行动，以全新城乡面貌迎接经济特区建立40周年。全国垃圾分类工作现场会在广州圆满召开，我省在实践中探索形成的全省统筹、整体谋划、分类推进工作模式获得一致认可。完成《广东省城乡生活垃圾管理条例》修订，建成生活垃圾处理设施172座，3A级生活垃圾焚烧项目占全国1/3，生活垃圾无害化处理率达99.95%。农村生活垃圾收运处置体系基本实现全覆盖，687个镇级填埋场和344个非正规垃圾堆放点全部完成整改，整治存量垃圾约5276万立方米。基本完成历史文化街区划定和历史建筑确定的阶段性任务，划定101处广东省历史文化街区，各市县公布历史建筑3707处。习近平总书记到广东调研时专门视察潮州古城、汕头小公园开埠区。住建部通报的“美好环境与幸福生活共同缔造”试点县、片、村，我省数量全国第一。翁源县设计下乡工作入选全国优秀案例。</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5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⑤</w:t>
      </w:r>
      <w:r>
        <w:rPr>
          <w:rFonts w:hint="eastAsia" w:ascii="仿宋_GB2312" w:hAnsi="仿宋_GB2312" w:eastAsia="仿宋_GB2312" w:cs="仿宋_GB2312"/>
          <w:color w:val="auto"/>
          <w:spacing w:val="2"/>
          <w:sz w:val="32"/>
          <w:szCs w:val="32"/>
          <w:highlight w:val="none"/>
        </w:rPr>
        <w:fldChar w:fldCharType="end"/>
      </w:r>
      <w:r>
        <w:rPr>
          <w:rFonts w:hint="eastAsia" w:ascii="仿宋_GB2312" w:hAnsi="仿宋_GB2312" w:eastAsia="仿宋_GB2312" w:cs="仿宋_GB2312"/>
          <w:color w:val="auto"/>
          <w:spacing w:val="2"/>
          <w:sz w:val="32"/>
          <w:szCs w:val="32"/>
          <w:highlight w:val="none"/>
        </w:rPr>
        <w:t xml:space="preserve"> 安全生产平稳向好。开展城市建设安全专项整治三年行动和“安全生产检查月”专项行动，出动35.15万人次，检查房屋市政工程13.29万次（项），房屋市政工程生产安全事故起数和死亡人数连续三年“双下降”。摸清全省危大工程底数，开展城市既有建筑隐患排查治理和1782栋隔离观察场所安全专项排查整治。完成2.6万栋重要公共建筑物抗震性能调查并加固改造。将两轮排查的6.5万户农村削坡建房风险点全部纳入三年整治计划，争取6.41亿元省财政补助资金。完善工程建设标准体系，发布行业标准28项。受理建设工程消防设计审查、验收和备案约4.5万件，办结率97.2%。</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6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⑥</w:t>
      </w:r>
      <w:r>
        <w:rPr>
          <w:rFonts w:hint="eastAsia" w:ascii="仿宋_GB2312" w:hAnsi="仿宋_GB2312" w:eastAsia="仿宋_GB2312" w:cs="仿宋_GB2312"/>
          <w:color w:val="auto"/>
          <w:spacing w:val="2"/>
          <w:sz w:val="32"/>
          <w:szCs w:val="32"/>
          <w:highlight w:val="none"/>
        </w:rPr>
        <w:fldChar w:fldCharType="end"/>
      </w:r>
      <w:r>
        <w:rPr>
          <w:rFonts w:hint="eastAsia" w:ascii="仿宋_GB2312" w:hAnsi="仿宋_GB2312" w:eastAsia="仿宋_GB2312" w:cs="仿宋_GB2312"/>
          <w:color w:val="auto"/>
          <w:spacing w:val="2"/>
          <w:sz w:val="32"/>
          <w:szCs w:val="32"/>
          <w:highlight w:val="none"/>
        </w:rPr>
        <w:t xml:space="preserve"> 改革创新稳健前行。推进粤港澳建筑领域6类专业互认，1630名港澳人士取得内地执业资格，试行港澳管理模式工程项目投资超25亿元。珠三角各市便利港澳居民购房政策全部调整落实到位。委托地级以上市实施8项省级行政职权。基本建成全省工程建设项目审批和管理体系，政府、社会投资项目审批时间分别压缩至100个和60个工作日内，累计超5万个项目实现在线审批。压减各类政许可承诺时限231天，即办事项占69%，政务服务事项网上可办理率达99.4%。获批全国第一批建设工程企业资质审批权限下放试点省、工程造价市场化改革试点省。</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fldChar w:fldCharType="begin"/>
      </w:r>
      <w:r>
        <w:rPr>
          <w:rFonts w:hint="eastAsia" w:ascii="仿宋_GB2312" w:hAnsi="仿宋_GB2312" w:eastAsia="仿宋_GB2312" w:cs="仿宋_GB2312"/>
          <w:color w:val="auto"/>
          <w:spacing w:val="2"/>
          <w:sz w:val="32"/>
          <w:szCs w:val="32"/>
          <w:highlight w:val="none"/>
        </w:rPr>
        <w:instrText xml:space="preserve"> = 7 \* GB3 </w:instrText>
      </w:r>
      <w:r>
        <w:rPr>
          <w:rFonts w:hint="eastAsia" w:ascii="仿宋_GB2312" w:hAnsi="仿宋_GB2312" w:eastAsia="仿宋_GB2312" w:cs="仿宋_GB2312"/>
          <w:color w:val="auto"/>
          <w:spacing w:val="2"/>
          <w:sz w:val="32"/>
          <w:szCs w:val="32"/>
          <w:highlight w:val="none"/>
        </w:rPr>
        <w:fldChar w:fldCharType="separate"/>
      </w:r>
      <w:r>
        <w:rPr>
          <w:rFonts w:hint="eastAsia" w:ascii="仿宋_GB2312" w:hAnsi="仿宋_GB2312" w:eastAsia="仿宋_GB2312" w:cs="仿宋_GB2312"/>
          <w:color w:val="auto"/>
          <w:spacing w:val="2"/>
          <w:sz w:val="32"/>
          <w:szCs w:val="32"/>
          <w:highlight w:val="none"/>
        </w:rPr>
        <w:t>⑦</w:t>
      </w:r>
      <w:r>
        <w:rPr>
          <w:rFonts w:hint="eastAsia" w:ascii="仿宋_GB2312" w:hAnsi="仿宋_GB2312" w:eastAsia="仿宋_GB2312" w:cs="仿宋_GB2312"/>
          <w:color w:val="auto"/>
          <w:spacing w:val="2"/>
          <w:sz w:val="32"/>
          <w:szCs w:val="32"/>
          <w:highlight w:val="none"/>
        </w:rPr>
        <w:fldChar w:fldCharType="end"/>
      </w:r>
      <w:r>
        <w:rPr>
          <w:rFonts w:hint="eastAsia" w:ascii="仿宋_GB2312" w:hAnsi="仿宋_GB2312" w:eastAsia="仿宋_GB2312" w:cs="仿宋_GB2312"/>
          <w:color w:val="auto"/>
          <w:spacing w:val="2"/>
          <w:sz w:val="32"/>
          <w:szCs w:val="32"/>
          <w:highlight w:val="none"/>
        </w:rPr>
        <w:t xml:space="preserve"> 专项工作稳扎稳打。建立省市县镇村五级农村房屋安全信息采集体系，排查并完成新增农村危房改造约11387户。农村相对贫困户住房安全有保障任务提前全面完成，厅挂牌督战的怀集县顺利脱贫出列。推进住建领域扫黑除恶“线索清仓”和“行业清源”。牵头开展高铁安全环境整治行动和两轮“回头看”，累计整治问题隐患7234处。部署开展各领域专项排查整治行动，深入推进审计整改、国务院大督查整改等。</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（2）部门整体绩效目标效益指标完成情况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该项指标反映部门年度预算编报时确定的部门预算整体绩效目标中绩效指标完成情况。指标分值10分，评价得9.01分。</w:t>
      </w:r>
      <w:r>
        <w:rPr>
          <w:rStyle w:val="16"/>
          <w:rFonts w:hint="eastAsia" w:ascii="仿宋_GB2312" w:hAnsi="仿宋_GB2312" w:eastAsia="仿宋_GB2312" w:cs="仿宋_GB2312"/>
          <w:color w:val="auto"/>
          <w:spacing w:val="2"/>
          <w:szCs w:val="32"/>
          <w:highlight w:val="none"/>
        </w:rPr>
        <w:t>省住房城乡建设厅农村削坡建房地质灾害隐患排查整治、社区体育公园、城镇老旧小区改造、环境保护与监管能力建设、黑臭水体治理、城市（县城）污水管网配套建设及老旧管改造、镇级污水处理设施运维、生活垃圾无害化处理设施运营、生活垃圾分类、绿色循环与节能降耗资金等</w:t>
      </w:r>
      <w:r>
        <w:rPr>
          <w:rFonts w:hint="eastAsia" w:ascii="仿宋_GB2312" w:hAnsi="仿宋_GB2312" w:eastAsia="仿宋_GB2312" w:cs="仿宋_GB2312"/>
          <w:color w:val="auto"/>
          <w:spacing w:val="2"/>
          <w:sz w:val="32"/>
          <w:szCs w:val="32"/>
          <w:highlight w:val="none"/>
        </w:rPr>
        <w:t>10项专项资金效益指标完成率分别为91.5%、96.33%、96.33%、91.43%、86.43%、86.43%、95.77%、81.50%、81.50%、83%，省住房城乡建设厅效益指标完成情况综合计算得分9.01分。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（3）部门预算资金支出率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预算资金支出进度。指标分值5分，评价得2.84分。根据广东省财政厅提供的省级部门整体支出绩效评价体系（2021年版）财政评价相关指标情况表，省住房城乡建设厅专项资金支出率得分率为56.71%，本指标得分=5×56.71%=2.84分。</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2.专项效能</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该二级指标下设有“专项资金绩效完成情况”“专项资金支出率”等2个三级指标。</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（1）专项资金绩效完成情况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该项指标反映部门专项资金绩效目标的完成情况。指标分值20分，评价得17.50分。</w:t>
      </w:r>
      <w:r>
        <w:rPr>
          <w:rStyle w:val="16"/>
          <w:rFonts w:hint="eastAsia" w:ascii="仿宋_GB2312" w:hAnsi="仿宋_GB2312" w:eastAsia="仿宋_GB2312" w:cs="仿宋_GB2312"/>
          <w:color w:val="auto"/>
          <w:spacing w:val="2"/>
          <w:szCs w:val="32"/>
          <w:highlight w:val="none"/>
        </w:rPr>
        <w:t>省住房城乡建设厅农村削坡建房地质灾害隐患排查整治、社区体育公园、城镇老旧小区改造、环境保护与监管能力建设、黑臭水体治理、城市（县城）污水管网配套建设、老旧管改造、镇级污水处理设施运维、生活垃圾无害化处理设施运营、生活垃圾分类、绿色循环与节能降耗资金等10项专项资金自评得分分别为86.67、93.36、99、88.63、85.64、86.47、91.50、86.99、88.54、92.34</w:t>
      </w:r>
      <w:r>
        <w:rPr>
          <w:rFonts w:hint="eastAsia" w:ascii="仿宋_GB2312" w:hAnsi="仿宋_GB2312" w:eastAsia="仿宋_GB2312" w:cs="仿宋_GB2312"/>
          <w:color w:val="auto"/>
          <w:spacing w:val="2"/>
          <w:sz w:val="32"/>
          <w:szCs w:val="32"/>
          <w:highlight w:val="none"/>
        </w:rPr>
        <w:t>，省住房城乡建设厅专项资金绩效完成情况计算综合得分17.50分。</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（2）专项资金支出率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主管专项资金到年底的实际支出使用进度。指标分值5分，评价得3.84分。根据广东省财政厅提供的省级部门整体支出绩效评价体系（2021年版）财政评价相关指标情况表，省住房城乡建设厅专项资金支出率得分率为76.74%，本指标得分=5×76.74%=3.84分。</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（三）管理效率分析</w:t>
      </w:r>
    </w:p>
    <w:p>
      <w:pPr>
        <w:keepNext w:val="0"/>
        <w:keepLines w:val="0"/>
        <w:pageBreakBefore w:val="0"/>
        <w:kinsoku/>
        <w:wordWrap/>
        <w:overflowPunct/>
        <w:topLinePunct w:val="0"/>
        <w:bidi w:val="0"/>
        <w:adjustRightInd w:val="0"/>
        <w:snapToGrid w:val="0"/>
        <w:spacing w:line="600" w:lineRule="exact"/>
        <w:ind w:left="420" w:leftChars="200" w:firstLine="160" w:firstLineChars="5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1．预算编制 </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该二级指标下设有“项目入库率”“储备的二级项目使用率”及“新增预算项目事前绩效评估”等3个三级指标。</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（1）项目入库率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预算编制项目入库情况。指标分值2分，评价得1.8分。根据广东省财政厅提供的省级部门整体支出绩效评价体系（2021年版）财政评价相关指标情况表，省住房城乡建设厅项目入库率得分率为90%，本指标得分=2×90%=1.8分。</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（2）储备的二级项目使用率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预算编制专项资金规划和项目准备的准确性情况。指标分值2分，评价得2分。根据广东省财政厅提供的省级部门整体支出绩效评价体系（2021年版）财政评价相关指标情况表，省住房城乡建设厅储备的二级项目使用率得分率为100%，本指标得分=2×100%=2分。</w:t>
      </w:r>
    </w:p>
    <w:p>
      <w:pPr>
        <w:keepNext w:val="0"/>
        <w:keepLines w:val="0"/>
        <w:pageBreakBefore w:val="0"/>
        <w:kinsoku/>
        <w:wordWrap/>
        <w:overflowPunct/>
        <w:topLinePunct w:val="0"/>
        <w:bidi w:val="0"/>
        <w:adjustRightInd w:val="0"/>
        <w:snapToGrid w:val="0"/>
        <w:spacing w:line="600" w:lineRule="exact"/>
        <w:ind w:left="534" w:leftChars="100" w:hanging="324" w:hangingChars="1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（3）新增预算项目事前绩效评估</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对申请新增预算的入库项目开展事前绩效评估工作的落实情况。指标分值1分，评价得1分。省住房城乡建设厅制定了《广东省住房和城乡建设厅省级财政资金项目库管理实施细则（试行）》，按细则对申请新增预算的项目是按要求的范围开展绩效评估，按《指南》的程序和内容开展，比如《农村削坡建房风险排查整治项目评审论证报告》。按评分规则，省住房城乡建设厅新增预算项目事前绩效评估得分率为100%，本指标得分=1×100%=1分。</w:t>
      </w:r>
    </w:p>
    <w:p>
      <w:pPr>
        <w:keepNext w:val="0"/>
        <w:keepLines w:val="0"/>
        <w:pageBreakBefore w:val="0"/>
        <w:kinsoku/>
        <w:wordWrap/>
        <w:overflowPunct/>
        <w:topLinePunct w:val="0"/>
        <w:bidi w:val="0"/>
        <w:adjustRightInd w:val="0"/>
        <w:snapToGrid w:val="0"/>
        <w:spacing w:line="600" w:lineRule="exact"/>
        <w:ind w:left="420" w:leftChars="200" w:firstLine="160" w:firstLineChars="5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2.预算执行</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该二级指标下设有“预算编制约束性”“资金下达合规性”及“财务管理合规性”等3个三级指标。</w:t>
      </w:r>
    </w:p>
    <w:p>
      <w:pPr>
        <w:keepNext w:val="0"/>
        <w:keepLines w:val="0"/>
        <w:pageBreakBefore w:val="0"/>
        <w:kinsoku/>
        <w:wordWrap/>
        <w:overflowPunct/>
        <w:topLinePunct w:val="0"/>
        <w:bidi w:val="0"/>
        <w:adjustRightInd w:val="0"/>
        <w:snapToGrid w:val="0"/>
        <w:spacing w:line="600" w:lineRule="exact"/>
        <w:ind w:left="534" w:leftChars="100" w:hanging="324" w:hangingChars="1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（1）预算编制约束性</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预算的调剂、年中追加资金情况。指标分值1分，评价得0.95分。根据广东省财政厅提供的省级部门整体支出绩效评价体系（2021年版）财政评价相关指标情况表，省住房城乡建设厅预算编制约束性得分率为94.52%，本指标得分=1×94.52%=0.95分。</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（2）资金下达合规性</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主管资金提前下达比率、资金下达合法性情况。指标分值1分，评价得1分。根据广东省财政厅提供的省级部门整体支出绩效评价体系（2021年版）财政评价相关指标情况表，省住房城乡建设厅资金下达合规性得分率为100%，本指标得分=1×100%=1分。</w:t>
      </w:r>
    </w:p>
    <w:p>
      <w:pPr>
        <w:keepNext w:val="0"/>
        <w:keepLines w:val="0"/>
        <w:pageBreakBefore w:val="0"/>
        <w:kinsoku/>
        <w:wordWrap/>
        <w:overflowPunct/>
        <w:topLinePunct w:val="0"/>
        <w:bidi w:val="0"/>
        <w:adjustRightInd w:val="0"/>
        <w:snapToGrid w:val="0"/>
        <w:spacing w:line="600" w:lineRule="exact"/>
        <w:ind w:left="477" w:leftChars="150" w:hanging="162" w:hangingChars="5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 xml:space="preserve">（3）财务管理合规性  </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财务管理的规范性情况。指标分值2分，评价得1.5分。经抽查省住房城乡建设厅2020年度相关会计凭证，认为省住房城乡建设厅财务工作规范。一是资金管理、费用标准、支付符合有关制度规定，未发现超范围、超标准支出、虚列支出、截留、挤占、挪用等情况。二是会计核算能够按照相关制度规范执行，能对部门预算与专项资金设置专账核算，资金收支情况体现清晰，财务报销手续齐全。三是重大项目支出均经过逐级审批或集体决策。2020年镇级污水处理设施运维资金支出存在部分县（市、区）未按规定的支出范围使用专项资金,酌情扣0.5分，本指标得分1.5分。</w:t>
      </w:r>
    </w:p>
    <w:p>
      <w:pPr>
        <w:keepNext w:val="0"/>
        <w:keepLines w:val="0"/>
        <w:pageBreakBefore w:val="0"/>
        <w:kinsoku/>
        <w:wordWrap/>
        <w:overflowPunct/>
        <w:topLinePunct w:val="0"/>
        <w:bidi w:val="0"/>
        <w:adjustRightInd w:val="0"/>
        <w:snapToGrid w:val="0"/>
        <w:spacing w:line="600" w:lineRule="exact"/>
        <w:ind w:left="420" w:leftChars="200" w:firstLine="160" w:firstLineChars="5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3.信息公开</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该二级指标下设有“预决算公开合规性</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绩效信息公开情况”等2个三级指标。</w:t>
      </w:r>
    </w:p>
    <w:p>
      <w:pPr>
        <w:keepNext w:val="0"/>
        <w:keepLines w:val="0"/>
        <w:pageBreakBefore w:val="0"/>
        <w:kinsoku/>
        <w:wordWrap/>
        <w:overflowPunct/>
        <w:topLinePunct w:val="0"/>
        <w:bidi w:val="0"/>
        <w:adjustRightInd w:val="0"/>
        <w:snapToGrid w:val="0"/>
        <w:spacing w:line="600" w:lineRule="exact"/>
        <w:ind w:left="420" w:leftChars="200" w:firstLine="324"/>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（1）预决算公开合规性</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预算决算公开执行到位情况。指标分值2分，评价得2分。鉴于至评价基准日，2020年度决算尚未通过省人大批复，未到公开的时间节点。根据广东省财政厅提供的省级部门整体支出绩效评价体系（2021年版）财政评价相关指标情况表，省住房城乡建设厅预决算公开合规性得分率为100%，本指标得分=2×100%=2分。</w:t>
      </w:r>
    </w:p>
    <w:p>
      <w:pPr>
        <w:keepNext w:val="0"/>
        <w:keepLines w:val="0"/>
        <w:pageBreakBefore w:val="0"/>
        <w:kinsoku/>
        <w:wordWrap/>
        <w:overflowPunct/>
        <w:topLinePunct w:val="0"/>
        <w:bidi w:val="0"/>
        <w:adjustRightInd w:val="0"/>
        <w:snapToGrid w:val="0"/>
        <w:spacing w:line="600" w:lineRule="exact"/>
        <w:ind w:left="315" w:leftChars="150" w:firstLine="324"/>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（2）绩效信息公开情况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绩效信息公开执行到位情况。指标分值1分，评价得1分。根据广东住房和城乡建设厅网站公开信息：2020年广东省住房和城乡建设厅部门预算公开、广东住房和城乡建设厅2020年省级财政专项资金绩效自评报告公开信息、广东省住房和城乡建设厅关于2020年农村削坡建房风险排查资金分配方案和绩效目标的公示、广东省住房和城乡建设厅关于2020年主管省级财政专项资金和其他事业发展性资金分配方案和绩效目标的公示等信息。按评分规则，省住房城乡建设厅绩效信息公开情况得分率为100%，本指标得分=1×100%=1分。</w:t>
      </w:r>
    </w:p>
    <w:p>
      <w:pPr>
        <w:keepNext w:val="0"/>
        <w:keepLines w:val="0"/>
        <w:pageBreakBefore w:val="0"/>
        <w:kinsoku/>
        <w:wordWrap/>
        <w:overflowPunct/>
        <w:topLinePunct w:val="0"/>
        <w:bidi w:val="0"/>
        <w:adjustRightInd w:val="0"/>
        <w:snapToGrid w:val="0"/>
        <w:spacing w:line="600" w:lineRule="exact"/>
        <w:ind w:left="420" w:leftChars="200" w:firstLine="160" w:firstLineChars="5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4.绩效管理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该二级指标下设有“绩效管理制度建设</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绩效结果应用</w:t>
      </w:r>
      <w:r>
        <w:rPr>
          <w:rFonts w:hint="eastAsia" w:ascii="仿宋_GB2312" w:hAnsi="仿宋_GB2312" w:eastAsia="仿宋_GB2312" w:cs="仿宋_GB2312"/>
          <w:color w:val="auto"/>
          <w:spacing w:val="2"/>
          <w:sz w:val="32"/>
          <w:szCs w:val="32"/>
          <w:highlight w:val="none"/>
          <w:lang w:eastAsia="zh-CN"/>
        </w:rPr>
        <w:t>”及</w:t>
      </w:r>
      <w:r>
        <w:rPr>
          <w:rFonts w:hint="eastAsia" w:ascii="仿宋_GB2312" w:hAnsi="仿宋_GB2312" w:eastAsia="仿宋_GB2312" w:cs="仿宋_GB2312"/>
          <w:color w:val="auto"/>
          <w:spacing w:val="2"/>
          <w:sz w:val="32"/>
          <w:szCs w:val="32"/>
          <w:highlight w:val="none"/>
        </w:rPr>
        <w:t>“绩效管理制度执行”等3个三级指标。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（1）绩效管理制度建设</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对机关和下属单位、专项资金等绩效目标管理、绩效运行监控、绩效评价管理和评价结果应用等预算绩效管理制度的建设和执行情况。指标分值5分，评价得5分。省住房城乡建设厅在绩效管理制度建设方面制定了《广东省住房和城乡建设厅省级财政预算绩效目标管理办法》和《广东省住房和城乡建设厅预算绩效管理办法》，对机关和下属单位、专项资金等绩效目标管理、绩效运行监控、绩效评价管理和评价结果应用等预算绩效管理制度的建设和执行情况进行监督管理。按评分规则，省住房城乡建设厅绩效管理制度建设得分率为100%，本指标得分=5×100%=5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（2）绩效结果应用</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对监控预警结果处理、绩效自评结果和重点评价意见等的整改应用情况。指标分值3分，评价得3分。广东省住房和城乡建设厅关于建立预算支出执行定期分析机制的通知；广东省住房和城乡建设厅关于2021年预算安排“四挂钩”扣减额度情况分析报告；调研报告和季度通报。按评分规则，省住房城乡建设厅绩效管理制度建设得分率为100%，本指标得分=3×100%=3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（3）绩效管理制度执行</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对机关和下属单位、专项资金等绩效目标管理、绩效运行监控、绩效评价管理和评价结果应用等预算绩效管理制度的建设和执行情况。指标分值7分，评价得6.65分。根据广东省财政厅提供的省级部门整体支出绩效评价体系（2021年版）财政评价相关指标情况表，省住房城乡建设厅绩效管理制度执行得分率为95%，本指标得分=7×95%=6.65分。</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5.采购管理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该二级指标下设有“采购合规性</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采购政策效能”等2个三级指标。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（1）采购合规性</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采购意向公开、采购投诉处理、合同备案公开等情况。指标分值3分，评价得2.25分。根据广东省财政厅提供的省级部门整体支出绩效评价体系（2021年版）财政评价相关指标情况表，省住房城乡建设厅采购合规性得分率为75%，本指标得分=3×75%=2.25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（2）采购政策效能</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采购政策执行的效果情况。指标分值2分，评价得2分。根据广东省财政厅提供的省级部门整体支出绩效评价体系（2021年版）财政评价相关指标情况表，省住房城乡建设厅采购政策效能得分率为100%，本指标得分=2×100%=2分。</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6.资产管理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该二级指标下设有“资产配置合规性</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资产收益上缴的及时性”“资产盘点情况”“数据质量”“资产管理合规性”及“固定资产利用率”等6个三级指标。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（1）资产配置合规性</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单位办公室面积和办公设备配置是否超过规定标准。指标分值3分，评价得2分。省住房城乡建设厅各级工作人员办公室使用面积严格按照《党政机关办公用房建设标准》执行：正厅级按30平方米/人、副厅级按24平方米/人、正处级按18平方米/人、副处级按12平方米/人、处级以下按9平方米/人。省住房城乡建设厅办公截至2020年底配置打印机的上限标准为30台，实际配置打印机204台(包含多功能一体机40台），超标准配置打印机174台”。按评分规则，办公设备配置超标酌情扣1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（2）资产收益上缴的及时性</w:t>
      </w:r>
      <w:bookmarkStart w:id="10" w:name="_GoBack"/>
      <w:bookmarkEnd w:id="10"/>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资产处置和使用收益上缴的及时性。指标分值2分，评价得1.5分。省住房城乡建设厅2020年12月处置报废大众牌汽车一辆，2021年2月收到资产处置收益495.00元，2021年6月上缴资产处置收益495.00元。按评分规则，资产处置收益超过3个月上缴，酌情扣0.5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（3）资产盘点情况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是否每年按要求进行资产盘点。指标分值2分，评价得2分。省住房城乡建设厅计划财务处会同广州玮铭会计师事务所对我厅截止2020年12月31日的资产进行盘点，盘点资产明细与资产明细表一致。按评分规则，省住房城乡建设厅资产盘点情况得分率为100%，本指标得分=2×100%=2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（4）数据质量</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该指标反映部门行政事业性国有资产年报数据质量。指标分值3分，评分得3分，得分率为100.00%。根</w:t>
      </w:r>
      <w:r>
        <w:rPr>
          <w:rFonts w:hint="eastAsia" w:ascii="仿宋_GB2312" w:hAnsi="仿宋_GB2312" w:eastAsia="仿宋_GB2312" w:cs="仿宋_GB2312"/>
          <w:color w:val="auto"/>
          <w:spacing w:val="2"/>
          <w:sz w:val="32"/>
          <w:szCs w:val="32"/>
          <w:highlight w:val="none"/>
          <w:lang w:eastAsia="zh-CN"/>
        </w:rPr>
        <w:t>据</w:t>
      </w:r>
      <w:r>
        <w:rPr>
          <w:rFonts w:hint="eastAsia" w:ascii="仿宋_GB2312" w:hAnsi="仿宋_GB2312" w:eastAsia="仿宋_GB2312" w:cs="仿宋_GB2312"/>
          <w:color w:val="auto"/>
          <w:spacing w:val="2"/>
          <w:sz w:val="32"/>
          <w:szCs w:val="32"/>
          <w:highlight w:val="none"/>
        </w:rPr>
        <w:t>省住房城乡建设厅（本级）2020年度部门决算套表、省住房城乡建设厅2020年会计科目余额表及省住房城乡建设厅2020年资产明细表，省住房城乡建设厅2020年国有资产年报能准确、完整的反映</w:t>
      </w:r>
      <w:r>
        <w:rPr>
          <w:rFonts w:hint="eastAsia" w:ascii="仿宋_GB2312" w:hAnsi="仿宋_GB2312" w:eastAsia="仿宋_GB2312" w:cs="仿宋_GB2312"/>
          <w:color w:val="auto"/>
          <w:sz w:val="32"/>
          <w:szCs w:val="32"/>
          <w:highlight w:val="none"/>
          <w:lang w:eastAsia="zh-CN"/>
        </w:rPr>
        <w:t>省</w:t>
      </w:r>
      <w:r>
        <w:rPr>
          <w:rFonts w:hint="eastAsia" w:ascii="仿宋_GB2312" w:hAnsi="仿宋_GB2312" w:eastAsia="仿宋_GB2312" w:cs="仿宋_GB2312"/>
          <w:color w:val="auto"/>
          <w:sz w:val="32"/>
          <w:szCs w:val="32"/>
          <w:highlight w:val="none"/>
        </w:rPr>
        <w:t>住房城乡建设</w:t>
      </w:r>
      <w:r>
        <w:rPr>
          <w:rFonts w:hint="eastAsia" w:ascii="仿宋_GB2312" w:hAnsi="仿宋_GB2312" w:eastAsia="仿宋_GB2312" w:cs="仿宋_GB2312"/>
          <w:color w:val="auto"/>
          <w:sz w:val="32"/>
          <w:szCs w:val="32"/>
          <w:highlight w:val="none"/>
          <w:lang w:eastAsia="zh-CN"/>
        </w:rPr>
        <w:t>厅</w:t>
      </w:r>
      <w:r>
        <w:rPr>
          <w:rFonts w:hint="eastAsia" w:ascii="仿宋_GB2312" w:hAnsi="仿宋_GB2312" w:eastAsia="仿宋_GB2312" w:cs="仿宋_GB2312"/>
          <w:color w:val="auto"/>
          <w:spacing w:val="2"/>
          <w:sz w:val="32"/>
          <w:szCs w:val="32"/>
          <w:highlight w:val="none"/>
        </w:rPr>
        <w:t>行政事业单位资产占有、使用、变动等总体情况以及房屋、土地、车辆、大型设备等重要资产信息，符合《行政事业单位国有资产年度报告管理办法》（财资〔2017〕3号）规定的相关要求。按评分规则，省住房城乡建设厅数据质量得分率为100%，本指标得分=3×100%=3分。</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（5）资产管理合规性</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资产管理是否合规。指标分值3分，评价得3分。省住房城乡建设厅制定了《广东省住房和城乡建设厅机关国有资产管理办法（2020年修订）》，并按照相关规定对国有资产进行管理。国有资产的处置符合规范，无国有资产出租、出借的情况。按评分规则，省住房城乡建设厅绩效信息公开情况得分率为100%，本指标得分=3×100%=3分。</w:t>
      </w:r>
    </w:p>
    <w:p>
      <w:pPr>
        <w:keepNext w:val="0"/>
        <w:keepLines w:val="0"/>
        <w:pageBreakBefore w:val="0"/>
        <w:kinsoku/>
        <w:wordWrap/>
        <w:overflowPunct/>
        <w:topLinePunct w:val="0"/>
        <w:bidi w:val="0"/>
        <w:adjustRightInd w:val="0"/>
        <w:snapToGrid w:val="0"/>
        <w:spacing w:line="600" w:lineRule="exact"/>
        <w:ind w:left="420" w:leftChars="200" w:firstLine="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（6）固定资产利用率</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固定资产的使用情况。指标分值2分，评价得2分。根据广东省财政厅提供的省级部门整体支出绩效评价体系（2021年版）财政评价相关指标情况表，省住房城乡建设厅固定资产利用率得分率为100%，本指标得分=2×100%=2分。</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7.运行成本</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该二级指标下设有“经济成本控制情况</w:t>
      </w:r>
      <w:r>
        <w:rPr>
          <w:rFonts w:hint="eastAsia" w:ascii="仿宋_GB2312" w:hAnsi="仿宋_GB2312" w:eastAsia="仿宋_GB2312" w:cs="仿宋_GB2312"/>
          <w:color w:val="auto"/>
          <w:spacing w:val="2"/>
          <w:sz w:val="32"/>
          <w:szCs w:val="32"/>
          <w:highlight w:val="none"/>
          <w:lang w:eastAsia="zh-CN"/>
        </w:rPr>
        <w:t>”“</w:t>
      </w:r>
      <w:r>
        <w:rPr>
          <w:rFonts w:hint="eastAsia" w:ascii="仿宋_GB2312" w:hAnsi="仿宋_GB2312" w:eastAsia="仿宋_GB2312" w:cs="仿宋_GB2312"/>
          <w:color w:val="auto"/>
          <w:spacing w:val="2"/>
          <w:sz w:val="32"/>
          <w:szCs w:val="32"/>
          <w:highlight w:val="none"/>
        </w:rPr>
        <w:t>三公”经费控制情况”等2个三级指标。</w:t>
      </w:r>
    </w:p>
    <w:p>
      <w:pPr>
        <w:keepNext w:val="0"/>
        <w:keepLines w:val="0"/>
        <w:pageBreakBefore w:val="0"/>
        <w:kinsoku/>
        <w:wordWrap/>
        <w:overflowPunct/>
        <w:topLinePunct w:val="0"/>
        <w:bidi w:val="0"/>
        <w:adjustRightInd w:val="0"/>
        <w:snapToGrid w:val="0"/>
        <w:spacing w:line="600" w:lineRule="exact"/>
        <w:ind w:left="420" w:leftChars="200" w:firstLine="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（1）经济成本控制情况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经济支出分类核算情况，包括对运转成本的控制努力程度和效果、核算精准度和合理性等情况。指标分值2分，评价得1.67分。根据广东住房与城乡建设厅2020年部门经济成本分析自评表，省住房城乡建设厅运行成本控制效果专项自评得分率为31.7%、运行成本变化自评得分率为21.7%、其他支出合理性自评得分率为30%,本指标得分=2×31.7%+2×21.7%+2×30%=1.67分。</w:t>
      </w:r>
    </w:p>
    <w:p>
      <w:pPr>
        <w:keepNext w:val="0"/>
        <w:keepLines w:val="0"/>
        <w:pageBreakBefore w:val="0"/>
        <w:kinsoku/>
        <w:wordWrap/>
        <w:overflowPunct/>
        <w:topLinePunct w:val="0"/>
        <w:bidi w:val="0"/>
        <w:adjustRightInd w:val="0"/>
        <w:snapToGrid w:val="0"/>
        <w:spacing w:line="600" w:lineRule="exact"/>
        <w:ind w:left="420" w:leftChars="200" w:firstLine="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（2）“三公”经费控制情况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该项指标反映部门对“三公”经费的控制效果。指标分值1分，评价得0.7分。根据广东省财政厅提供的省级部门整体支出绩效评价体系（2021年版）财政评价相关指标情况表，省住房城乡建设厅固定资产利用率得分率为70.12%，本指标得分=1×70.12%=0.7分。</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楷体_GB2312" w:hAnsi="楷体_GB2312" w:eastAsia="楷体_GB2312" w:cs="楷体_GB2312"/>
          <w:b w:val="0"/>
          <w:bCs w:val="0"/>
          <w:color w:val="auto"/>
          <w:sz w:val="32"/>
          <w:szCs w:val="32"/>
          <w:highlight w:val="none"/>
        </w:rPr>
      </w:pPr>
      <w:r>
        <w:rPr>
          <w:rFonts w:hint="eastAsia" w:ascii="楷体_GB2312" w:hAnsi="楷体_GB2312" w:eastAsia="楷体_GB2312" w:cs="楷体_GB2312"/>
          <w:b w:val="0"/>
          <w:bCs w:val="0"/>
          <w:color w:val="auto"/>
          <w:sz w:val="32"/>
          <w:szCs w:val="32"/>
          <w:highlight w:val="none"/>
        </w:rPr>
        <w:t>（四）就部门整体支出绩效管理存在问题提出改进措施</w:t>
      </w:r>
    </w:p>
    <w:p>
      <w:pPr>
        <w:keepNext w:val="0"/>
        <w:keepLines w:val="0"/>
        <w:pageBreakBefore w:val="0"/>
        <w:kinsoku/>
        <w:wordWrap/>
        <w:overflowPunct/>
        <w:topLinePunct w:val="0"/>
        <w:bidi w:val="0"/>
        <w:spacing w:line="600" w:lineRule="exact"/>
        <w:ind w:firstLine="716" w:firstLineChars="221"/>
        <w:jc w:val="both"/>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pacing w:val="2"/>
          <w:sz w:val="32"/>
          <w:szCs w:val="32"/>
          <w:highlight w:val="none"/>
        </w:rPr>
        <w:t>为改善和提高资金绩效管理水平，更好的发挥财政资金使用绩效，我厅针对自评过程中发现的问题，提出以下改进措施</w:t>
      </w:r>
      <w:r>
        <w:rPr>
          <w:rFonts w:hint="eastAsia" w:ascii="仿宋_GB2312" w:hAnsi="仿宋_GB2312" w:eastAsia="仿宋_GB2312" w:cs="仿宋_GB2312"/>
          <w:color w:val="auto"/>
          <w:sz w:val="32"/>
          <w:szCs w:val="32"/>
          <w:highlight w:val="none"/>
        </w:rPr>
        <w:t>：</w:t>
      </w:r>
    </w:p>
    <w:p>
      <w:pPr>
        <w:keepNext w:val="0"/>
        <w:keepLines w:val="0"/>
        <w:pageBreakBefore w:val="0"/>
        <w:kinsoku/>
        <w:wordWrap/>
        <w:overflowPunct/>
        <w:topLinePunct w:val="0"/>
        <w:autoSpaceDE w:val="0"/>
        <w:autoSpaceDN w:val="0"/>
        <w:bidi w:val="0"/>
        <w:adjustRightInd w:val="0"/>
        <w:spacing w:line="600" w:lineRule="exact"/>
        <w:ind w:firstLine="640" w:firstLineChars="200"/>
        <w:jc w:val="both"/>
        <w:textAlignment w:val="auto"/>
        <w:outlineLvl w:val="9"/>
        <w:rPr>
          <w:rFonts w:hint="eastAsia" w:ascii="仿宋_GB2312" w:hAnsi="仿宋_GB2312" w:eastAsia="仿宋_GB2312" w:cs="仿宋_GB2312"/>
          <w:b/>
          <w:color w:val="auto"/>
          <w:sz w:val="32"/>
          <w:highlight w:val="none"/>
        </w:rPr>
      </w:pPr>
      <w:r>
        <w:rPr>
          <w:rFonts w:hint="eastAsia" w:ascii="仿宋_GB2312" w:hAnsi="仿宋_GB2312" w:eastAsia="仿宋_GB2312" w:cs="仿宋_GB2312"/>
          <w:b w:val="0"/>
          <w:bCs/>
          <w:color w:val="auto"/>
          <w:sz w:val="32"/>
          <w:highlight w:val="none"/>
          <w:lang w:val="en-US" w:eastAsia="zh-CN"/>
        </w:rPr>
        <w:t>1.</w:t>
      </w:r>
      <w:r>
        <w:rPr>
          <w:rFonts w:hint="eastAsia" w:ascii="仿宋_GB2312" w:hAnsi="仿宋_GB2312" w:eastAsia="仿宋_GB2312" w:cs="仿宋_GB2312"/>
          <w:b w:val="0"/>
          <w:bCs/>
          <w:color w:val="auto"/>
          <w:sz w:val="32"/>
          <w:highlight w:val="none"/>
        </w:rPr>
        <w:t>强化预算编制审核力度，加快预算执行进度。</w:t>
      </w:r>
    </w:p>
    <w:p>
      <w:pPr>
        <w:keepNext w:val="0"/>
        <w:keepLines w:val="0"/>
        <w:pageBreakBefore w:val="0"/>
        <w:kinsoku/>
        <w:wordWrap/>
        <w:overflowPunct/>
        <w:topLinePunct w:val="0"/>
        <w:bidi w:val="0"/>
        <w:spacing w:line="600" w:lineRule="exact"/>
        <w:ind w:firstLine="716" w:firstLineChars="221"/>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严格按照新《预算法》要求，进一步强化预算编审力度，大力加强项目库建设，实施预算执行动态监控机制，有效发挥财</w:t>
      </w:r>
    </w:p>
    <w:p>
      <w:pPr>
        <w:keepNext w:val="0"/>
        <w:keepLines w:val="0"/>
        <w:pageBreakBefore w:val="0"/>
        <w:kinsoku/>
        <w:wordWrap/>
        <w:overflowPunct/>
        <w:topLinePunct w:val="0"/>
        <w:bidi w:val="0"/>
        <w:spacing w:line="600" w:lineRule="exact"/>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政资金使用效益。一是编实预算。坚持贯彻“大财政、大预算”</w:t>
      </w:r>
    </w:p>
    <w:p>
      <w:pPr>
        <w:keepNext w:val="0"/>
        <w:keepLines w:val="0"/>
        <w:pageBreakBefore w:val="0"/>
        <w:kinsoku/>
        <w:wordWrap/>
        <w:overflowPunct/>
        <w:topLinePunct w:val="0"/>
        <w:bidi w:val="0"/>
        <w:spacing w:line="600" w:lineRule="exact"/>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的理念，统筹资金来源渠道，集中财力支持保障中央和省委省政府部署的重大改革、重要政策和重点项目资金需求，不留“硬缺口”；优化完善因素法分配方式，提高专项资金分配准确性。二是督促地市做实项目库。结合开展省级预算编制执行监督管理改革宣贯工作，加大对全省各地项目库建设工作的实地巡查，督促指导地市建立完善项目库，做实做细项目储备。三是加强预算执行管理。强化预算执行分析监控，严格执行定期报表制度，开展资金使用进度跟踪，实行“一月一数据报送”，督促地市加快资金支出。</w:t>
      </w:r>
    </w:p>
    <w:p>
      <w:pPr>
        <w:keepNext w:val="0"/>
        <w:keepLines w:val="0"/>
        <w:pageBreakBefore w:val="0"/>
        <w:kinsoku/>
        <w:wordWrap/>
        <w:overflowPunct/>
        <w:topLinePunct w:val="0"/>
        <w:autoSpaceDE w:val="0"/>
        <w:autoSpaceDN w:val="0"/>
        <w:bidi w:val="0"/>
        <w:adjustRightInd w:val="0"/>
        <w:spacing w:line="600" w:lineRule="exact"/>
        <w:ind w:firstLine="640" w:firstLineChars="200"/>
        <w:jc w:val="both"/>
        <w:textAlignment w:val="auto"/>
        <w:outlineLvl w:val="9"/>
        <w:rPr>
          <w:rFonts w:hint="eastAsia" w:ascii="仿宋_GB2312" w:hAnsi="仿宋_GB2312" w:eastAsia="仿宋_GB2312" w:cs="仿宋_GB2312"/>
          <w:b w:val="0"/>
          <w:bCs/>
          <w:color w:val="auto"/>
          <w:sz w:val="32"/>
          <w:highlight w:val="none"/>
        </w:rPr>
      </w:pPr>
      <w:r>
        <w:rPr>
          <w:rFonts w:hint="eastAsia" w:ascii="仿宋_GB2312" w:hAnsi="仿宋_GB2312" w:eastAsia="仿宋_GB2312" w:cs="仿宋_GB2312"/>
          <w:b w:val="0"/>
          <w:bCs/>
          <w:color w:val="auto"/>
          <w:sz w:val="32"/>
          <w:highlight w:val="none"/>
          <w:lang w:val="en-US" w:eastAsia="zh-CN"/>
        </w:rPr>
        <w:t>2.</w:t>
      </w:r>
      <w:r>
        <w:rPr>
          <w:rFonts w:hint="eastAsia" w:ascii="仿宋_GB2312" w:hAnsi="仿宋_GB2312" w:eastAsia="仿宋_GB2312" w:cs="仿宋_GB2312"/>
          <w:b w:val="0"/>
          <w:bCs/>
          <w:color w:val="auto"/>
          <w:sz w:val="32"/>
          <w:highlight w:val="none"/>
        </w:rPr>
        <w:t>全面实施预算绩效管理，提高财政监管水平。</w:t>
      </w:r>
    </w:p>
    <w:p>
      <w:pPr>
        <w:keepNext w:val="0"/>
        <w:keepLines w:val="0"/>
        <w:pageBreakBefore w:val="0"/>
        <w:kinsoku/>
        <w:wordWrap/>
        <w:overflowPunct/>
        <w:topLinePunct w:val="0"/>
        <w:bidi w:val="0"/>
        <w:spacing w:line="600" w:lineRule="exact"/>
        <w:ind w:firstLine="716" w:firstLineChars="221"/>
        <w:jc w:val="both"/>
        <w:textAlignment w:val="auto"/>
        <w:outlineLvl w:val="9"/>
        <w:rPr>
          <w:rFonts w:hint="eastAsia" w:ascii="仿宋_GB2312" w:hAnsi="仿宋_GB2312" w:eastAsia="仿宋_GB2312" w:cs="仿宋_GB2312"/>
          <w:b w:val="0"/>
          <w:bCs/>
          <w:color w:val="auto"/>
          <w:spacing w:val="2"/>
          <w:sz w:val="32"/>
          <w:szCs w:val="32"/>
          <w:highlight w:val="none"/>
        </w:rPr>
      </w:pPr>
      <w:r>
        <w:rPr>
          <w:rFonts w:hint="eastAsia" w:ascii="仿宋_GB2312" w:hAnsi="仿宋_GB2312" w:eastAsia="仿宋_GB2312" w:cs="仿宋_GB2312"/>
          <w:b w:val="0"/>
          <w:bCs/>
          <w:color w:val="auto"/>
          <w:spacing w:val="2"/>
          <w:sz w:val="32"/>
          <w:szCs w:val="32"/>
          <w:highlight w:val="none"/>
        </w:rPr>
        <w:t>充分发挥财政监督检查职能，通过建立“全面覆盖、重点核查、专家论证、预算挂钩”的多层次、全方位的绩效评价体系，不断加大绩效检查力度，促进财政管理科学化，营造良好的财经秩序新环境。一是构建指标库，强化绩效目标审核，提高专项资金绩效目标设定的精准性、科学性，确保绩效目标审核达标。二是构建财政专项资金管理制度体系，完善资金管理办法、实施细则和操作指引，加强对地市工作的规范和指引。</w:t>
      </w:r>
    </w:p>
    <w:p>
      <w:pPr>
        <w:keepNext w:val="0"/>
        <w:keepLines w:val="0"/>
        <w:pageBreakBefore w:val="0"/>
        <w:kinsoku/>
        <w:wordWrap/>
        <w:overflowPunct/>
        <w:topLinePunct w:val="0"/>
        <w:bidi w:val="0"/>
        <w:spacing w:line="600" w:lineRule="exact"/>
        <w:ind w:firstLine="704" w:firstLineChars="220"/>
        <w:jc w:val="both"/>
        <w:textAlignment w:val="auto"/>
        <w:outlineLvl w:val="9"/>
        <w:rPr>
          <w:rFonts w:hint="eastAsia" w:ascii="仿宋_GB2312" w:hAnsi="仿宋_GB2312" w:eastAsia="仿宋_GB2312" w:cs="仿宋_GB2312"/>
          <w:b w:val="0"/>
          <w:bCs/>
          <w:color w:val="auto"/>
          <w:sz w:val="32"/>
          <w:highlight w:val="none"/>
        </w:rPr>
      </w:pPr>
      <w:r>
        <w:rPr>
          <w:rFonts w:hint="eastAsia" w:ascii="仿宋_GB2312" w:hAnsi="仿宋_GB2312" w:eastAsia="仿宋_GB2312" w:cs="仿宋_GB2312"/>
          <w:b w:val="0"/>
          <w:bCs/>
          <w:color w:val="auto"/>
          <w:sz w:val="32"/>
          <w:highlight w:val="none"/>
          <w:lang w:val="en-US" w:eastAsia="zh-CN"/>
        </w:rPr>
        <w:t>3.</w:t>
      </w:r>
      <w:r>
        <w:rPr>
          <w:rFonts w:hint="eastAsia" w:ascii="仿宋_GB2312" w:hAnsi="仿宋_GB2312" w:eastAsia="仿宋_GB2312" w:cs="仿宋_GB2312"/>
          <w:b w:val="0"/>
          <w:bCs/>
          <w:color w:val="auto"/>
          <w:sz w:val="32"/>
          <w:highlight w:val="none"/>
        </w:rPr>
        <w:t>加快推进项目的实施进度和结算审批，提高专项资金的使用效率。</w:t>
      </w:r>
    </w:p>
    <w:p>
      <w:pPr>
        <w:keepNext w:val="0"/>
        <w:keepLines w:val="0"/>
        <w:pageBreakBefore w:val="0"/>
        <w:kinsoku/>
        <w:wordWrap/>
        <w:overflowPunct/>
        <w:topLinePunct w:val="0"/>
        <w:bidi w:val="0"/>
        <w:spacing w:line="600" w:lineRule="exact"/>
        <w:ind w:firstLine="716" w:firstLineChars="221"/>
        <w:jc w:val="both"/>
        <w:textAlignment w:val="auto"/>
        <w:outlineLvl w:val="9"/>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pacing w:val="2"/>
          <w:sz w:val="32"/>
          <w:szCs w:val="32"/>
          <w:highlight w:val="none"/>
        </w:rPr>
        <w:t>各地市主管部门需督促各区县加快工作步伐，对项目进度及资金使用方向进行监管，对实施进度缓慢的项目采取有效措施，促使项目如期完成，减少和避免资金沉淀，提高专项资金的使用效率；对竣工项目，应尽快组织项目验收和决算审核，及时履行资金审批手续，严格按合同条款支付款项，确保专项资金的及时支付。</w:t>
      </w:r>
    </w:p>
    <w:p>
      <w:pPr>
        <w:keepNext w:val="0"/>
        <w:keepLines w:val="0"/>
        <w:pageBreakBefore w:val="0"/>
        <w:kinsoku/>
        <w:wordWrap/>
        <w:overflowPunct/>
        <w:topLinePunct w:val="0"/>
        <w:bidi w:val="0"/>
        <w:spacing w:line="600" w:lineRule="exact"/>
        <w:ind w:firstLine="704" w:firstLineChars="220"/>
        <w:jc w:val="both"/>
        <w:textAlignment w:val="auto"/>
        <w:outlineLvl w:val="9"/>
        <w:rPr>
          <w:rFonts w:hint="eastAsia" w:ascii="仿宋_GB2312" w:hAnsi="仿宋_GB2312" w:eastAsia="仿宋_GB2312" w:cs="仿宋_GB2312"/>
          <w:b w:val="0"/>
          <w:bCs/>
          <w:color w:val="auto"/>
          <w:sz w:val="32"/>
          <w:highlight w:val="none"/>
        </w:rPr>
      </w:pPr>
      <w:r>
        <w:rPr>
          <w:rFonts w:hint="eastAsia" w:ascii="仿宋_GB2312" w:hAnsi="仿宋_GB2312" w:eastAsia="仿宋_GB2312" w:cs="仿宋_GB2312"/>
          <w:b w:val="0"/>
          <w:bCs/>
          <w:color w:val="auto"/>
          <w:sz w:val="32"/>
          <w:highlight w:val="none"/>
          <w:lang w:val="en-US" w:eastAsia="zh-CN"/>
        </w:rPr>
        <w:t>4.</w:t>
      </w:r>
      <w:r>
        <w:rPr>
          <w:rFonts w:hint="eastAsia" w:ascii="仿宋_GB2312" w:hAnsi="仿宋_GB2312" w:eastAsia="仿宋_GB2312" w:cs="仿宋_GB2312"/>
          <w:b w:val="0"/>
          <w:bCs/>
          <w:color w:val="auto"/>
          <w:sz w:val="32"/>
          <w:highlight w:val="none"/>
        </w:rPr>
        <w:t>提前谋划项目，及时下拨专项资金。</w:t>
      </w:r>
    </w:p>
    <w:p>
      <w:pPr>
        <w:keepNext w:val="0"/>
        <w:keepLines w:val="0"/>
        <w:pageBreakBefore w:val="0"/>
        <w:kinsoku/>
        <w:wordWrap/>
        <w:overflowPunct/>
        <w:topLinePunct w:val="0"/>
        <w:bidi w:val="0"/>
        <w:spacing w:line="600" w:lineRule="exact"/>
        <w:ind w:firstLine="716" w:firstLineChars="221"/>
        <w:jc w:val="both"/>
        <w:textAlignment w:val="auto"/>
        <w:outlineLvl w:val="9"/>
        <w:rPr>
          <w:rFonts w:hint="eastAsia" w:ascii="仿宋_GB2312" w:hAnsi="仿宋_GB2312" w:eastAsia="仿宋_GB2312" w:cs="仿宋_GB2312"/>
          <w:b w:val="0"/>
          <w:bCs/>
          <w:color w:val="auto"/>
          <w:spacing w:val="2"/>
          <w:sz w:val="32"/>
          <w:szCs w:val="32"/>
          <w:highlight w:val="none"/>
        </w:rPr>
      </w:pPr>
      <w:r>
        <w:rPr>
          <w:rFonts w:hint="eastAsia" w:ascii="仿宋_GB2312" w:hAnsi="仿宋_GB2312" w:eastAsia="仿宋_GB2312" w:cs="仿宋_GB2312"/>
          <w:b w:val="0"/>
          <w:bCs/>
          <w:color w:val="auto"/>
          <w:spacing w:val="2"/>
          <w:sz w:val="32"/>
          <w:szCs w:val="32"/>
          <w:highlight w:val="none"/>
        </w:rPr>
        <w:t>各市县应提前做好项目谋划，地市主管部门应对项目资金安排</w:t>
      </w:r>
      <w:r>
        <w:rPr>
          <w:rFonts w:hint="eastAsia" w:ascii="仿宋_GB2312" w:hAnsi="仿宋_GB2312" w:eastAsia="仿宋_GB2312" w:cs="仿宋_GB2312"/>
          <w:b w:val="0"/>
          <w:bCs/>
          <w:color w:val="auto"/>
          <w:spacing w:val="2"/>
          <w:sz w:val="32"/>
          <w:szCs w:val="32"/>
          <w:highlight w:val="none"/>
          <w:lang w:eastAsia="zh-CN"/>
        </w:rPr>
        <w:t>作出</w:t>
      </w:r>
      <w:r>
        <w:rPr>
          <w:rFonts w:hint="eastAsia" w:ascii="仿宋_GB2312" w:hAnsi="仿宋_GB2312" w:eastAsia="仿宋_GB2312" w:cs="仿宋_GB2312"/>
          <w:b w:val="0"/>
          <w:bCs/>
          <w:color w:val="auto"/>
          <w:spacing w:val="2"/>
          <w:sz w:val="32"/>
          <w:szCs w:val="32"/>
          <w:highlight w:val="none"/>
        </w:rPr>
        <w:t>合理预判，做好二次分配与三次分配的衔接和完善项目库管理，并在收到省级资金和任务清单后的30日内制订资金分配方案，严格按省厅任务清单中约束性任务安排资金，结合工程项目计划，合理分配上级补助资金，各区县财局收到省级资金时，应及时通知资金使用单位或将资金下拨给资金使用单位，确保项目顺利实施。</w:t>
      </w:r>
    </w:p>
    <w:p>
      <w:pPr>
        <w:keepNext w:val="0"/>
        <w:keepLines w:val="0"/>
        <w:pageBreakBefore w:val="0"/>
        <w:kinsoku/>
        <w:wordWrap/>
        <w:overflowPunct/>
        <w:topLinePunct w:val="0"/>
        <w:bidi w:val="0"/>
        <w:spacing w:line="600" w:lineRule="exact"/>
        <w:ind w:firstLine="704" w:firstLineChars="220"/>
        <w:jc w:val="both"/>
        <w:textAlignment w:val="auto"/>
        <w:outlineLvl w:val="9"/>
        <w:rPr>
          <w:rFonts w:hint="eastAsia" w:ascii="仿宋_GB2312" w:hAnsi="仿宋_GB2312" w:eastAsia="仿宋_GB2312" w:cs="仿宋_GB2312"/>
          <w:b w:val="0"/>
          <w:bCs/>
          <w:color w:val="auto"/>
          <w:sz w:val="32"/>
          <w:szCs w:val="32"/>
          <w:highlight w:val="none"/>
        </w:rPr>
      </w:pPr>
      <w:bookmarkStart w:id="1" w:name="_Hlk18048480"/>
      <w:bookmarkStart w:id="2" w:name="_Toc21700"/>
      <w:bookmarkStart w:id="3" w:name="_Toc19045"/>
      <w:bookmarkStart w:id="4" w:name="_Toc12785806"/>
      <w:bookmarkStart w:id="5" w:name="_Toc14332"/>
      <w:bookmarkStart w:id="6" w:name="_Toc17034"/>
      <w:bookmarkStart w:id="7" w:name="_Toc12794510"/>
      <w:bookmarkStart w:id="8" w:name="_Toc12793552"/>
      <w:bookmarkStart w:id="9" w:name="_Toc24662"/>
      <w:r>
        <w:rPr>
          <w:rFonts w:hint="eastAsia" w:ascii="仿宋_GB2312" w:hAnsi="仿宋_GB2312" w:eastAsia="仿宋_GB2312" w:cs="仿宋_GB2312"/>
          <w:b w:val="0"/>
          <w:bCs/>
          <w:color w:val="auto"/>
          <w:sz w:val="32"/>
          <w:highlight w:val="none"/>
          <w:lang w:val="en-US" w:eastAsia="zh-CN"/>
        </w:rPr>
        <w:t>5.</w:t>
      </w:r>
      <w:r>
        <w:rPr>
          <w:rFonts w:hint="eastAsia" w:ascii="仿宋_GB2312" w:hAnsi="仿宋_GB2312" w:eastAsia="仿宋_GB2312" w:cs="仿宋_GB2312"/>
          <w:b w:val="0"/>
          <w:bCs/>
          <w:color w:val="auto"/>
          <w:sz w:val="32"/>
          <w:szCs w:val="32"/>
          <w:highlight w:val="none"/>
        </w:rPr>
        <w:t>优化绩效目标设定，使得目标更加科学、合理。</w:t>
      </w:r>
    </w:p>
    <w:bookmarkEnd w:id="1"/>
    <w:p>
      <w:pPr>
        <w:keepNext w:val="0"/>
        <w:keepLines w:val="0"/>
        <w:pageBreakBefore w:val="0"/>
        <w:kinsoku/>
        <w:wordWrap/>
        <w:overflowPunct/>
        <w:topLinePunct w:val="0"/>
        <w:bidi w:val="0"/>
        <w:spacing w:line="600" w:lineRule="exact"/>
        <w:ind w:firstLine="640" w:firstLineChars="200"/>
        <w:jc w:val="both"/>
        <w:textAlignment w:val="auto"/>
        <w:outlineLvl w:val="9"/>
        <w:rPr>
          <w:rFonts w:hint="eastAsia" w:ascii="仿宋_GB2312" w:hAnsi="仿宋_GB2312" w:eastAsia="仿宋_GB2312" w:cs="仿宋_GB2312"/>
          <w:b w:val="0"/>
          <w:bCs/>
          <w:color w:val="auto"/>
          <w:sz w:val="32"/>
          <w:highlight w:val="none"/>
        </w:rPr>
      </w:pPr>
      <w:r>
        <w:rPr>
          <w:rFonts w:hint="eastAsia" w:ascii="仿宋_GB2312" w:hAnsi="仿宋_GB2312" w:eastAsia="仿宋_GB2312" w:cs="仿宋_GB2312"/>
          <w:b w:val="0"/>
          <w:bCs/>
          <w:color w:val="auto"/>
          <w:sz w:val="32"/>
          <w:highlight w:val="none"/>
        </w:rPr>
        <w:t>我厅应紧扣项目支出设定相关指标，充分体现项目主要支出内容。目标设置需充分体现支出内容及项目属性特点，作为经常性项目支出，可增加规范（或标准）完成制定数量，检查指导次数，编写相关研究报告数量，成果审查（或验收）一次性通过率等产出指标。</w:t>
      </w:r>
    </w:p>
    <w:bookmarkEnd w:id="2"/>
    <w:bookmarkEnd w:id="3"/>
    <w:bookmarkEnd w:id="4"/>
    <w:bookmarkEnd w:id="5"/>
    <w:bookmarkEnd w:id="6"/>
    <w:bookmarkEnd w:id="7"/>
    <w:bookmarkEnd w:id="8"/>
    <w:bookmarkEnd w:id="9"/>
    <w:p>
      <w:pPr>
        <w:keepNext w:val="0"/>
        <w:keepLines w:val="0"/>
        <w:pageBreakBefore w:val="0"/>
        <w:kinsoku/>
        <w:wordWrap/>
        <w:overflowPunct/>
        <w:topLinePunct w:val="0"/>
        <w:bidi w:val="0"/>
        <w:spacing w:line="600" w:lineRule="exact"/>
        <w:ind w:firstLine="640" w:firstLineChars="200"/>
        <w:jc w:val="both"/>
        <w:textAlignment w:val="auto"/>
        <w:outlineLvl w:val="9"/>
        <w:rPr>
          <w:rFonts w:hint="eastAsia" w:ascii="仿宋_GB2312" w:hAnsi="仿宋_GB2312" w:eastAsia="仿宋_GB2312" w:cs="仿宋_GB2312"/>
          <w:b w:val="0"/>
          <w:bCs/>
          <w:color w:val="auto"/>
          <w:sz w:val="32"/>
          <w:highlight w:val="none"/>
        </w:rPr>
      </w:pPr>
      <w:r>
        <w:rPr>
          <w:rFonts w:hint="eastAsia" w:ascii="仿宋_GB2312" w:hAnsi="仿宋_GB2312" w:eastAsia="仿宋_GB2312" w:cs="仿宋_GB2312"/>
          <w:b w:val="0"/>
          <w:bCs/>
          <w:color w:val="auto"/>
          <w:sz w:val="32"/>
          <w:highlight w:val="none"/>
          <w:lang w:val="en-US" w:eastAsia="zh-CN"/>
        </w:rPr>
        <w:t>6.</w:t>
      </w:r>
      <w:r>
        <w:rPr>
          <w:rFonts w:hint="eastAsia" w:ascii="仿宋_GB2312" w:hAnsi="仿宋_GB2312" w:eastAsia="仿宋_GB2312" w:cs="仿宋_GB2312"/>
          <w:b w:val="0"/>
          <w:bCs/>
          <w:color w:val="auto"/>
          <w:sz w:val="32"/>
          <w:highlight w:val="none"/>
        </w:rPr>
        <w:t>细化项目支出年初预算，减少预算调整。</w:t>
      </w:r>
    </w:p>
    <w:p>
      <w:pPr>
        <w:keepNext w:val="0"/>
        <w:keepLines w:val="0"/>
        <w:pageBreakBefore w:val="0"/>
        <w:kinsoku/>
        <w:wordWrap/>
        <w:overflowPunct/>
        <w:topLinePunct w:val="0"/>
        <w:bidi w:val="0"/>
        <w:spacing w:line="600" w:lineRule="exact"/>
        <w:ind w:left="3" w:firstLine="640" w:firstLineChars="200"/>
        <w:jc w:val="both"/>
        <w:textAlignment w:val="auto"/>
        <w:outlineLvl w:val="9"/>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rPr>
        <w:t>我厅应强化预算编制管理，按照省级财政专项资金管理办法的要求，更加合理地使用专项资金。预算编制更加科学和精准，进一步做细、做实、做准部门预算，提高项目支出预算精细化水平，强化预算约束。</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三、其他自评情况</w:t>
      </w:r>
    </w:p>
    <w:p>
      <w:pPr>
        <w:keepNext w:val="0"/>
        <w:keepLines w:val="0"/>
        <w:pageBreakBefore w:val="0"/>
        <w:kinsoku/>
        <w:wordWrap/>
        <w:overflowPunct/>
        <w:topLinePunct w:val="0"/>
        <w:bidi w:val="0"/>
        <w:adjustRightInd w:val="0"/>
        <w:snapToGrid w:val="0"/>
        <w:spacing w:line="600" w:lineRule="exact"/>
        <w:ind w:firstLine="648" w:firstLineChars="200"/>
        <w:jc w:val="both"/>
        <w:textAlignment w:val="auto"/>
        <w:outlineLvl w:val="9"/>
        <w:rPr>
          <w:rFonts w:hint="eastAsia" w:ascii="仿宋_GB2312" w:hAnsi="仿宋_GB2312" w:eastAsia="仿宋_GB2312" w:cs="仿宋_GB2312"/>
          <w:color w:val="auto"/>
          <w:spacing w:val="2"/>
          <w:sz w:val="32"/>
          <w:szCs w:val="32"/>
          <w:highlight w:val="none"/>
        </w:rPr>
      </w:pPr>
      <w:r>
        <w:rPr>
          <w:rFonts w:hint="eastAsia" w:ascii="仿宋_GB2312" w:hAnsi="仿宋_GB2312" w:eastAsia="仿宋_GB2312" w:cs="仿宋_GB2312"/>
          <w:color w:val="auto"/>
          <w:spacing w:val="2"/>
          <w:sz w:val="32"/>
          <w:szCs w:val="32"/>
          <w:highlight w:val="none"/>
        </w:rPr>
        <w:t>为做好部门整体支出绩效自评工作，完整真实地反映支出情况，还对我厅2020年度下属单位整体支出和专项资金进行了绩效自评，包括：</w:t>
      </w:r>
      <w:r>
        <w:rPr>
          <w:rFonts w:hint="eastAsia" w:ascii="仿宋_GB2312" w:hAnsi="仿宋_GB2312" w:eastAsia="仿宋_GB2312" w:cs="仿宋_GB2312"/>
          <w:color w:val="auto"/>
          <w:sz w:val="32"/>
          <w:szCs w:val="32"/>
          <w:highlight w:val="none"/>
        </w:rPr>
        <w:t>广东省建设工程标准定额站整体绩效自评报告、</w:t>
      </w:r>
      <w:r>
        <w:rPr>
          <w:rFonts w:hint="eastAsia" w:ascii="仿宋_GB2312" w:hAnsi="仿宋_GB2312" w:eastAsia="仿宋_GB2312" w:cs="仿宋_GB2312"/>
          <w:color w:val="auto"/>
          <w:spacing w:val="2"/>
          <w:sz w:val="32"/>
          <w:szCs w:val="32"/>
          <w:highlight w:val="none"/>
        </w:rPr>
        <w:t>2020年镇级污水处理设施运维资金89</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522万元项目绩效自评报告、2020年农村削坡建房风险排查专项资金5</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000万元项目绩效自评报告、社区体育公园建设补助资金4</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500万元项目绩效自评报告、2020年打好污染防治攻坚战-环境监管能力建设-环境保护与监管能力建设资金673万元项目绩效自评报告、城镇老旧小区改造省级补助资金700万元项目绩效自评报告、生活垃圾无害化处理设施运营及垃圾分类资金13</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000万元、生活垃圾分类专项资金13</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000万元项目绩效自评报告、黑臭水体治理资金和城市（县城）污水管网配套建设资金32</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500万元、老旧管网改造资金32</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500万元项目绩效自评报告、绿色循环发展与节能降耗专项资金1</w:t>
      </w:r>
      <w:r>
        <w:rPr>
          <w:rFonts w:hint="eastAsia" w:ascii="仿宋_GB2312" w:hAnsi="仿宋_GB2312" w:eastAsia="仿宋_GB2312" w:cs="仿宋_GB2312"/>
          <w:color w:val="auto"/>
          <w:spacing w:val="2"/>
          <w:sz w:val="32"/>
          <w:szCs w:val="32"/>
          <w:highlight w:val="none"/>
          <w:lang w:val="en-US" w:eastAsia="zh-CN"/>
        </w:rPr>
        <w:t>,</w:t>
      </w:r>
      <w:r>
        <w:rPr>
          <w:rFonts w:hint="eastAsia" w:ascii="仿宋_GB2312" w:hAnsi="仿宋_GB2312" w:eastAsia="仿宋_GB2312" w:cs="仿宋_GB2312"/>
          <w:color w:val="auto"/>
          <w:spacing w:val="2"/>
          <w:sz w:val="32"/>
          <w:szCs w:val="32"/>
          <w:highlight w:val="none"/>
        </w:rPr>
        <w:t>200万元项目绩效自评报告。</w:t>
      </w:r>
    </w:p>
    <w:p>
      <w:pPr>
        <w:keepNext w:val="0"/>
        <w:keepLines w:val="0"/>
        <w:pageBreakBefore w:val="0"/>
        <w:kinsoku/>
        <w:wordWrap/>
        <w:overflowPunct/>
        <w:topLinePunct w:val="0"/>
        <w:bidi w:val="0"/>
        <w:adjustRightInd w:val="0"/>
        <w:snapToGrid w:val="0"/>
        <w:spacing w:line="600" w:lineRule="exact"/>
        <w:ind w:firstLine="640" w:firstLineChars="200"/>
        <w:jc w:val="both"/>
        <w:textAlignment w:val="auto"/>
        <w:outlineLvl w:val="9"/>
        <w:rPr>
          <w:rFonts w:ascii="仿宋" w:hAnsi="仿宋" w:eastAsia="仿宋" w:cs="楷体_GB2312"/>
          <w:b/>
          <w:bCs/>
          <w:color w:val="auto"/>
          <w:sz w:val="32"/>
          <w:szCs w:val="32"/>
          <w:highlight w:val="none"/>
        </w:rPr>
      </w:pPr>
      <w:r>
        <w:rPr>
          <w:rFonts w:hint="eastAsia" w:ascii="黑体" w:hAnsi="黑体" w:eastAsia="黑体" w:cs="黑体"/>
          <w:b w:val="0"/>
          <w:bCs w:val="0"/>
          <w:color w:val="auto"/>
          <w:sz w:val="32"/>
          <w:szCs w:val="32"/>
          <w:highlight w:val="none"/>
        </w:rPr>
        <w:t>四、加减分项</w:t>
      </w:r>
    </w:p>
    <w:p>
      <w:pPr>
        <w:keepNext w:val="0"/>
        <w:keepLines w:val="0"/>
        <w:pageBreakBefore w:val="0"/>
        <w:kinsoku/>
        <w:wordWrap/>
        <w:overflowPunct/>
        <w:topLinePunct w:val="0"/>
        <w:bidi w:val="0"/>
        <w:spacing w:line="600" w:lineRule="exact"/>
        <w:ind w:left="3" w:firstLine="640" w:firstLineChars="200"/>
        <w:jc w:val="both"/>
        <w:textAlignment w:val="auto"/>
        <w:outlineLvl w:val="9"/>
        <w:rPr>
          <w:rFonts w:ascii="仿宋_GB2312" w:hAnsi="仿宋_GB2312" w:eastAsia="仿宋_GB2312" w:cs="仿宋_GB2312"/>
          <w:color w:val="auto"/>
          <w:sz w:val="32"/>
          <w:highlight w:val="none"/>
        </w:rPr>
      </w:pPr>
      <w:r>
        <w:rPr>
          <w:rFonts w:ascii="仿宋_GB2312" w:hAnsi="仿宋_GB2312" w:eastAsia="仿宋_GB2312" w:cs="仿宋_GB2312"/>
          <w:color w:val="auto"/>
          <w:sz w:val="32"/>
          <w:highlight w:val="none"/>
        </w:rPr>
        <w:t>工作表现加减分指标。该项指标反映</w:t>
      </w:r>
      <w:r>
        <w:rPr>
          <w:rFonts w:hint="eastAsia" w:ascii="仿宋_GB2312" w:hAnsi="仿宋_GB2312" w:eastAsia="仿宋_GB2312" w:cs="仿宋_GB2312"/>
          <w:color w:val="auto"/>
          <w:sz w:val="32"/>
          <w:highlight w:val="none"/>
        </w:rPr>
        <w:t>部门预算管理工作受表彰或批评的相关情况</w:t>
      </w:r>
      <w:r>
        <w:rPr>
          <w:rFonts w:ascii="仿宋_GB2312" w:hAnsi="仿宋_GB2312" w:eastAsia="仿宋_GB2312" w:cs="仿宋_GB2312"/>
          <w:color w:val="auto"/>
          <w:sz w:val="32"/>
          <w:highlight w:val="none"/>
        </w:rPr>
        <w:t>。指标合计加</w:t>
      </w:r>
      <w:r>
        <w:rPr>
          <w:rFonts w:hint="eastAsia" w:ascii="仿宋_GB2312" w:hAnsi="仿宋_GB2312" w:eastAsia="仿宋_GB2312" w:cs="仿宋_GB2312"/>
          <w:color w:val="auto"/>
          <w:sz w:val="32"/>
          <w:highlight w:val="none"/>
        </w:rPr>
        <w:t>8分。</w:t>
      </w:r>
    </w:p>
    <w:p>
      <w:pPr>
        <w:keepNext w:val="0"/>
        <w:keepLines w:val="0"/>
        <w:pageBreakBefore w:val="0"/>
        <w:kinsoku/>
        <w:wordWrap/>
        <w:overflowPunct/>
        <w:topLinePunct w:val="0"/>
        <w:bidi w:val="0"/>
        <w:spacing w:line="600" w:lineRule="exact"/>
        <w:ind w:left="3" w:firstLine="640" w:firstLineChars="200"/>
        <w:jc w:val="both"/>
        <w:textAlignment w:val="auto"/>
        <w:outlineLvl w:val="9"/>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rPr>
        <w:t>1</w:t>
      </w:r>
      <w:r>
        <w:rPr>
          <w:rFonts w:hint="eastAsia" w:ascii="仿宋_GB2312" w:hAnsi="仿宋_GB2312" w:eastAsia="仿宋_GB2312" w:cs="仿宋_GB2312"/>
          <w:color w:val="auto"/>
          <w:sz w:val="32"/>
          <w:highlight w:val="none"/>
          <w:lang w:eastAsia="zh-CN"/>
        </w:rPr>
        <w:t>.</w:t>
      </w:r>
      <w:r>
        <w:rPr>
          <w:rFonts w:hint="eastAsia" w:ascii="仿宋_GB2312" w:hAnsi="仿宋_GB2312" w:eastAsia="仿宋_GB2312" w:cs="仿宋_GB2312"/>
          <w:color w:val="auto"/>
          <w:sz w:val="32"/>
          <w:highlight w:val="none"/>
        </w:rPr>
        <w:t>《关于2019年度省直行政事业单位部门决算工作情况的通报》，我厅2020年完成的部门决算编报工作获得省财政厅通报表扬。</w:t>
      </w:r>
    </w:p>
    <w:p>
      <w:pPr>
        <w:keepNext w:val="0"/>
        <w:keepLines w:val="0"/>
        <w:pageBreakBefore w:val="0"/>
        <w:kinsoku/>
        <w:wordWrap/>
        <w:overflowPunct/>
        <w:topLinePunct w:val="0"/>
        <w:bidi w:val="0"/>
        <w:spacing w:line="600" w:lineRule="exact"/>
        <w:ind w:left="3" w:firstLine="640" w:firstLineChars="200"/>
        <w:jc w:val="both"/>
        <w:textAlignment w:val="auto"/>
        <w:outlineLvl w:val="9"/>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eastAsia="zh-CN"/>
        </w:rPr>
        <w:t>2.</w:t>
      </w:r>
      <w:r>
        <w:rPr>
          <w:rFonts w:hint="eastAsia" w:ascii="仿宋_GB2312" w:hAnsi="仿宋_GB2312" w:eastAsia="仿宋_GB2312" w:cs="仿宋_GB2312"/>
          <w:color w:val="auto"/>
          <w:sz w:val="32"/>
          <w:highlight w:val="none"/>
        </w:rPr>
        <w:t>根据《情况通报——广东省财政厅关于2019年度行政事业性国有资产年报工作情况的通报》，我厅2020年完成的部门国有资产年报工作获得省财政厅通报表扬。</w:t>
      </w:r>
    </w:p>
    <w:p>
      <w:pPr>
        <w:keepNext w:val="0"/>
        <w:keepLines w:val="0"/>
        <w:pageBreakBefore w:val="0"/>
        <w:kinsoku/>
        <w:wordWrap/>
        <w:overflowPunct/>
        <w:topLinePunct w:val="0"/>
        <w:bidi w:val="0"/>
        <w:spacing w:line="600" w:lineRule="exact"/>
        <w:ind w:left="3" w:firstLine="640" w:firstLineChars="200"/>
        <w:jc w:val="both"/>
        <w:textAlignment w:val="auto"/>
        <w:outlineLvl w:val="9"/>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eastAsia="zh-CN"/>
        </w:rPr>
        <w:t>3.</w:t>
      </w:r>
      <w:r>
        <w:rPr>
          <w:rFonts w:hint="eastAsia" w:ascii="仿宋_GB2312" w:hAnsi="仿宋_GB2312" w:eastAsia="仿宋_GB2312" w:cs="仿宋_GB2312"/>
          <w:color w:val="auto"/>
          <w:sz w:val="32"/>
          <w:highlight w:val="none"/>
        </w:rPr>
        <w:t>2020年争取中央资金较2019年增加了95</w:t>
      </w:r>
      <w:r>
        <w:rPr>
          <w:rFonts w:hint="eastAsia" w:ascii="仿宋_GB2312" w:hAnsi="仿宋_GB2312" w:eastAsia="仿宋_GB2312" w:cs="仿宋_GB2312"/>
          <w:color w:val="auto"/>
          <w:sz w:val="32"/>
          <w:highlight w:val="none"/>
          <w:lang w:val="en-US" w:eastAsia="zh-CN"/>
        </w:rPr>
        <w:t>,</w:t>
      </w:r>
      <w:r>
        <w:rPr>
          <w:rFonts w:hint="eastAsia" w:ascii="仿宋_GB2312" w:hAnsi="仿宋_GB2312" w:eastAsia="仿宋_GB2312" w:cs="仿宋_GB2312"/>
          <w:color w:val="auto"/>
          <w:sz w:val="32"/>
          <w:highlight w:val="none"/>
        </w:rPr>
        <w:t>644.31万元。 </w:t>
      </w:r>
    </w:p>
    <w:p>
      <w:pPr>
        <w:keepNext w:val="0"/>
        <w:keepLines w:val="0"/>
        <w:pageBreakBefore w:val="0"/>
        <w:kinsoku/>
        <w:wordWrap/>
        <w:overflowPunct/>
        <w:topLinePunct w:val="0"/>
        <w:bidi w:val="0"/>
        <w:spacing w:line="600" w:lineRule="exact"/>
        <w:ind w:left="3" w:firstLine="640" w:firstLineChars="200"/>
        <w:jc w:val="both"/>
        <w:textAlignment w:val="auto"/>
        <w:outlineLvl w:val="9"/>
        <w:rPr>
          <w:rFonts w:ascii="仿宋_GB2312" w:hAnsi="仿宋_GB2312" w:eastAsia="仿宋_GB2312" w:cs="仿宋_GB2312"/>
          <w:color w:val="auto"/>
          <w:sz w:val="32"/>
          <w:highlight w:val="none"/>
        </w:rPr>
      </w:pPr>
      <w:r>
        <w:rPr>
          <w:rFonts w:hint="eastAsia" w:ascii="仿宋_GB2312" w:hAnsi="仿宋_GB2312" w:eastAsia="仿宋_GB2312" w:cs="仿宋_GB2312"/>
          <w:color w:val="auto"/>
          <w:sz w:val="32"/>
          <w:highlight w:val="none"/>
          <w:lang w:val="en-US" w:eastAsia="zh-CN"/>
        </w:rPr>
        <w:t>4.</w:t>
      </w:r>
      <w:r>
        <w:rPr>
          <w:rFonts w:hint="eastAsia" w:ascii="仿宋_GB2312" w:hAnsi="仿宋_GB2312" w:eastAsia="仿宋_GB2312" w:cs="仿宋_GB2312"/>
          <w:color w:val="auto"/>
          <w:sz w:val="32"/>
          <w:highlight w:val="none"/>
        </w:rPr>
        <w:t>部门积极主动参与预算管理改革，积极开展预算改革专题培训，提升部门内部预算管理水平，加强和规范主管专项资金管理，积极做好项目储备，2020年7月部门预算、专项资金、其他事业发展性支出项目储备入库率均超100%。</w:t>
      </w:r>
    </w:p>
    <w:p>
      <w:pPr>
        <w:keepNext w:val="0"/>
        <w:keepLines w:val="0"/>
        <w:pageBreakBefore w:val="0"/>
        <w:kinsoku/>
        <w:wordWrap/>
        <w:overflowPunct/>
        <w:topLinePunct w:val="0"/>
        <w:bidi w:val="0"/>
        <w:spacing w:line="600" w:lineRule="exact"/>
        <w:jc w:val="both"/>
        <w:textAlignment w:val="auto"/>
        <w:rPr>
          <w:highlight w:val="none"/>
        </w:rPr>
      </w:pPr>
    </w:p>
    <w:sectPr>
      <w:footerReference r:id="rId3" w:type="default"/>
      <w:pgSz w:w="11906" w:h="16838"/>
      <w:pgMar w:top="1803" w:right="1440" w:bottom="1803"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7785" cy="13144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4.55pt;mso-position-horizontal:right;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L3UTQAAAA&#10;AgEAAA8AAAAAAAAAAQAgAAAAIgAAAGRycy9kb3ducmV2LnhtbFBLAQIUABQAAAAIAIdO4kB4rSfS&#10;7AEAALMDAAAOAAAAAAAAAAEAIAAAAB8BAABkcnMvZTJvRG9jLnhtbFBLBQYAAAAABgAGAFkBAAB9&#10;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8</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46C"/>
    <w:rsid w:val="000538D1"/>
    <w:rsid w:val="00063E25"/>
    <w:rsid w:val="00107B4B"/>
    <w:rsid w:val="0011248E"/>
    <w:rsid w:val="001156BE"/>
    <w:rsid w:val="00115E58"/>
    <w:rsid w:val="00121B60"/>
    <w:rsid w:val="00184657"/>
    <w:rsid w:val="00193142"/>
    <w:rsid w:val="001A754F"/>
    <w:rsid w:val="002048C4"/>
    <w:rsid w:val="0021586F"/>
    <w:rsid w:val="0022743B"/>
    <w:rsid w:val="00245217"/>
    <w:rsid w:val="0026313F"/>
    <w:rsid w:val="0028502D"/>
    <w:rsid w:val="00286EB3"/>
    <w:rsid w:val="002A483F"/>
    <w:rsid w:val="002C39FE"/>
    <w:rsid w:val="0035480B"/>
    <w:rsid w:val="003C706E"/>
    <w:rsid w:val="003D2A3B"/>
    <w:rsid w:val="0045346C"/>
    <w:rsid w:val="00465C82"/>
    <w:rsid w:val="0047486E"/>
    <w:rsid w:val="004A2719"/>
    <w:rsid w:val="004D136D"/>
    <w:rsid w:val="004E143A"/>
    <w:rsid w:val="004E716E"/>
    <w:rsid w:val="004F03CA"/>
    <w:rsid w:val="00512625"/>
    <w:rsid w:val="00544FF4"/>
    <w:rsid w:val="0057390E"/>
    <w:rsid w:val="005A3BC2"/>
    <w:rsid w:val="005D121E"/>
    <w:rsid w:val="0060582E"/>
    <w:rsid w:val="00721AF5"/>
    <w:rsid w:val="00794373"/>
    <w:rsid w:val="007C6728"/>
    <w:rsid w:val="008E6B7D"/>
    <w:rsid w:val="00A65E6B"/>
    <w:rsid w:val="00A948BF"/>
    <w:rsid w:val="00AA01BC"/>
    <w:rsid w:val="00AF7A0A"/>
    <w:rsid w:val="00B61920"/>
    <w:rsid w:val="00BD13D6"/>
    <w:rsid w:val="00C03079"/>
    <w:rsid w:val="00C159FB"/>
    <w:rsid w:val="00C27866"/>
    <w:rsid w:val="00C65F30"/>
    <w:rsid w:val="00CB44CB"/>
    <w:rsid w:val="00D06293"/>
    <w:rsid w:val="00D848CD"/>
    <w:rsid w:val="00DA3595"/>
    <w:rsid w:val="00DB408F"/>
    <w:rsid w:val="00DD5371"/>
    <w:rsid w:val="00DE2CF6"/>
    <w:rsid w:val="00E52698"/>
    <w:rsid w:val="00E6410E"/>
    <w:rsid w:val="00F007CE"/>
    <w:rsid w:val="00F02E79"/>
    <w:rsid w:val="00F72E1B"/>
    <w:rsid w:val="00FC6D58"/>
    <w:rsid w:val="00FE52E4"/>
    <w:rsid w:val="00FF0600"/>
    <w:rsid w:val="03736D0F"/>
    <w:rsid w:val="0B7142B7"/>
    <w:rsid w:val="12B23676"/>
    <w:rsid w:val="152C594D"/>
    <w:rsid w:val="19735EFB"/>
    <w:rsid w:val="1C326A08"/>
    <w:rsid w:val="1DD96D8C"/>
    <w:rsid w:val="1F8E33C6"/>
    <w:rsid w:val="27266F46"/>
    <w:rsid w:val="2FD711C4"/>
    <w:rsid w:val="33E73DEC"/>
    <w:rsid w:val="42BA3EC7"/>
    <w:rsid w:val="4CDC739A"/>
    <w:rsid w:val="52E27888"/>
    <w:rsid w:val="53EF119D"/>
    <w:rsid w:val="55EA399A"/>
    <w:rsid w:val="5715297D"/>
    <w:rsid w:val="5A7A743D"/>
    <w:rsid w:val="5B472013"/>
    <w:rsid w:val="5BAB4C17"/>
    <w:rsid w:val="5CCB673B"/>
    <w:rsid w:val="5F247390"/>
    <w:rsid w:val="64F47601"/>
    <w:rsid w:val="6B84737D"/>
    <w:rsid w:val="706B286E"/>
    <w:rsid w:val="73D44700"/>
    <w:rsid w:val="7791249F"/>
    <w:rsid w:val="7A0E4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link w:val="14"/>
    <w:qFormat/>
    <w:uiPriority w:val="1"/>
    <w:pPr>
      <w:ind w:left="470"/>
      <w:jc w:val="left"/>
    </w:pPr>
    <w:rPr>
      <w:rFonts w:ascii="宋体" w:hAnsi="宋体"/>
      <w:kern w:val="0"/>
      <w:sz w:val="32"/>
      <w:szCs w:val="32"/>
      <w:lang w:eastAsia="en-US"/>
    </w:rPr>
  </w:style>
  <w:style w:type="paragraph" w:styleId="3">
    <w:name w:val="Plain Text"/>
    <w:basedOn w:val="1"/>
    <w:link w:val="15"/>
    <w:unhideWhenUsed/>
    <w:qFormat/>
    <w:uiPriority w:val="0"/>
    <w:rPr>
      <w:rFonts w:hint="eastAsia" w:ascii="宋体" w:hAnsi="Courier New"/>
      <w:szCs w:val="20"/>
    </w:rPr>
  </w:style>
  <w:style w:type="paragraph" w:styleId="4">
    <w:name w:val="Balloon Text"/>
    <w:basedOn w:val="1"/>
    <w:link w:val="13"/>
    <w:qFormat/>
    <w:uiPriority w:val="0"/>
    <w:rPr>
      <w:sz w:val="18"/>
      <w:szCs w:val="18"/>
    </w:rPr>
  </w:style>
  <w:style w:type="paragraph" w:styleId="5">
    <w:name w:val="footer"/>
    <w:basedOn w:val="1"/>
    <w:link w:val="10"/>
    <w:unhideWhenUsed/>
    <w:qFormat/>
    <w:uiPriority w:val="0"/>
    <w:pPr>
      <w:tabs>
        <w:tab w:val="center" w:pos="4153"/>
        <w:tab w:val="right" w:pos="8306"/>
      </w:tabs>
      <w:snapToGrid w:val="0"/>
      <w:jc w:val="left"/>
    </w:pPr>
    <w:rPr>
      <w:sz w:val="18"/>
      <w:szCs w:val="18"/>
    </w:rPr>
  </w:style>
  <w:style w:type="paragraph" w:styleId="6">
    <w:name w:val="header"/>
    <w:basedOn w:val="1"/>
    <w:link w:val="9"/>
    <w:unhideWhenUsed/>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99"/>
    <w:rPr>
      <w:sz w:val="18"/>
      <w:szCs w:val="18"/>
    </w:rPr>
  </w:style>
  <w:style w:type="character" w:customStyle="1" w:styleId="10">
    <w:name w:val="页脚 Char"/>
    <w:basedOn w:val="7"/>
    <w:link w:val="5"/>
    <w:qFormat/>
    <w:uiPriority w:val="99"/>
    <w:rPr>
      <w:sz w:val="18"/>
      <w:szCs w:val="18"/>
    </w:rPr>
  </w:style>
  <w:style w:type="paragraph" w:customStyle="1" w:styleId="11">
    <w:name w:val="Char Char"/>
    <w:basedOn w:val="1"/>
    <w:qFormat/>
    <w:uiPriority w:val="0"/>
    <w:pPr>
      <w:widowControl/>
      <w:adjustRightInd w:val="0"/>
      <w:spacing w:after="160" w:line="240" w:lineRule="exact"/>
      <w:jc w:val="left"/>
    </w:pPr>
    <w:rPr>
      <w:rFonts w:ascii="Verdana" w:hAnsi="Verdana"/>
      <w:kern w:val="0"/>
      <w:sz w:val="20"/>
      <w:szCs w:val="20"/>
      <w:lang w:eastAsia="en-US"/>
    </w:rPr>
  </w:style>
  <w:style w:type="paragraph" w:customStyle="1" w:styleId="12">
    <w:name w:val="_Style 1"/>
    <w:basedOn w:val="1"/>
    <w:qFormat/>
    <w:uiPriority w:val="0"/>
    <w:pPr>
      <w:widowControl/>
      <w:adjustRightInd w:val="0"/>
      <w:spacing w:after="160" w:line="240" w:lineRule="exact"/>
      <w:jc w:val="left"/>
    </w:pPr>
    <w:rPr>
      <w:rFonts w:ascii="Verdana" w:hAnsi="Verdana"/>
      <w:kern w:val="0"/>
      <w:sz w:val="20"/>
      <w:szCs w:val="20"/>
      <w:lang w:eastAsia="en-US"/>
    </w:rPr>
  </w:style>
  <w:style w:type="character" w:customStyle="1" w:styleId="13">
    <w:name w:val="批注框文本 Char"/>
    <w:basedOn w:val="7"/>
    <w:link w:val="4"/>
    <w:qFormat/>
    <w:uiPriority w:val="0"/>
    <w:rPr>
      <w:rFonts w:ascii="Times New Roman" w:hAnsi="Times New Roman" w:eastAsia="宋体" w:cs="Times New Roman"/>
      <w:sz w:val="18"/>
      <w:szCs w:val="18"/>
    </w:rPr>
  </w:style>
  <w:style w:type="character" w:customStyle="1" w:styleId="14">
    <w:name w:val="正文文本 Char"/>
    <w:basedOn w:val="7"/>
    <w:link w:val="2"/>
    <w:qFormat/>
    <w:uiPriority w:val="1"/>
    <w:rPr>
      <w:rFonts w:ascii="宋体" w:hAnsi="宋体" w:eastAsia="宋体" w:cs="Times New Roman"/>
      <w:kern w:val="0"/>
      <w:sz w:val="32"/>
      <w:szCs w:val="32"/>
      <w:lang w:eastAsia="en-US"/>
    </w:rPr>
  </w:style>
  <w:style w:type="character" w:customStyle="1" w:styleId="15">
    <w:name w:val="纯文本 Char"/>
    <w:basedOn w:val="7"/>
    <w:link w:val="3"/>
    <w:qFormat/>
    <w:uiPriority w:val="0"/>
    <w:rPr>
      <w:rFonts w:ascii="宋体" w:hAnsi="Courier New" w:eastAsia="宋体" w:cs="Times New Roman"/>
      <w:szCs w:val="20"/>
    </w:rPr>
  </w:style>
  <w:style w:type="character" w:customStyle="1" w:styleId="16">
    <w:name w:val="NormalCharacter"/>
    <w:unhideWhenUsed/>
    <w:qFormat/>
    <w:uiPriority w:val="0"/>
    <w:rPr>
      <w:rFonts w:ascii="Calibri" w:hAnsi="Calibri" w:eastAsia="仿宋_GB2312" w:cs="Times New Roman"/>
      <w:kern w:val="2"/>
      <w:sz w:val="32"/>
      <w:szCs w:val="24"/>
      <w:lang w:val="en-US" w:eastAsia="zh-CN" w:bidi="ar-SA"/>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919036-34AC-407A-8F8E-05ABAA201EB7}">
  <ds:schemaRefs/>
</ds:datastoreItem>
</file>

<file path=docProps/app.xml><?xml version="1.0" encoding="utf-8"?>
<Properties xmlns="http://schemas.openxmlformats.org/officeDocument/2006/extended-properties" xmlns:vt="http://schemas.openxmlformats.org/officeDocument/2006/docPropsVTypes">
  <Template>Normal</Template>
  <Pages>26</Pages>
  <Words>2017</Words>
  <Characters>11503</Characters>
  <Lines>95</Lines>
  <Paragraphs>26</Paragraphs>
  <TotalTime>19</TotalTime>
  <ScaleCrop>false</ScaleCrop>
  <LinksUpToDate>false</LinksUpToDate>
  <CharactersWithSpaces>13494</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2021-09-19T00:50:00Z</dcterms:created>
  <dc:creator>Acer</dc:creator>
  <cp:lastModifiedBy>pc</cp:lastModifiedBy>
  <dcterms:modified xsi:type="dcterms:W3CDTF">2021-10-15T02:52:17Z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ribbonExt">
    <vt:lpwstr>{"WPSExtOfficeTab":{"OnGetEnabled":false,"OnGetVisible":false}}</vt:lpwstr>
  </property>
</Properties>
</file>