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0A" w:rsidRDefault="00A5780A" w:rsidP="00A5780A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</w:t>
      </w:r>
    </w:p>
    <w:p w:rsidR="00A5780A" w:rsidRDefault="00A5780A" w:rsidP="00A5780A">
      <w:pPr>
        <w:jc w:val="center"/>
        <w:rPr>
          <w:rFonts w:ascii="仿宋" w:hAnsi="仿宋" w:cs="仿宋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各类民用建筑典型建筑形式列表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6735"/>
      </w:tblGrid>
      <w:tr w:rsidR="00A5780A" w:rsidTr="00E10AD1">
        <w:trPr>
          <w:trHeight w:val="482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民用建筑类别</w:t>
            </w:r>
          </w:p>
        </w:tc>
        <w:tc>
          <w:tcPr>
            <w:tcW w:w="6735" w:type="dxa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top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典型建筑形式</w:t>
            </w:r>
          </w:p>
        </w:tc>
      </w:tr>
      <w:tr w:rsidR="00A5780A" w:rsidTr="00E10AD1">
        <w:trPr>
          <w:trHeight w:val="539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居住建筑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别墅、公寓、普通住宅、集体宿舍等。</w:t>
            </w:r>
          </w:p>
        </w:tc>
      </w:tr>
      <w:tr w:rsidR="00A5780A" w:rsidTr="00E10AD1">
        <w:trPr>
          <w:trHeight w:val="539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</w:rPr>
              <w:t>办公建筑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企业、事业、机关、团体、学校、医院等单位的办公用房。</w:t>
            </w:r>
          </w:p>
        </w:tc>
      </w:tr>
      <w:tr w:rsidR="00A5780A" w:rsidTr="00E10AD1">
        <w:trPr>
          <w:trHeight w:val="539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旅馆酒店建筑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旅游饭店、普通旅馆、招待所等。</w:t>
            </w:r>
          </w:p>
        </w:tc>
      </w:tr>
      <w:tr w:rsidR="00A5780A" w:rsidTr="00E10AD1">
        <w:trPr>
          <w:trHeight w:val="654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商业建筑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百货商场、综合商厦、购物中心、会展中心、超市、菜市场、专业商店等。</w:t>
            </w:r>
          </w:p>
        </w:tc>
      </w:tr>
      <w:tr w:rsidR="00A5780A" w:rsidTr="00E10AD1">
        <w:trPr>
          <w:trHeight w:val="985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居民服务建筑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餐饮用房屋，银行营业和证券营业用房屋，电信及计算机服务用房屋，邮政用房屋，居住小区的会所，以及洗染店、洗浴室、理发美容店、家电维修、殡仪馆等。</w:t>
            </w:r>
          </w:p>
        </w:tc>
      </w:tr>
      <w:tr w:rsidR="00A5780A" w:rsidTr="00E10AD1">
        <w:trPr>
          <w:trHeight w:val="1010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文化建筑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文艺演出用房、艺术展览用房、图书馆、纪念馆、档案馆、博物馆、文化宫、游乐场馆、电影院（含影城）、宗教寺院以及舞厅、歌厅、游艺厅等。</w:t>
            </w:r>
          </w:p>
        </w:tc>
      </w:tr>
      <w:tr w:rsidR="00A5780A" w:rsidTr="00E10AD1">
        <w:trPr>
          <w:trHeight w:val="539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教育建筑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各类学校的教学楼、图书馆、试验室、体育馆、展览馆等。</w:t>
            </w:r>
          </w:p>
        </w:tc>
      </w:tr>
      <w:tr w:rsidR="00A5780A" w:rsidTr="00E10AD1">
        <w:trPr>
          <w:trHeight w:val="539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体育建筑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体育馆、体育场、游泳馆、跳水馆等。</w:t>
            </w:r>
          </w:p>
        </w:tc>
      </w:tr>
      <w:tr w:rsidR="00A5780A" w:rsidTr="00E10AD1">
        <w:trPr>
          <w:trHeight w:val="494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科研建筑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</w:rPr>
              <w:t>科研楼、实验楼等。</w:t>
            </w:r>
          </w:p>
        </w:tc>
      </w:tr>
      <w:tr w:rsidR="00A5780A" w:rsidTr="00E10AD1">
        <w:trPr>
          <w:trHeight w:val="740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卫生建筑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各类医疗机构的病房、医技楼、门诊部、保健站、卫生所、化验室、药房、病案室、太平间等。</w:t>
            </w:r>
          </w:p>
        </w:tc>
      </w:tr>
      <w:tr w:rsidR="00A5780A" w:rsidTr="00E10AD1">
        <w:trPr>
          <w:trHeight w:val="1002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交通建筑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机场航站楼，机场指挥塔，交通枢纽，停车楼，高速公路服务区用房，汽车、铁路和城市轨道交通车站的站房，港口码头建筑等。</w:t>
            </w:r>
          </w:p>
        </w:tc>
      </w:tr>
      <w:tr w:rsidR="00A5780A" w:rsidTr="00E10AD1">
        <w:trPr>
          <w:trHeight w:val="1020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广播电影电视建筑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广播电台、电视台、发射台（站）、地球站、监测台（站）、广播电视节目监管建筑、有线电视网络中心、综合发射塔（含机房、塔座、塌楼等）等。</w:t>
            </w:r>
          </w:p>
        </w:tc>
      </w:tr>
      <w:tr w:rsidR="00A5780A" w:rsidTr="00E10AD1">
        <w:trPr>
          <w:trHeight w:val="902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</w:rPr>
              <w:t>物流项目内</w:t>
            </w:r>
          </w:p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</w:rPr>
              <w:t>非生产性建筑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</w:rPr>
              <w:t>物流建筑群功能组成中的办公建筑、生活服务设施、其他配套设施中的“展示及交易建筑”、“培训或研发建筑”等。</w:t>
            </w:r>
          </w:p>
        </w:tc>
      </w:tr>
      <w:tr w:rsidR="00A5780A" w:rsidTr="00E10AD1">
        <w:trPr>
          <w:trHeight w:val="853"/>
        </w:trPr>
        <w:tc>
          <w:tcPr>
            <w:tcW w:w="2169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6735" w:type="dxa"/>
            <w:vAlign w:val="center"/>
          </w:tcPr>
          <w:p w:rsidR="00A5780A" w:rsidRDefault="00A5780A" w:rsidP="00E10AD1">
            <w:pPr>
              <w:autoSpaceDN w:val="0"/>
              <w:spacing w:line="280" w:lineRule="exact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sz w:val="22"/>
                <w:szCs w:val="22"/>
              </w:rPr>
              <w:t>以上典型建筑形式主要依据《建设工程分类标准》（GB/T 50841-2013)，《物流建筑设计规范》（GB51157-2016）确定。</w:t>
            </w:r>
          </w:p>
        </w:tc>
      </w:tr>
    </w:tbl>
    <w:p w:rsidR="00A5780A" w:rsidRDefault="00A5780A" w:rsidP="00A5780A">
      <w:pPr>
        <w:ind w:firstLineChars="200" w:firstLine="640"/>
        <w:jc w:val="center"/>
        <w:rPr>
          <w:rFonts w:ascii="仿宋_GB2312" w:eastAsia="仿宋_GB2312" w:hAnsi="楷体"/>
        </w:rPr>
      </w:pPr>
    </w:p>
    <w:p w:rsidR="00A5780A" w:rsidRPr="00A5780A" w:rsidRDefault="00A5780A">
      <w:bookmarkStart w:id="0" w:name="_GoBack"/>
      <w:bookmarkEnd w:id="0"/>
    </w:p>
    <w:sectPr w:rsidR="00A5780A" w:rsidRPr="00A5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0A"/>
    <w:rsid w:val="00A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39C49-C25F-413E-BB09-19873D5E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A5780A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autoRedefine/>
    <w:uiPriority w:val="39"/>
    <w:semiHidden/>
    <w:unhideWhenUsed/>
    <w:rsid w:val="00A5780A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江定倍</dc:creator>
  <cp:keywords/>
  <dc:description/>
  <cp:lastModifiedBy>江定倍</cp:lastModifiedBy>
  <cp:revision>1</cp:revision>
  <dcterms:created xsi:type="dcterms:W3CDTF">2021-09-08T01:26:00Z</dcterms:created>
  <dcterms:modified xsi:type="dcterms:W3CDTF">2021-09-08T01:27:00Z</dcterms:modified>
</cp:coreProperties>
</file>