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A6" w:rsidRDefault="000703A6" w:rsidP="000703A6">
      <w:pPr>
        <w:widowControl/>
        <w:spacing w:line="240" w:lineRule="auto"/>
        <w:textAlignment w:val="baseline"/>
        <w:rPr>
          <w:rStyle w:val="UserStyle2"/>
          <w:rFonts w:ascii="黑体" w:eastAsia="黑体" w:hAnsi="黑体" w:cs="Times New Roman"/>
          <w:szCs w:val="36"/>
        </w:rPr>
      </w:pPr>
      <w:r>
        <w:rPr>
          <w:rStyle w:val="UserStyle2"/>
          <w:rFonts w:ascii="黑体" w:eastAsia="黑体" w:hAnsi="黑体" w:cs="Times New Roman"/>
          <w:szCs w:val="36"/>
        </w:rPr>
        <w:t>附件</w:t>
      </w:r>
      <w:r>
        <w:rPr>
          <w:rStyle w:val="UserStyle2"/>
          <w:rFonts w:ascii="黑体" w:eastAsia="黑体" w:hAnsi="黑体" w:cs="Times New Roman" w:hint="eastAsia"/>
          <w:szCs w:val="36"/>
        </w:rPr>
        <w:t>2</w:t>
      </w:r>
    </w:p>
    <w:p w:rsidR="000703A6" w:rsidRDefault="000703A6" w:rsidP="000703A6">
      <w:pPr>
        <w:widowControl/>
        <w:spacing w:line="240" w:lineRule="auto"/>
        <w:jc w:val="center"/>
        <w:textAlignment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2021年中央财政农村危房改造补助资金任务清单</w:t>
      </w:r>
      <w:bookmarkStart w:id="0" w:name="_GoBack"/>
      <w:bookmarkEnd w:id="0"/>
    </w:p>
    <w:tbl>
      <w:tblPr>
        <w:tblW w:w="13872" w:type="dxa"/>
        <w:tblLayout w:type="fixed"/>
        <w:tblCellMar>
          <w:left w:w="0" w:type="dxa"/>
          <w:right w:w="0" w:type="dxa"/>
        </w:tblCellMar>
        <w:tblLook w:val="04A0" w:firstRow="1" w:lastRow="0" w:firstColumn="1" w:lastColumn="0" w:noHBand="0" w:noVBand="1"/>
      </w:tblPr>
      <w:tblGrid>
        <w:gridCol w:w="358"/>
        <w:gridCol w:w="1109"/>
        <w:gridCol w:w="960"/>
        <w:gridCol w:w="1619"/>
        <w:gridCol w:w="1125"/>
        <w:gridCol w:w="1350"/>
        <w:gridCol w:w="4500"/>
        <w:gridCol w:w="1441"/>
        <w:gridCol w:w="1410"/>
      </w:tblGrid>
      <w:tr w:rsidR="000703A6" w:rsidTr="00FA2919">
        <w:trPr>
          <w:trHeight w:val="561"/>
          <w:tblHeader/>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序号</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kern w:val="0"/>
                <w:sz w:val="21"/>
                <w:szCs w:val="21"/>
                <w:lang w:bidi="ar"/>
              </w:rPr>
            </w:pPr>
            <w:r>
              <w:rPr>
                <w:rFonts w:ascii="黑体" w:eastAsia="黑体" w:hAnsi="黑体" w:cs="黑体" w:hint="eastAsia"/>
                <w:bCs/>
                <w:color w:val="000000"/>
                <w:kern w:val="0"/>
                <w:sz w:val="21"/>
                <w:szCs w:val="21"/>
                <w:lang w:bidi="ar"/>
              </w:rPr>
              <w:t>资金投入</w:t>
            </w:r>
          </w:p>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方向</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工作任务名称</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任务要求/目标</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任务性质</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实施方式</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实施标准</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工作量</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黑体" w:eastAsia="黑体" w:hAnsi="黑体" w:cs="黑体"/>
                <w:bCs/>
                <w:color w:val="000000"/>
                <w:sz w:val="21"/>
                <w:szCs w:val="21"/>
              </w:rPr>
            </w:pPr>
            <w:r>
              <w:rPr>
                <w:rFonts w:ascii="黑体" w:eastAsia="黑体" w:hAnsi="黑体" w:cs="黑体" w:hint="eastAsia"/>
                <w:bCs/>
                <w:color w:val="000000"/>
                <w:kern w:val="0"/>
                <w:sz w:val="21"/>
                <w:szCs w:val="21"/>
                <w:lang w:bidi="ar"/>
              </w:rPr>
              <w:t>完成时限</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1</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完成韶关市72户农村危房改造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2</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完成河源市334户农村危房改造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3</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完成梅州市464户农村危房改造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4</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完成惠州市108户农村危房改造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5</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完成汕尾市38户农村危房改造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6</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完成江门市88户农村危房改造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lastRenderedPageBreak/>
              <w:t>7</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完成阳江市63户农村危房改造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8</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完成湛江市395户农村危房改造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9</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完成茂名市261户农村危房改造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10</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完成肇庆市594户农村危房改造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11</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完成清远市576户农村危房改造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r w:rsidR="000703A6" w:rsidTr="00FA2919">
        <w:trPr>
          <w:trHeight w:val="1077"/>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12</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住房安全</w:t>
            </w:r>
          </w:p>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保障</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农村危房改造</w:t>
            </w:r>
          </w:p>
        </w:tc>
        <w:tc>
          <w:tcPr>
            <w:tcW w:w="1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完成2021年度农村危房改造任务</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约束性任务</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直接支付到改造对象“一卡通”账户</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《住房和城乡建设部 财政部 民政部 国家乡村振兴局关于做好农村低收入群体等重点对象住房安全保障工作的实施意见》（建村〔2021〕35号）</w:t>
            </w:r>
          </w:p>
        </w:tc>
        <w:tc>
          <w:tcPr>
            <w:tcW w:w="1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完成云浮市144户农村危房改造</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03A6" w:rsidRDefault="000703A6" w:rsidP="00FA2919">
            <w:pPr>
              <w:widowControl/>
              <w:spacing w:line="240" w:lineRule="auto"/>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2021年12月31日前全部竣工</w:t>
            </w:r>
          </w:p>
        </w:tc>
      </w:tr>
    </w:tbl>
    <w:p w:rsidR="000703A6" w:rsidRDefault="000703A6" w:rsidP="000703A6">
      <w:pPr>
        <w:spacing w:line="240" w:lineRule="auto"/>
        <w:rPr>
          <w:rFonts w:ascii="Calibri" w:eastAsia="宋体" w:hAnsi="Calibri" w:cs="Times New Roman"/>
          <w:sz w:val="21"/>
          <w:szCs w:val="20"/>
        </w:rPr>
      </w:pPr>
    </w:p>
    <w:p w:rsidR="000703A6" w:rsidRDefault="000703A6" w:rsidP="000703A6">
      <w:pPr>
        <w:spacing w:line="240" w:lineRule="auto"/>
        <w:rPr>
          <w:rFonts w:ascii="Times New Roman" w:eastAsia="宋体" w:hAnsi="Times New Roman" w:cs="Times New Roman"/>
          <w:sz w:val="21"/>
          <w:szCs w:val="20"/>
        </w:rPr>
      </w:pPr>
    </w:p>
    <w:p w:rsidR="000703A6" w:rsidRDefault="000703A6">
      <w:pPr>
        <w:rPr>
          <w:rFonts w:hint="eastAsia"/>
        </w:rPr>
      </w:pPr>
    </w:p>
    <w:sectPr w:rsidR="000703A6">
      <w:footerReference w:type="default" r:id="rId4"/>
      <w:pgSz w:w="16838" w:h="11906" w:orient="landscape"/>
      <w:pgMar w:top="1588" w:right="1644" w:bottom="1474" w:left="1418" w:header="851" w:footer="992" w:gutter="0"/>
      <w:pgNumType w:fmt="numberInDash"/>
      <w:cols w:space="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39" w:rsidRDefault="000703A6">
    <w:pPr>
      <w:pStyle w:val="a4"/>
      <w:jc w:val="right"/>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1659264" behindDoc="0" locked="0" layoutInCell="1" allowOverlap="1" wp14:anchorId="1BD62580" wp14:editId="016969AF">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2839" w:rsidRDefault="000703A6">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D62580"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92839" w:rsidRDefault="000703A6">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p w:rsidR="00492839" w:rsidRDefault="000703A6">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A6"/>
    <w:rsid w:val="0007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2363"/>
  <w15:chartTrackingRefBased/>
  <w15:docId w15:val="{537C7254-99FE-4673-920C-0E517A9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703A6"/>
    <w:pPr>
      <w:widowControl w:val="0"/>
      <w:spacing w:line="600" w:lineRule="exact"/>
      <w:jc w:val="both"/>
    </w:pPr>
    <w:rPr>
      <w:rFonts w:eastAsia="仿宋_GB231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qFormat/>
    <w:rsid w:val="000703A6"/>
    <w:pPr>
      <w:tabs>
        <w:tab w:val="center" w:pos="4153"/>
        <w:tab w:val="right" w:pos="8306"/>
      </w:tabs>
      <w:snapToGrid w:val="0"/>
      <w:spacing w:line="240" w:lineRule="atLeast"/>
      <w:jc w:val="left"/>
    </w:pPr>
    <w:rPr>
      <w:sz w:val="18"/>
      <w:szCs w:val="18"/>
    </w:rPr>
  </w:style>
  <w:style w:type="character" w:customStyle="1" w:styleId="a5">
    <w:name w:val="页脚 字符"/>
    <w:basedOn w:val="a1"/>
    <w:link w:val="a4"/>
    <w:uiPriority w:val="99"/>
    <w:qFormat/>
    <w:rsid w:val="000703A6"/>
    <w:rPr>
      <w:rFonts w:eastAsia="仿宋_GB2312"/>
      <w:sz w:val="18"/>
      <w:szCs w:val="18"/>
    </w:rPr>
  </w:style>
  <w:style w:type="character" w:customStyle="1" w:styleId="UserStyle2">
    <w:name w:val="UserStyle_2"/>
    <w:qFormat/>
    <w:rsid w:val="000703A6"/>
  </w:style>
  <w:style w:type="paragraph" w:styleId="a0">
    <w:name w:val="Plain Text"/>
    <w:basedOn w:val="a"/>
    <w:link w:val="a6"/>
    <w:uiPriority w:val="99"/>
    <w:semiHidden/>
    <w:unhideWhenUsed/>
    <w:rsid w:val="000703A6"/>
    <w:rPr>
      <w:rFonts w:asciiTheme="minorEastAsia" w:eastAsiaTheme="minorEastAsia" w:hAnsi="Courier New" w:cs="Courier New"/>
    </w:rPr>
  </w:style>
  <w:style w:type="character" w:customStyle="1" w:styleId="a6">
    <w:name w:val="纯文本 字符"/>
    <w:basedOn w:val="a1"/>
    <w:link w:val="a0"/>
    <w:uiPriority w:val="99"/>
    <w:semiHidden/>
    <w:rsid w:val="000703A6"/>
    <w:rPr>
      <w:rFonts w:asciiTheme="minorEastAsia" w:hAnsi="Courier New" w:cs="Courier New"/>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2021-06-25T06:21:00Z</dcterms:created>
  <dcterms:modified xsi:type="dcterms:W3CDTF">2021-06-25T06:21:00Z</dcterms:modified>
</cp:coreProperties>
</file>