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B01" w:rsidRDefault="00E34B01" w:rsidP="00E34B01">
      <w:pPr>
        <w:pStyle w:val="PlainText1"/>
        <w:rPr>
          <w:rFonts w:ascii="黑体" w:eastAsia="黑体" w:hAnsi="黑体" w:cs="黑体"/>
          <w:bCs/>
          <w:color w:val="000000"/>
          <w:kern w:val="36"/>
          <w:szCs w:val="32"/>
        </w:rPr>
      </w:pPr>
      <w:r>
        <w:rPr>
          <w:rFonts w:ascii="黑体" w:eastAsia="黑体" w:hAnsi="黑体" w:cs="黑体" w:hint="eastAsia"/>
          <w:bCs/>
          <w:color w:val="000000"/>
          <w:kern w:val="36"/>
          <w:szCs w:val="32"/>
        </w:rPr>
        <w:t>附件1</w:t>
      </w:r>
    </w:p>
    <w:p w:rsidR="00E34B01" w:rsidRDefault="00E34B01" w:rsidP="00E34B01">
      <w:pPr>
        <w:pStyle w:val="PlainText1"/>
        <w:jc w:val="center"/>
        <w:rPr>
          <w:rFonts w:ascii="小标宋" w:eastAsia="小标宋" w:hAnsi="小标宋" w:cs="小标宋"/>
          <w:bCs/>
          <w:sz w:val="44"/>
          <w:szCs w:val="44"/>
        </w:rPr>
      </w:pPr>
      <w:bookmarkStart w:id="0" w:name="_GoBack"/>
      <w:r>
        <w:rPr>
          <w:rFonts w:ascii="小标宋" w:eastAsia="小标宋" w:hAnsi="小标宋" w:cs="小标宋" w:hint="eastAsia"/>
          <w:bCs/>
          <w:color w:val="000000"/>
          <w:kern w:val="36"/>
          <w:sz w:val="44"/>
          <w:szCs w:val="44"/>
        </w:rPr>
        <w:t>住</w:t>
      </w:r>
      <w:proofErr w:type="gramStart"/>
      <w:r>
        <w:rPr>
          <w:rFonts w:ascii="小标宋" w:eastAsia="小标宋" w:hAnsi="小标宋" w:cs="小标宋" w:hint="eastAsia"/>
          <w:bCs/>
          <w:color w:val="000000"/>
          <w:kern w:val="36"/>
          <w:sz w:val="44"/>
          <w:szCs w:val="44"/>
        </w:rPr>
        <w:t>建领域</w:t>
      </w:r>
      <w:proofErr w:type="gramEnd"/>
      <w:r>
        <w:rPr>
          <w:rFonts w:ascii="小标宋" w:eastAsia="小标宋" w:hAnsi="小标宋" w:cs="小标宋" w:hint="eastAsia"/>
          <w:bCs/>
          <w:color w:val="000000"/>
          <w:kern w:val="36"/>
          <w:sz w:val="44"/>
          <w:szCs w:val="44"/>
        </w:rPr>
        <w:t>安全隐患大排查大整治工作指引</w:t>
      </w:r>
    </w:p>
    <w:bookmarkEnd w:id="0"/>
    <w:p w:rsidR="00E34B01" w:rsidRDefault="00E34B01" w:rsidP="00E34B01">
      <w:pPr>
        <w:pStyle w:val="PlainText1"/>
        <w:spacing w:line="300" w:lineRule="exact"/>
        <w:rPr>
          <w:rFonts w:ascii="仿宋_GB2312" w:eastAsia="仿宋_GB2312" w:hAnsi="宋体" w:cs="宋体"/>
          <w:bCs/>
          <w:color w:val="000000"/>
          <w:kern w:val="36"/>
          <w:szCs w:val="32"/>
        </w:rPr>
      </w:pP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1764"/>
        <w:gridCol w:w="4754"/>
      </w:tblGrid>
      <w:tr w:rsidR="00E34B01" w:rsidTr="009E0F26">
        <w:trPr>
          <w:trHeight w:val="492"/>
          <w:tblHeader/>
          <w:jc w:val="center"/>
        </w:trPr>
        <w:tc>
          <w:tcPr>
            <w:tcW w:w="2314" w:type="dxa"/>
            <w:tcMar>
              <w:left w:w="57" w:type="dxa"/>
              <w:right w:w="57" w:type="dxa"/>
            </w:tcMar>
            <w:vAlign w:val="center"/>
          </w:tcPr>
          <w:p w:rsidR="00E34B01" w:rsidRDefault="00E34B01" w:rsidP="009E0F26">
            <w:pPr>
              <w:spacing w:line="300" w:lineRule="exact"/>
              <w:jc w:val="center"/>
              <w:rPr>
                <w:rFonts w:ascii="仿宋_GB2312" w:hAnsi="仿宋_GB2312" w:cs="仿宋_GB2312"/>
                <w:b/>
                <w:color w:val="000000"/>
                <w:sz w:val="24"/>
              </w:rPr>
            </w:pPr>
            <w:r>
              <w:rPr>
                <w:rFonts w:ascii="黑体" w:eastAsia="黑体" w:hAnsi="黑体" w:cs="宋体" w:hint="eastAsia"/>
                <w:bCs/>
                <w:color w:val="000000"/>
                <w:sz w:val="24"/>
              </w:rPr>
              <w:t>重点任务</w:t>
            </w:r>
          </w:p>
        </w:tc>
        <w:tc>
          <w:tcPr>
            <w:tcW w:w="1764" w:type="dxa"/>
            <w:tcMar>
              <w:left w:w="57" w:type="dxa"/>
              <w:right w:w="57" w:type="dxa"/>
            </w:tcMar>
            <w:vAlign w:val="center"/>
          </w:tcPr>
          <w:p w:rsidR="00E34B01" w:rsidRDefault="00E34B01" w:rsidP="009E0F26">
            <w:pPr>
              <w:spacing w:line="300" w:lineRule="exact"/>
              <w:jc w:val="center"/>
              <w:rPr>
                <w:rFonts w:ascii="仿宋_GB2312" w:hAnsi="仿宋_GB2312" w:cs="仿宋_GB2312"/>
                <w:b/>
                <w:color w:val="000000"/>
                <w:sz w:val="24"/>
              </w:rPr>
            </w:pPr>
            <w:r>
              <w:rPr>
                <w:rFonts w:ascii="黑体" w:eastAsia="黑体" w:hAnsi="黑体" w:cs="宋体" w:hint="eastAsia"/>
                <w:bCs/>
                <w:color w:val="000000"/>
                <w:sz w:val="24"/>
              </w:rPr>
              <w:t>检查项</w:t>
            </w:r>
          </w:p>
        </w:tc>
        <w:tc>
          <w:tcPr>
            <w:tcW w:w="4754" w:type="dxa"/>
            <w:vAlign w:val="center"/>
          </w:tcPr>
          <w:p w:rsidR="00E34B01" w:rsidRDefault="00E34B01" w:rsidP="009E0F26">
            <w:pPr>
              <w:spacing w:line="320" w:lineRule="exact"/>
              <w:jc w:val="center"/>
              <w:rPr>
                <w:rFonts w:ascii="仿宋_GB2312" w:hAnsi="仿宋_GB2312" w:cs="仿宋_GB2312"/>
                <w:bCs/>
                <w:color w:val="000000"/>
                <w:sz w:val="24"/>
              </w:rPr>
            </w:pPr>
            <w:r>
              <w:rPr>
                <w:rFonts w:ascii="黑体" w:eastAsia="黑体" w:hAnsi="黑体" w:cs="宋体" w:hint="eastAsia"/>
                <w:bCs/>
                <w:color w:val="000000"/>
                <w:sz w:val="24"/>
              </w:rPr>
              <w:t>检查内容</w:t>
            </w:r>
          </w:p>
        </w:tc>
      </w:tr>
      <w:tr w:rsidR="00E34B01" w:rsidTr="009E0F26">
        <w:trPr>
          <w:trHeight w:val="1062"/>
          <w:jc w:val="center"/>
        </w:trPr>
        <w:tc>
          <w:tcPr>
            <w:tcW w:w="2314" w:type="dxa"/>
            <w:tcMar>
              <w:left w:w="57" w:type="dxa"/>
              <w:right w:w="57" w:type="dxa"/>
            </w:tcMar>
            <w:vAlign w:val="center"/>
          </w:tcPr>
          <w:p w:rsidR="00E34B01" w:rsidRDefault="00E34B01" w:rsidP="009E0F26">
            <w:pPr>
              <w:spacing w:line="300" w:lineRule="exact"/>
              <w:jc w:val="center"/>
              <w:rPr>
                <w:rFonts w:ascii="黑体" w:eastAsia="黑体" w:hAnsi="黑体" w:cs="宋体"/>
                <w:bCs/>
                <w:color w:val="000000"/>
                <w:sz w:val="24"/>
              </w:rPr>
            </w:pPr>
            <w:r>
              <w:rPr>
                <w:rFonts w:ascii="仿宋_GB2312" w:hAnsi="仿宋_GB2312" w:cs="仿宋_GB2312" w:hint="eastAsia"/>
                <w:b/>
                <w:sz w:val="24"/>
              </w:rPr>
              <w:t>城镇燃气</w:t>
            </w:r>
          </w:p>
        </w:tc>
        <w:tc>
          <w:tcPr>
            <w:tcW w:w="1764" w:type="dxa"/>
            <w:tcMar>
              <w:left w:w="57" w:type="dxa"/>
              <w:right w:w="57" w:type="dxa"/>
            </w:tcMar>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黑体" w:eastAsia="黑体" w:hAnsi="黑体" w:cs="宋体"/>
                <w:bCs/>
                <w:color w:val="000000"/>
                <w:sz w:val="24"/>
              </w:rPr>
            </w:pPr>
            <w:r>
              <w:rPr>
                <w:rFonts w:ascii="仿宋_GB2312" w:hAnsi="仿宋_GB2312" w:cs="仿宋_GB2312" w:hint="eastAsia"/>
                <w:sz w:val="24"/>
              </w:rPr>
              <w:t>按我厅联合省应急管理厅和省市场监管局印发的《广东省城镇燃气安全生产隐患大排查整治工作方案》开展排查整治</w:t>
            </w:r>
          </w:p>
        </w:tc>
      </w:tr>
      <w:tr w:rsidR="00E34B01" w:rsidTr="009E0F26">
        <w:trPr>
          <w:trHeight w:val="492"/>
          <w:jc w:val="center"/>
        </w:trPr>
        <w:tc>
          <w:tcPr>
            <w:tcW w:w="2314" w:type="dxa"/>
            <w:vMerge w:val="restart"/>
            <w:tcMar>
              <w:left w:w="57" w:type="dxa"/>
              <w:right w:w="57" w:type="dxa"/>
            </w:tcMar>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市政公用行业</w:t>
            </w:r>
          </w:p>
        </w:tc>
        <w:tc>
          <w:tcPr>
            <w:tcW w:w="1764" w:type="dxa"/>
            <w:vMerge w:val="restart"/>
            <w:tcMar>
              <w:left w:w="57" w:type="dxa"/>
              <w:right w:w="57" w:type="dxa"/>
            </w:tcMar>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城市供水</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水厂突发应急机制建立情况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取水管线、水厂、供水管线安全防护和出水水质检测等情况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水厂、加压泵站、高位水池等重点设施管理情况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供水相关消毒化学用品的储存和使用情况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城市排水防涝设施</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排涝泵站、污水厂（站）、涵闸等设施设备管护责任落实情况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立交桥下、低洼地带及易涝区域的汛期值守、现场管</w:t>
            </w:r>
            <w:proofErr w:type="gramStart"/>
            <w:r>
              <w:rPr>
                <w:rFonts w:ascii="仿宋_GB2312" w:hAnsi="仿宋_GB2312" w:cs="仿宋_GB2312" w:hint="eastAsia"/>
                <w:sz w:val="24"/>
              </w:rPr>
              <w:t>控责任</w:t>
            </w:r>
            <w:proofErr w:type="gramEnd"/>
            <w:r>
              <w:rPr>
                <w:rFonts w:ascii="仿宋_GB2312" w:hAnsi="仿宋_GB2312" w:cs="仿宋_GB2312" w:hint="eastAsia"/>
                <w:sz w:val="24"/>
              </w:rPr>
              <w:t>落实情况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生活污水处理</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加氯间的安防监控情况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危险化学品的储存管理情况</w:t>
            </w:r>
          </w:p>
        </w:tc>
      </w:tr>
      <w:tr w:rsidR="00E34B01" w:rsidTr="009E0F26">
        <w:trPr>
          <w:trHeight w:val="684"/>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化粪池清掏作业流程，安全防护设备和用品配备情况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城市窨井盖</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窨井盖设施安全管理工作情况</w:t>
            </w:r>
          </w:p>
        </w:tc>
      </w:tr>
      <w:tr w:rsidR="00E34B01" w:rsidTr="009E0F26">
        <w:trPr>
          <w:trHeight w:val="698"/>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窨井盖设施维护管理职责和开展应急处置工作情况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城市桥梁</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防撞护栏、防撞垫、限界结构防撞设施、人行护栏、分隔设施、隔离栅和防落物网等桥梁安全防护设施</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架设管线、风雨蓬、大型广告牌是否符合要求</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危桥加固改造、安全运行等管理情况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“一桥一档”落实情况及应急预案编制情况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城市桥梁健康监测和预警系统的建立及实施情况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生活垃圾设施运营</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垃圾收集点和转运站、垃圾处理厂（场）等周边人员居住及存在安全隐患情况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生活垃圾处理厂（场）可能出现的调节</w:t>
            </w:r>
            <w:proofErr w:type="gramStart"/>
            <w:r>
              <w:rPr>
                <w:rFonts w:ascii="仿宋_GB2312" w:hAnsi="仿宋_GB2312" w:cs="仿宋_GB2312" w:hint="eastAsia"/>
                <w:sz w:val="24"/>
              </w:rPr>
              <w:t>池运行</w:t>
            </w:r>
            <w:proofErr w:type="gramEnd"/>
            <w:r>
              <w:rPr>
                <w:rFonts w:ascii="仿宋_GB2312" w:hAnsi="仿宋_GB2312" w:cs="仿宋_GB2312" w:hint="eastAsia"/>
                <w:sz w:val="24"/>
              </w:rPr>
              <w:t>安全、渗沥液泄漏、火灾爆炸、</w:t>
            </w:r>
            <w:proofErr w:type="gramStart"/>
            <w:r>
              <w:rPr>
                <w:rFonts w:ascii="仿宋_GB2312" w:hAnsi="仿宋_GB2312" w:cs="仿宋_GB2312" w:hint="eastAsia"/>
                <w:sz w:val="24"/>
              </w:rPr>
              <w:t>堆体滑动</w:t>
            </w:r>
            <w:proofErr w:type="gramEnd"/>
            <w:r>
              <w:rPr>
                <w:rFonts w:ascii="仿宋_GB2312" w:hAnsi="仿宋_GB2312" w:cs="仿宋_GB2312" w:hint="eastAsia"/>
                <w:sz w:val="24"/>
              </w:rPr>
              <w:t>、</w:t>
            </w:r>
            <w:proofErr w:type="gramStart"/>
            <w:r>
              <w:rPr>
                <w:rFonts w:ascii="仿宋_GB2312" w:hAnsi="仿宋_GB2312" w:cs="仿宋_GB2312" w:hint="eastAsia"/>
                <w:sz w:val="24"/>
              </w:rPr>
              <w:t>挡坝安全</w:t>
            </w:r>
            <w:proofErr w:type="gramEnd"/>
            <w:r>
              <w:rPr>
                <w:rFonts w:ascii="仿宋_GB2312" w:hAnsi="仿宋_GB2312" w:cs="仿宋_GB2312" w:hint="eastAsia"/>
                <w:sz w:val="24"/>
              </w:rPr>
              <w:t>、运营设备安全操作等安全隐患</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left"/>
              <w:rPr>
                <w:rFonts w:ascii="仿宋_GB2312" w:hAnsi="仿宋_GB2312" w:cs="仿宋_GB2312"/>
                <w:b/>
                <w:sz w:val="24"/>
              </w:rPr>
            </w:pPr>
            <w:r>
              <w:rPr>
                <w:rFonts w:ascii="仿宋_GB2312" w:hAnsi="仿宋_GB2312" w:cs="仿宋_GB2312" w:hint="eastAsia"/>
                <w:b/>
                <w:sz w:val="24"/>
              </w:rPr>
              <w:t>建筑垃圾处置</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建筑垃圾处置核准、文明施工、安全生产、环境保护等措施，设置建筑垃圾的围蔽、遮盖、防尘、冲洗等配套设施情况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建筑垃圾运输遵守道路交通安全法律、法规、规章情况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运输车辆超载、泄漏抛撒、非法倾倒建筑垃圾、混入其他类型垃圾等情况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建筑垃圾消纳场所使用和管理制度落实情况，重点是采取有效措施保障安全生产，排查非法堆填，以及违反设计要求接纳填土、</w:t>
            </w:r>
            <w:proofErr w:type="gramStart"/>
            <w:r>
              <w:rPr>
                <w:rFonts w:ascii="仿宋_GB2312" w:hAnsi="仿宋_GB2312" w:cs="仿宋_GB2312" w:hint="eastAsia"/>
                <w:sz w:val="24"/>
              </w:rPr>
              <w:t>堆体超填</w:t>
            </w:r>
            <w:proofErr w:type="gramEnd"/>
            <w:r>
              <w:rPr>
                <w:rFonts w:ascii="仿宋_GB2312" w:hAnsi="仿宋_GB2312" w:cs="仿宋_GB2312" w:hint="eastAsia"/>
                <w:sz w:val="24"/>
              </w:rPr>
              <w:t>超高、</w:t>
            </w:r>
            <w:proofErr w:type="gramStart"/>
            <w:r>
              <w:rPr>
                <w:rFonts w:ascii="仿宋_GB2312" w:hAnsi="仿宋_GB2312" w:cs="仿宋_GB2312" w:hint="eastAsia"/>
                <w:sz w:val="24"/>
              </w:rPr>
              <w:t>堆体排水系统</w:t>
            </w:r>
            <w:proofErr w:type="gramEnd"/>
            <w:r>
              <w:rPr>
                <w:rFonts w:ascii="仿宋_GB2312" w:hAnsi="仿宋_GB2312" w:cs="仿宋_GB2312" w:hint="eastAsia"/>
                <w:sz w:val="24"/>
              </w:rPr>
              <w:t>不完善等问题，防止失稳滑坡、环境污染或其他危害等情况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城市公园</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公园管理机构日常运行安全责任制度和操作规程落实情况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建立安全防范应急预案，并适时开展应急演练情况</w:t>
            </w:r>
          </w:p>
        </w:tc>
      </w:tr>
      <w:tr w:rsidR="00E34B01" w:rsidTr="009E0F26">
        <w:trPr>
          <w:trHeight w:val="492"/>
          <w:jc w:val="center"/>
        </w:trPr>
        <w:tc>
          <w:tcPr>
            <w:tcW w:w="231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房屋市政工程</w:t>
            </w:r>
          </w:p>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施工安全</w:t>
            </w:r>
          </w:p>
        </w:tc>
        <w:tc>
          <w:tcPr>
            <w:tcW w:w="1764" w:type="dxa"/>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建设单位首要责任落实情况</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建设单位未在施工招标文件中列出危大工程清单，在申请施工许可时未提供清单情况以及未按合同约定及时支付安全措施费等问题</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施工单位主体责任落实情况</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企业负责人带班检查、项目负责人到岗履职、安全管理机构和人员配备不足、安全投入不足、安全技术交底和安全培训流于形式等问题</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“一线三排”落实情况</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企业未及时处理各种事故隐患，未采取临时性控制措施以及未就隐患问题举一反三开展排查整治等问题</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危大工程六不施工落实情况</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未编制专项施工方案、未按规定审批或论证方案、未按方案落实有关措施等问题</w:t>
            </w:r>
          </w:p>
        </w:tc>
      </w:tr>
      <w:tr w:rsidR="00E34B01" w:rsidTr="009E0F26">
        <w:trPr>
          <w:trHeight w:val="436"/>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提级管控措施落实情况</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制定一套严密的安全防范方案</w:t>
            </w:r>
          </w:p>
        </w:tc>
      </w:tr>
      <w:tr w:rsidR="00E34B01" w:rsidTr="009E0F26">
        <w:trPr>
          <w:trHeight w:val="46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召开一次安全生产工作布置会</w:t>
            </w:r>
          </w:p>
        </w:tc>
      </w:tr>
      <w:tr w:rsidR="00E34B01" w:rsidTr="009E0F26">
        <w:trPr>
          <w:trHeight w:val="47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开展一次安全技术再交底</w:t>
            </w:r>
          </w:p>
        </w:tc>
      </w:tr>
      <w:tr w:rsidR="00E34B01" w:rsidTr="009E0F26">
        <w:trPr>
          <w:trHeight w:val="441"/>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重排一次关键岗位带班值守</w:t>
            </w:r>
          </w:p>
        </w:tc>
      </w:tr>
      <w:tr w:rsidR="00E34B01" w:rsidTr="009E0F26">
        <w:trPr>
          <w:trHeight w:val="51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开展一次安全生产大检查活动</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深基坑工程</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深基坑（槽）和边坡作业的合</w:t>
            </w:r>
            <w:proofErr w:type="gramStart"/>
            <w:r>
              <w:rPr>
                <w:rFonts w:ascii="仿宋_GB2312" w:hAnsi="仿宋_GB2312" w:cs="仿宋_GB2312" w:hint="eastAsia"/>
                <w:sz w:val="24"/>
              </w:rPr>
              <w:t>规</w:t>
            </w:r>
            <w:proofErr w:type="gramEnd"/>
            <w:r>
              <w:rPr>
                <w:rFonts w:ascii="仿宋_GB2312" w:hAnsi="仿宋_GB2312" w:cs="仿宋_GB2312" w:hint="eastAsia"/>
                <w:sz w:val="24"/>
              </w:rPr>
              <w:t>性情况，包括支护、降（排）水、放坡、安全监测等</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深基坑（槽）开挖的防护情况，包括周边防护栏杆、工人专用梯道、同一垂直作业面上下层之间的隔离防护等</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模板支撑系统</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模板支撑系统搭设</w:t>
            </w:r>
            <w:proofErr w:type="gramStart"/>
            <w:r>
              <w:rPr>
                <w:rFonts w:ascii="仿宋_GB2312" w:hAnsi="仿宋_GB2312" w:cs="仿宋_GB2312" w:hint="eastAsia"/>
                <w:sz w:val="24"/>
              </w:rPr>
              <w:t>前材料</w:t>
            </w:r>
            <w:proofErr w:type="gramEnd"/>
            <w:r>
              <w:rPr>
                <w:rFonts w:ascii="仿宋_GB2312" w:hAnsi="仿宋_GB2312" w:cs="仿宋_GB2312" w:hint="eastAsia"/>
                <w:sz w:val="24"/>
              </w:rPr>
              <w:t>质量及地基基础验收、安全技术交底，搭设后检查验收，混凝土浇筑过程中现场安全监测，模架拆除监督管理等情况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起重机械管理</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产权备案（注销）、安装（拆卸）告知、安全档案建立、检验检测、安装验收、使用登记、定期检查维护保养等制度执行情况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机械设备专职管理人员配备情况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相关资质和安全生产许可证情况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脚手架工程</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脚手架搭设按方案和规范标准要求的执行情况，特别是立杆间距、扫地杆和纵横向水平</w:t>
            </w:r>
            <w:proofErr w:type="gramStart"/>
            <w:r>
              <w:rPr>
                <w:rFonts w:ascii="仿宋_GB2312" w:hAnsi="仿宋_GB2312" w:cs="仿宋_GB2312" w:hint="eastAsia"/>
                <w:sz w:val="24"/>
              </w:rPr>
              <w:t>杆设置</w:t>
            </w:r>
            <w:proofErr w:type="gramEnd"/>
            <w:r>
              <w:rPr>
                <w:rFonts w:ascii="仿宋_GB2312" w:hAnsi="仿宋_GB2312" w:cs="仿宋_GB2312" w:hint="eastAsia"/>
                <w:sz w:val="24"/>
              </w:rPr>
              <w:t>以及</w:t>
            </w:r>
            <w:proofErr w:type="gramStart"/>
            <w:r>
              <w:rPr>
                <w:rFonts w:ascii="仿宋_GB2312" w:hAnsi="仿宋_GB2312" w:cs="仿宋_GB2312" w:hint="eastAsia"/>
                <w:sz w:val="24"/>
              </w:rPr>
              <w:t>剪刀撑和刚性连墙点等</w:t>
            </w:r>
            <w:proofErr w:type="gramEnd"/>
            <w:r>
              <w:rPr>
                <w:rFonts w:ascii="仿宋_GB2312" w:hAnsi="仿宋_GB2312" w:cs="仿宋_GB2312" w:hint="eastAsia"/>
                <w:sz w:val="24"/>
              </w:rPr>
              <w:t>强制性要求的落实情况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脚手架检查、验收情况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城市轨道交通工程</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风险分级管控和隐患排查治理工作开展情况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重大风险源识别和管控，专项勘察、专项设计、专项施工方案实施情况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sz w:val="24"/>
              </w:rPr>
              <w:t>安全风险控制和突发事件应急管理情况。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color w:val="000000"/>
                <w:kern w:val="0"/>
                <w:sz w:val="24"/>
              </w:rPr>
              <w:t>消防</w:t>
            </w:r>
            <w:r>
              <w:rPr>
                <w:rFonts w:ascii="仿宋_GB2312" w:hAnsi="仿宋_GB2312" w:cs="仿宋_GB2312" w:hint="eastAsia"/>
                <w:b/>
                <w:sz w:val="24"/>
              </w:rPr>
              <w:t>安全</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color w:val="000000"/>
                <w:kern w:val="0"/>
                <w:sz w:val="24"/>
              </w:rPr>
              <w:t>施工现场作业区、生活区、仓库、活动板房等重点部位的消防安全措施落实情况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color w:val="000000"/>
                <w:kern w:val="0"/>
                <w:sz w:val="24"/>
              </w:rPr>
              <w:t>消防器材、消防设施的配备和消防通道设置情况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color w:val="000000"/>
                <w:kern w:val="0"/>
                <w:sz w:val="24"/>
              </w:rPr>
              <w:t>施工现场用电管理、动火审批情况以及电焊等明火作业的防火措施</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color w:val="000000"/>
                <w:kern w:val="0"/>
                <w:sz w:val="24"/>
              </w:rPr>
              <w:t>汛期安全防范</w:t>
            </w: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color w:val="000000"/>
                <w:kern w:val="0"/>
                <w:sz w:val="24"/>
              </w:rPr>
              <w:t>值班、险情报送制度和制定汛期防范措施和应急预案等情况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color w:val="000000"/>
                <w:kern w:val="0"/>
                <w:sz w:val="24"/>
              </w:rPr>
              <w:t>临时工棚是否搭设在受洪水侵袭、雨水浸泡、山体滑坡、泥石流威胁等地势较低的危险区域</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color w:val="000000"/>
                <w:kern w:val="0"/>
                <w:sz w:val="24"/>
              </w:rPr>
              <w:t>基坑边特别是开挖的市政管道沟渠周边堆置土方、料具、施工机械等荷载是否符合有关技术规范、标准要求情况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color w:val="000000"/>
                <w:kern w:val="0"/>
                <w:sz w:val="24"/>
              </w:rPr>
              <w:t>基坑工程变形监测情况</w:t>
            </w:r>
          </w:p>
        </w:tc>
      </w:tr>
      <w:tr w:rsidR="00E34B01" w:rsidTr="009E0F26">
        <w:trPr>
          <w:trHeight w:val="492"/>
          <w:jc w:val="center"/>
        </w:trPr>
        <w:tc>
          <w:tcPr>
            <w:tcW w:w="2314" w:type="dxa"/>
            <w:vMerge/>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sz w:val="24"/>
              </w:rPr>
            </w:pPr>
            <w:r>
              <w:rPr>
                <w:rFonts w:ascii="仿宋_GB2312" w:hAnsi="仿宋_GB2312" w:cs="仿宋_GB2312" w:hint="eastAsia"/>
                <w:color w:val="000000"/>
                <w:kern w:val="0"/>
                <w:sz w:val="24"/>
              </w:rPr>
              <w:t>施工现场建筑起重机械、脚手架、模板支撑体系、卸料平台、临时用电等汛期安全生产措施落实情况</w:t>
            </w:r>
          </w:p>
        </w:tc>
      </w:tr>
      <w:tr w:rsidR="00E34B01" w:rsidTr="009E0F26">
        <w:trPr>
          <w:trHeight w:val="492"/>
          <w:jc w:val="center"/>
        </w:trPr>
        <w:tc>
          <w:tcPr>
            <w:tcW w:w="231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既有房屋安全</w:t>
            </w: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城镇房屋</w:t>
            </w: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Fonts w:ascii="仿宋_GB2312" w:hAnsi="仿宋_GB2312" w:cs="仿宋_GB2312" w:hint="eastAsia"/>
                <w:sz w:val="24"/>
              </w:rPr>
              <w:t>城镇住宅小区特别是老旧小区</w:t>
            </w:r>
            <w:r>
              <w:rPr>
                <w:rStyle w:val="fontstyle31"/>
                <w:rFonts w:ascii="仿宋_GB2312" w:hAnsi="仿宋_GB2312" w:cs="仿宋_GB2312" w:hint="eastAsia"/>
                <w:sz w:val="24"/>
              </w:rPr>
              <w:t>的房屋</w:t>
            </w:r>
            <w:r>
              <w:rPr>
                <w:rFonts w:ascii="仿宋_GB2312" w:hAnsi="仿宋_GB2312" w:cs="仿宋_GB2312" w:hint="eastAsia"/>
                <w:sz w:val="24"/>
              </w:rPr>
              <w:t>安全隐患</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Fonts w:ascii="仿宋_GB2312" w:hAnsi="仿宋_GB2312" w:cs="仿宋_GB2312" w:hint="eastAsia"/>
                <w:sz w:val="24"/>
              </w:rPr>
              <w:t>建筑年代较长、建设标准较低、失修失养严重房屋</w:t>
            </w:r>
            <w:r>
              <w:rPr>
                <w:rStyle w:val="fontstyle31"/>
                <w:rFonts w:ascii="仿宋_GB2312" w:hAnsi="仿宋_GB2312" w:cs="仿宋_GB2312" w:hint="eastAsia"/>
                <w:sz w:val="24"/>
              </w:rPr>
              <w:t>的房屋</w:t>
            </w:r>
            <w:r>
              <w:rPr>
                <w:rFonts w:ascii="仿宋_GB2312" w:hAnsi="仿宋_GB2312" w:cs="仿宋_GB2312" w:hint="eastAsia"/>
                <w:sz w:val="24"/>
              </w:rPr>
              <w:t>安全隐患</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Fonts w:ascii="仿宋_GB2312" w:hAnsi="仿宋_GB2312" w:cs="仿宋_GB2312" w:hint="eastAsia"/>
                <w:sz w:val="24"/>
              </w:rPr>
              <w:t>城市低洼、临河地段房屋</w:t>
            </w:r>
            <w:r>
              <w:rPr>
                <w:rStyle w:val="fontstyle31"/>
                <w:rFonts w:ascii="仿宋_GB2312" w:hAnsi="仿宋_GB2312" w:cs="仿宋_GB2312" w:hint="eastAsia"/>
                <w:sz w:val="24"/>
              </w:rPr>
              <w:t>的房屋</w:t>
            </w:r>
            <w:r>
              <w:rPr>
                <w:rFonts w:ascii="仿宋_GB2312" w:hAnsi="仿宋_GB2312" w:cs="仿宋_GB2312" w:hint="eastAsia"/>
                <w:sz w:val="24"/>
              </w:rPr>
              <w:t>安全隐患</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Style w:val="fontstyle31"/>
                <w:rFonts w:ascii="仿宋_GB2312" w:hAnsi="仿宋_GB2312" w:cs="仿宋_GB2312" w:hint="eastAsia"/>
                <w:sz w:val="24"/>
              </w:rPr>
              <w:t>改建改用为酒店、饭店、学校、体育馆、长租公寓等人员聚集场所的房屋</w:t>
            </w:r>
            <w:r>
              <w:rPr>
                <w:rFonts w:ascii="仿宋_GB2312" w:hAnsi="仿宋_GB2312" w:cs="仿宋_GB2312" w:hint="eastAsia"/>
                <w:sz w:val="24"/>
              </w:rPr>
              <w:t>安全隐患</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Fonts w:ascii="仿宋_GB2312" w:hAnsi="仿宋_GB2312" w:cs="仿宋_GB2312" w:hint="eastAsia"/>
                <w:sz w:val="24"/>
              </w:rPr>
              <w:t>消防设备、电梯、水电气管道、围墙、消防通道、地下空间、配电房、泵房、机房、公共区域防盗设施、监控系统等设施设备安全使用情况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Style w:val="fontstyle31"/>
                <w:rFonts w:ascii="仿宋_GB2312" w:hAnsi="仿宋_GB2312" w:cs="仿宋_GB2312" w:hint="eastAsia"/>
                <w:b/>
                <w:sz w:val="24"/>
              </w:rPr>
              <w:t>农村房屋</w:t>
            </w: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Style w:val="fontstyle31"/>
                <w:rFonts w:ascii="仿宋_GB2312" w:hAnsi="仿宋_GB2312" w:cs="仿宋_GB2312" w:hint="eastAsia"/>
                <w:sz w:val="24"/>
              </w:rPr>
              <w:t>农村房屋安全隐患排查整治工作情况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Style w:val="fontstyle31"/>
                <w:rFonts w:ascii="仿宋_GB2312" w:hAnsi="仿宋_GB2312" w:cs="仿宋_GB2312" w:hint="eastAsia"/>
                <w:sz w:val="24"/>
              </w:rPr>
              <w:t>农村削坡建房风险点边坡整治安全措施落实情况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Style w:val="fontstyle31"/>
                <w:rFonts w:ascii="仿宋_GB2312" w:hAnsi="仿宋_GB2312" w:cs="仿宋_GB2312" w:hint="eastAsia"/>
                <w:sz w:val="24"/>
              </w:rPr>
              <w:t>农房建设过程中旧房拆除、地基基础、承重结构、抗震构造设施、围护结构，以及现场外脚手架、模板等危险性较大的部位和环节</w:t>
            </w:r>
          </w:p>
        </w:tc>
      </w:tr>
      <w:tr w:rsidR="00E34B01" w:rsidTr="009E0F26">
        <w:trPr>
          <w:trHeight w:val="492"/>
          <w:jc w:val="center"/>
        </w:trPr>
        <w:tc>
          <w:tcPr>
            <w:tcW w:w="231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城市综合监督管理</w:t>
            </w: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私搭乱建的</w:t>
            </w:r>
          </w:p>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建筑与设施</w:t>
            </w: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Fonts w:ascii="仿宋_GB2312" w:hAnsi="仿宋_GB2312" w:cs="仿宋_GB2312" w:hint="eastAsia"/>
                <w:sz w:val="24"/>
              </w:rPr>
              <w:t>新增、存量私搭乱建安全隐患</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center"/>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Fonts w:ascii="仿宋_GB2312" w:hAnsi="仿宋_GB2312" w:cs="仿宋_GB2312" w:hint="eastAsia"/>
                <w:sz w:val="24"/>
              </w:rPr>
              <w:t>暂停使用、清空人员、拆除情况</w:t>
            </w:r>
          </w:p>
        </w:tc>
      </w:tr>
      <w:tr w:rsidR="00E34B01" w:rsidTr="009E0F26">
        <w:trPr>
          <w:trHeight w:val="492"/>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restart"/>
            <w:vAlign w:val="center"/>
          </w:tcPr>
          <w:p w:rsidR="00E34B01" w:rsidRDefault="00E34B01" w:rsidP="009E0F26">
            <w:pPr>
              <w:spacing w:line="300" w:lineRule="exact"/>
              <w:jc w:val="center"/>
              <w:rPr>
                <w:rFonts w:ascii="仿宋_GB2312" w:hAnsi="仿宋_GB2312" w:cs="仿宋_GB2312"/>
                <w:b/>
                <w:sz w:val="24"/>
              </w:rPr>
            </w:pPr>
            <w:r>
              <w:rPr>
                <w:rFonts w:ascii="仿宋_GB2312" w:hAnsi="仿宋_GB2312" w:cs="仿宋_GB2312" w:hint="eastAsia"/>
                <w:b/>
                <w:sz w:val="24"/>
              </w:rPr>
              <w:t>户外广告设置</w:t>
            </w: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Fonts w:ascii="仿宋_GB2312" w:hAnsi="仿宋_GB2312" w:cs="仿宋_GB2312" w:hint="eastAsia"/>
                <w:sz w:val="24"/>
              </w:rPr>
              <w:t>户外广告设施隐患排查治理</w:t>
            </w:r>
          </w:p>
        </w:tc>
      </w:tr>
      <w:tr w:rsidR="00E34B01" w:rsidTr="009E0F26">
        <w:trPr>
          <w:trHeight w:val="974"/>
          <w:jc w:val="center"/>
        </w:trPr>
        <w:tc>
          <w:tcPr>
            <w:tcW w:w="2314" w:type="dxa"/>
            <w:vMerge/>
            <w:vAlign w:val="center"/>
          </w:tcPr>
          <w:p w:rsidR="00E34B01" w:rsidRDefault="00E34B01" w:rsidP="009E0F26">
            <w:pPr>
              <w:spacing w:line="300" w:lineRule="exact"/>
              <w:jc w:val="center"/>
              <w:rPr>
                <w:rFonts w:ascii="仿宋_GB2312" w:hAnsi="仿宋_GB2312" w:cs="仿宋_GB2312"/>
                <w:b/>
                <w:sz w:val="24"/>
              </w:rPr>
            </w:pPr>
          </w:p>
        </w:tc>
        <w:tc>
          <w:tcPr>
            <w:tcW w:w="1764" w:type="dxa"/>
            <w:vMerge/>
            <w:vAlign w:val="center"/>
          </w:tcPr>
          <w:p w:rsidR="00E34B01" w:rsidRDefault="00E34B01" w:rsidP="009E0F26">
            <w:pPr>
              <w:spacing w:line="300" w:lineRule="exact"/>
              <w:jc w:val="left"/>
              <w:rPr>
                <w:rFonts w:ascii="仿宋_GB2312" w:hAnsi="仿宋_GB2312" w:cs="仿宋_GB2312"/>
                <w:b/>
                <w:sz w:val="24"/>
              </w:rPr>
            </w:pPr>
          </w:p>
        </w:tc>
        <w:tc>
          <w:tcPr>
            <w:tcW w:w="4754" w:type="dxa"/>
            <w:vAlign w:val="center"/>
          </w:tcPr>
          <w:p w:rsidR="00E34B01" w:rsidRDefault="00E34B01" w:rsidP="009E0F26">
            <w:pPr>
              <w:spacing w:line="320" w:lineRule="exact"/>
              <w:jc w:val="left"/>
              <w:rPr>
                <w:rFonts w:ascii="仿宋_GB2312" w:hAnsi="仿宋_GB2312" w:cs="仿宋_GB2312"/>
                <w:color w:val="000000"/>
                <w:kern w:val="0"/>
                <w:sz w:val="24"/>
              </w:rPr>
            </w:pPr>
            <w:r>
              <w:rPr>
                <w:rFonts w:ascii="仿宋_GB2312" w:hAnsi="仿宋_GB2312" w:cs="仿宋_GB2312" w:hint="eastAsia"/>
                <w:sz w:val="24"/>
              </w:rPr>
              <w:t>违规设置户外广告处罚情况</w:t>
            </w:r>
          </w:p>
        </w:tc>
      </w:tr>
    </w:tbl>
    <w:p w:rsidR="00E34B01" w:rsidRDefault="00E34B01" w:rsidP="00E34B01">
      <w:pPr>
        <w:spacing w:line="240" w:lineRule="auto"/>
        <w:rPr>
          <w:rFonts w:ascii="Calibri" w:eastAsia="宋体" w:hAnsi="Calibri" w:cs="Times New Roman"/>
          <w:sz w:val="21"/>
        </w:rPr>
      </w:pPr>
    </w:p>
    <w:p w:rsidR="00E34B01" w:rsidRDefault="00E34B01" w:rsidP="00E34B01">
      <w:pPr>
        <w:pStyle w:val="PlainText1"/>
        <w:rPr>
          <w:rFonts w:ascii="仿宋_GB2312" w:eastAsia="仿宋_GB2312" w:hAnsi="宋体" w:cs="宋体"/>
          <w:bCs/>
          <w:color w:val="000000"/>
          <w:kern w:val="36"/>
          <w:szCs w:val="32"/>
        </w:rPr>
      </w:pPr>
    </w:p>
    <w:p w:rsidR="00E34B01" w:rsidRDefault="00E34B01" w:rsidP="00E34B01">
      <w:pPr>
        <w:pStyle w:val="a3"/>
        <w:spacing w:before="0" w:beforeAutospacing="0" w:after="0" w:afterAutospacing="0" w:line="560" w:lineRule="exact"/>
        <w:jc w:val="both"/>
        <w:rPr>
          <w:rFonts w:ascii="黑体" w:eastAsia="黑体" w:hAnsi="黑体"/>
          <w:sz w:val="32"/>
          <w:szCs w:val="32"/>
        </w:rPr>
      </w:pPr>
    </w:p>
    <w:p w:rsidR="00E34B01" w:rsidRPr="00E34B01" w:rsidRDefault="00E34B01"/>
    <w:sectPr w:rsidR="00E34B01" w:rsidRPr="00E34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小标宋">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01"/>
    <w:rsid w:val="00E34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11436-CB8C-424C-935E-147AFC2E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PlainText1"/>
    <w:qFormat/>
    <w:rsid w:val="00E34B01"/>
    <w:pPr>
      <w:widowControl w:val="0"/>
      <w:spacing w:line="600" w:lineRule="exact"/>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qFormat/>
    <w:rsid w:val="00E34B01"/>
    <w:pPr>
      <w:widowControl w:val="0"/>
      <w:spacing w:line="600" w:lineRule="exact"/>
      <w:jc w:val="both"/>
    </w:pPr>
    <w:rPr>
      <w:rFonts w:ascii="宋体" w:eastAsia="宋体" w:hAnsi="Courier New" w:cs="Times New Roman"/>
      <w:sz w:val="32"/>
      <w:szCs w:val="21"/>
    </w:rPr>
  </w:style>
  <w:style w:type="paragraph" w:styleId="a3">
    <w:name w:val="Normal (Web)"/>
    <w:next w:val="a4"/>
    <w:qFormat/>
    <w:rsid w:val="00E34B01"/>
    <w:pPr>
      <w:widowControl w:val="0"/>
      <w:spacing w:before="100" w:beforeAutospacing="1" w:after="100" w:afterAutospacing="1"/>
    </w:pPr>
    <w:rPr>
      <w:rFonts w:ascii="Calibri" w:eastAsia="宋体" w:hAnsi="Calibri" w:cs="Times New Roman"/>
      <w:kern w:val="0"/>
      <w:sz w:val="24"/>
      <w:szCs w:val="24"/>
    </w:rPr>
  </w:style>
  <w:style w:type="character" w:customStyle="1" w:styleId="fontstyle31">
    <w:name w:val="fontstyle31"/>
    <w:qFormat/>
    <w:rsid w:val="00E34B01"/>
    <w:rPr>
      <w:rFonts w:ascii="仿宋" w:eastAsia="仿宋" w:hAnsi="仿宋" w:cs="仿宋"/>
      <w:color w:val="000000"/>
      <w:sz w:val="32"/>
      <w:szCs w:val="32"/>
    </w:rPr>
  </w:style>
  <w:style w:type="paragraph" w:styleId="a4">
    <w:name w:val="header"/>
    <w:basedOn w:val="a"/>
    <w:link w:val="a5"/>
    <w:uiPriority w:val="99"/>
    <w:semiHidden/>
    <w:unhideWhenUsed/>
    <w:rsid w:val="00E34B0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E34B01"/>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2021-06-22T01:23:00Z</dcterms:created>
  <dcterms:modified xsi:type="dcterms:W3CDTF">2021-06-22T01:24:00Z</dcterms:modified>
</cp:coreProperties>
</file>