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小标宋" w:hAnsi="Times New Roman" w:eastAsia="小标宋" w:cs="Times New Roman"/>
          <w:sz w:val="44"/>
          <w:szCs w:val="44"/>
        </w:rPr>
      </w:pPr>
      <w:r>
        <w:rPr>
          <w:rFonts w:hint="eastAsia" w:ascii="小标宋" w:hAnsi="Times New Roman" w:eastAsia="小标宋" w:cs="Times New Roman"/>
          <w:sz w:val="44"/>
          <w:szCs w:val="44"/>
        </w:rPr>
        <w:t>住房和城乡建设部办公厅关于实行</w:t>
      </w:r>
    </w:p>
    <w:p>
      <w:pPr>
        <w:snapToGrid w:val="0"/>
        <w:spacing w:line="600" w:lineRule="exact"/>
        <w:jc w:val="center"/>
        <w:rPr>
          <w:rFonts w:hint="eastAsia" w:ascii="小标宋" w:hAnsi="Times New Roman" w:eastAsia="小标宋" w:cs="Times New Roman"/>
          <w:sz w:val="44"/>
          <w:szCs w:val="44"/>
        </w:rPr>
      </w:pPr>
      <w:r>
        <w:rPr>
          <w:rFonts w:hint="eastAsia" w:ascii="小标宋" w:hAnsi="Times New Roman" w:eastAsia="小标宋" w:cs="Times New Roman"/>
          <w:sz w:val="44"/>
          <w:szCs w:val="44"/>
        </w:rPr>
        <w:t>住房和城乡建设行业技能人员职业培训</w:t>
      </w:r>
    </w:p>
    <w:p>
      <w:pPr>
        <w:snapToGrid w:val="0"/>
        <w:spacing w:line="600" w:lineRule="exact"/>
        <w:jc w:val="center"/>
        <w:rPr>
          <w:rFonts w:hint="eastAsia" w:ascii="小标宋" w:hAnsi="Times New Roman" w:eastAsia="小标宋" w:cs="Times New Roman"/>
          <w:sz w:val="44"/>
          <w:szCs w:val="44"/>
        </w:rPr>
      </w:pPr>
      <w:r>
        <w:rPr>
          <w:rFonts w:hint="eastAsia" w:ascii="小标宋" w:hAnsi="Times New Roman" w:eastAsia="小标宋" w:cs="Times New Roman"/>
          <w:sz w:val="44"/>
          <w:szCs w:val="44"/>
        </w:rPr>
        <w:t>合格证电子化的通知</w:t>
      </w:r>
    </w:p>
    <w:p>
      <w:pPr>
        <w:rPr>
          <w:rFonts w:hint="eastAsia"/>
          <w:sz w:val="32"/>
          <w:szCs w:val="32"/>
        </w:rPr>
      </w:pPr>
      <w:r>
        <w:rPr>
          <w:rFonts w:hint="eastAsia"/>
          <w:sz w:val="32"/>
          <w:szCs w:val="32"/>
        </w:rPr>
        <w:t>　　</w:t>
      </w:r>
    </w:p>
    <w:p>
      <w:pPr>
        <w:rPr>
          <w:rFonts w:hint="eastAsia" w:ascii="仿宋" w:hAnsi="仿宋" w:eastAsia="仿宋" w:cs="仿宋"/>
          <w:sz w:val="32"/>
          <w:szCs w:val="32"/>
        </w:rPr>
      </w:pPr>
      <w:r>
        <w:rPr>
          <w:rFonts w:hint="eastAsia" w:ascii="仿宋" w:hAnsi="仿宋" w:eastAsia="仿宋" w:cs="仿宋"/>
          <w:sz w:val="32"/>
          <w:szCs w:val="32"/>
        </w:rPr>
        <w:t>各省、自治区住房和城乡建设厅，直辖市住房和城乡建设（管）委及有关部门，新疆生产建设兵团住房和城乡建设局，国务院国资委管理的有关建筑业企业：</w:t>
      </w:r>
    </w:p>
    <w:p>
      <w:pPr>
        <w:rPr>
          <w:rFonts w:hint="eastAsia" w:ascii="仿宋" w:hAnsi="仿宋" w:eastAsia="仿宋" w:cs="仿宋"/>
          <w:sz w:val="32"/>
          <w:szCs w:val="32"/>
        </w:rPr>
      </w:pPr>
      <w:r>
        <w:rPr>
          <w:rFonts w:hint="eastAsia" w:ascii="仿宋" w:hAnsi="仿宋" w:eastAsia="仿宋" w:cs="仿宋"/>
          <w:sz w:val="32"/>
          <w:szCs w:val="32"/>
        </w:rPr>
        <w:t>　　为深化住房和城乡建设领域“放管服”改革，加快培育新时代建筑产业工人队伍，提升行业职业技能培训监管服务水平，决定实行住房和城乡建设行业技能人员职业培训合格证电子化。现将有关事项通知如下：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一、完善培训机构信息</w:t>
      </w:r>
    </w:p>
    <w:p>
      <w:pPr>
        <w:rPr>
          <w:rFonts w:hint="eastAsia" w:ascii="仿宋" w:hAnsi="仿宋" w:eastAsia="仿宋" w:cs="仿宋"/>
          <w:sz w:val="32"/>
          <w:szCs w:val="32"/>
        </w:rPr>
      </w:pPr>
      <w:r>
        <w:rPr>
          <w:rFonts w:hint="eastAsia" w:ascii="仿宋" w:hAnsi="仿宋" w:eastAsia="仿宋" w:cs="仿宋"/>
          <w:sz w:val="32"/>
          <w:szCs w:val="32"/>
        </w:rPr>
        <w:t>　　各省级住房和城乡建设主管部门要按照住房和城乡建设行业技能人员职业培训机构基本要求（附件1），制定本地区培训机构具体条件，注重强调培训机构应具备开展相关技能人员理论培训和技能实操培训的能力。各地要对现有培训机构及新增培训机构进行梳理，将符合条件的培训机构基本情况信息表（附件2）上传至住房和城乡建设行业从业人员培训管理信息系统（以下简称培训管理系统），供有需求的企业和人员自主选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二、严格培训考核要求</w:t>
      </w:r>
    </w:p>
    <w:p>
      <w:pPr>
        <w:rPr>
          <w:rFonts w:hint="eastAsia" w:ascii="仿宋" w:hAnsi="仿宋" w:eastAsia="仿宋" w:cs="仿宋"/>
          <w:sz w:val="32"/>
          <w:szCs w:val="32"/>
        </w:rPr>
      </w:pPr>
      <w:r>
        <w:rPr>
          <w:rFonts w:hint="eastAsia" w:ascii="仿宋" w:hAnsi="仿宋" w:eastAsia="仿宋" w:cs="仿宋"/>
          <w:sz w:val="32"/>
          <w:szCs w:val="32"/>
        </w:rPr>
        <w:t>　　职业技能培训工作按照属地管理，由培训机构对行业技能人员开展培训、考核、发证。各培训机构原则上不能跨省域培训发证。培训机构应依据统一的职业标准、统一的培训大纲组织开展职业技能培训，对培训人员进行安全、理论、实操测试，按要求将测试成绩合格人员上传至培训管理系统，经省级住房和城乡建设主管部门确认后，系统将按照统一编码规则为培训合格人员生成电子培训合格证（附件3）。我部将建立统一培训考核题库，供培训机构免费使用。地方各级住房和城乡建设主管部门要指导培训机构进一步规范培训工作流程，确保培训数据准确有效。培训管理系统中的人员培训信息将与全国建筑工人管理服务信息平台对接，为加强施工现场实名制管理、强化施工项目人员配备提供人员培训依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三、加强监督指导，提高培训质量</w:t>
      </w:r>
    </w:p>
    <w:p>
      <w:pPr>
        <w:rPr>
          <w:rFonts w:hint="eastAsia" w:ascii="仿宋" w:hAnsi="仿宋" w:eastAsia="仿宋" w:cs="仿宋"/>
          <w:sz w:val="32"/>
          <w:szCs w:val="32"/>
        </w:rPr>
      </w:pPr>
      <w:r>
        <w:rPr>
          <w:rFonts w:hint="eastAsia" w:ascii="仿宋" w:hAnsi="仿宋" w:eastAsia="仿宋" w:cs="仿宋"/>
          <w:sz w:val="32"/>
          <w:szCs w:val="32"/>
        </w:rPr>
        <w:t>　　各级住房和城乡建设主管部门要组织不定期实地抽查，并探索利用人脸识别、打卡签到、视频监控等信息化手段，加大监督指导力度，积极营造良好的行业职业教育培训生态环境。对存在违规操作、弄虚作假的培训机构进行通报、责令整改，情节严重的，应将其从培训管理系统中清出。培训机构应健全培训制度，提高管理水平，加强师资力量，自觉接受住房和城乡建设主管部门监督管理，保证培训质量。</w:t>
      </w:r>
    </w:p>
    <w:p>
      <w:pPr>
        <w:rPr>
          <w:rFonts w:hint="eastAsia" w:ascii="仿宋" w:hAnsi="仿宋" w:eastAsia="仿宋" w:cs="仿宋"/>
          <w:sz w:val="32"/>
          <w:szCs w:val="32"/>
        </w:rPr>
      </w:pPr>
      <w:r>
        <w:rPr>
          <w:rFonts w:hint="eastAsia" w:ascii="仿宋" w:hAnsi="仿宋" w:eastAsia="仿宋" w:cs="仿宋"/>
          <w:sz w:val="32"/>
          <w:szCs w:val="32"/>
        </w:rPr>
        <w:t>　　培训管理系统中原各省（区、市）上传的技能人员职业培训合格证信息，在完善培训机构信息和个人信息后可自动生成电子证书。请各省级住房和城乡建设主管部门于2021年4月12日前将培训机构、现有培训合格证信息上传至培训管理系统，保证电子证书顺利换发。</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附件：1.住房和城乡建设行业技能人员职业培训机构有关</w:t>
      </w:r>
    </w:p>
    <w:p>
      <w:pPr>
        <w:ind w:firstLine="1929" w:firstLineChars="603"/>
        <w:rPr>
          <w:rFonts w:hint="eastAsia" w:ascii="仿宋" w:hAnsi="仿宋" w:eastAsia="仿宋" w:cs="仿宋"/>
          <w:sz w:val="32"/>
          <w:szCs w:val="32"/>
        </w:rPr>
      </w:pPr>
      <w:r>
        <w:rPr>
          <w:rFonts w:hint="eastAsia" w:ascii="仿宋" w:hAnsi="仿宋" w:eastAsia="仿宋" w:cs="仿宋"/>
          <w:sz w:val="32"/>
          <w:szCs w:val="32"/>
        </w:rPr>
        <w:t>要求</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2.住房和城乡建设行业技能人员职业培训机构基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本情况信息表</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3.《住房和城乡建设行业技能人员职业培训合格</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证》样式</w:t>
      </w:r>
    </w:p>
    <w:p>
      <w:pPr>
        <w:rPr>
          <w:rFonts w:hint="eastAsia" w:ascii="仿宋" w:hAnsi="仿宋" w:eastAsia="仿宋" w:cs="仿宋"/>
          <w:sz w:val="32"/>
          <w:szCs w:val="32"/>
        </w:rPr>
      </w:pPr>
    </w:p>
    <w:p>
      <w:pPr>
        <w:rPr>
          <w:rFonts w:hint="eastAsia" w:ascii="仿宋" w:hAnsi="仿宋" w:eastAsia="仿宋" w:cs="仿宋"/>
          <w:sz w:val="32"/>
          <w:szCs w:val="32"/>
        </w:rPr>
      </w:pPr>
    </w:p>
    <w:p>
      <w:pPr>
        <w:ind w:left="3840" w:hanging="3840" w:hangingChars="1200"/>
        <w:rPr>
          <w:rFonts w:hint="eastAsia" w:ascii="仿宋" w:hAnsi="仿宋" w:eastAsia="仿宋" w:cs="仿宋"/>
          <w:sz w:val="32"/>
          <w:szCs w:val="32"/>
        </w:rPr>
      </w:pPr>
      <w:r>
        <w:rPr>
          <w:rFonts w:hint="eastAsia" w:ascii="仿宋" w:hAnsi="仿宋" w:eastAsia="仿宋" w:cs="仿宋"/>
          <w:sz w:val="32"/>
          <w:szCs w:val="32"/>
        </w:rPr>
        <w:t>　　　　　　　　　　　　　　　　　　　　　　　　　　　　　　　　　　　住房和城乡建设部办公厅　　　　　　　　　　</w:t>
      </w:r>
    </w:p>
    <w:p>
      <w:pPr>
        <w:ind w:firstLine="4480" w:firstLineChars="1400"/>
        <w:rPr>
          <w:rFonts w:hint="eastAsia" w:ascii="仿宋" w:hAnsi="仿宋" w:eastAsia="仿宋" w:cs="仿宋"/>
          <w:sz w:val="32"/>
          <w:szCs w:val="32"/>
        </w:rPr>
      </w:pPr>
      <w:r>
        <w:rPr>
          <w:rFonts w:hint="eastAsia" w:ascii="仿宋" w:hAnsi="仿宋" w:eastAsia="仿宋" w:cs="仿宋"/>
          <w:sz w:val="32"/>
          <w:szCs w:val="32"/>
        </w:rPr>
        <w:t>2021年3月5日</w:t>
      </w: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p>
    <w:p>
      <w:pPr>
        <w:spacing w:line="240" w:lineRule="auto"/>
        <w:jc w:val="both"/>
        <w:rPr>
          <w:rFonts w:ascii="Calibri" w:hAnsi="Calibri" w:eastAsia="宋体" w:cs="Times New Roman"/>
          <w:sz w:val="32"/>
          <w:szCs w:val="32"/>
        </w:rPr>
      </w:pPr>
      <w:r>
        <w:rPr>
          <w:rFonts w:hint="eastAsia" w:ascii="黑体" w:hAnsi="黑体" w:eastAsia="黑体" w:cs="黑体"/>
          <w:sz w:val="32"/>
          <w:szCs w:val="32"/>
        </w:rPr>
        <w:t>附件1</w:t>
      </w:r>
      <w:r>
        <w:rPr>
          <w:rFonts w:ascii="Calibri" w:hAnsi="Calibri" w:eastAsia="宋体" w:cs="Times New Roman"/>
          <w:sz w:val="32"/>
          <w:szCs w:val="32"/>
        </w:rPr>
        <w:t xml:space="preserve"> </w:t>
      </w:r>
    </w:p>
    <w:p>
      <w:pPr>
        <w:spacing w:line="5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住房和城乡建设行业技能人员</w:t>
      </w:r>
    </w:p>
    <w:p>
      <w:pPr>
        <w:spacing w:line="5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职业培训机构有关要求</w:t>
      </w:r>
    </w:p>
    <w:p>
      <w:pPr>
        <w:spacing w:line="560" w:lineRule="exact"/>
        <w:ind w:firstLine="480" w:firstLineChars="200"/>
        <w:rPr>
          <w:rFonts w:ascii="Calibri" w:hAnsi="Calibri" w:eastAsia="宋体" w:cs="Times New Roman"/>
          <w:sz w:val="24"/>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为便于各地指导规范有关职业培训机构开展工作，确保培训质量，就住房和城乡建设行业技能人员职业培训机构提出如下基本要求：</w:t>
      </w:r>
    </w:p>
    <w:p>
      <w:pPr>
        <w:spacing w:line="560" w:lineRule="exact"/>
        <w:ind w:firstLine="640" w:firstLineChars="200"/>
        <w:rPr>
          <w:rFonts w:ascii="仿宋" w:hAnsi="仿宋" w:eastAsia="仿宋" w:cs="Times New Roman"/>
          <w:b/>
          <w:bCs/>
          <w:sz w:val="32"/>
          <w:szCs w:val="32"/>
        </w:rPr>
      </w:pPr>
      <w:r>
        <w:rPr>
          <w:rFonts w:hint="eastAsia" w:ascii="黑体" w:hAnsi="黑体" w:eastAsia="黑体" w:cs="黑体"/>
          <w:b w:val="0"/>
          <w:bCs w:val="0"/>
          <w:sz w:val="32"/>
          <w:szCs w:val="32"/>
        </w:rPr>
        <w:t>一、培训机构</w:t>
      </w:r>
      <w:bookmarkStart w:id="0" w:name="_GoBack"/>
      <w:bookmarkEnd w:id="0"/>
      <w:r>
        <w:rPr>
          <w:rFonts w:hint="eastAsia" w:ascii="黑体" w:hAnsi="黑体" w:eastAsia="黑体" w:cs="黑体"/>
          <w:b w:val="0"/>
          <w:bCs w:val="0"/>
          <w:sz w:val="32"/>
          <w:szCs w:val="32"/>
        </w:rPr>
        <w:t>类别</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开展住房和城乡建设行业技能人员职业培训的机构应遵纪守法，熟悉国家职业教育方针和就业政策，社会信用良好，无违法</w:t>
      </w:r>
      <w:r>
        <w:rPr>
          <w:rFonts w:hint="eastAsia" w:ascii="仿宋" w:hAnsi="仿宋" w:eastAsia="仿宋" w:cs="Times New Roman"/>
          <w:sz w:val="32"/>
          <w:szCs w:val="32"/>
          <w:lang w:eastAsia="zh-CN"/>
        </w:rPr>
        <w:t>违规行为</w:t>
      </w:r>
      <w:r>
        <w:rPr>
          <w:rFonts w:hint="eastAsia" w:ascii="仿宋" w:hAnsi="仿宋" w:eastAsia="仿宋" w:cs="Times New Roman"/>
          <w:sz w:val="32"/>
          <w:szCs w:val="32"/>
          <w:highlight w:val="none"/>
          <w:lang w:eastAsia="zh-CN"/>
        </w:rPr>
        <w:t>，且</w:t>
      </w:r>
      <w:r>
        <w:rPr>
          <w:rFonts w:hint="eastAsia" w:ascii="仿宋" w:hAnsi="仿宋" w:eastAsia="仿宋" w:cs="Times New Roman"/>
          <w:sz w:val="32"/>
          <w:szCs w:val="32"/>
        </w:rPr>
        <w:t>为下列之一。</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（一）一级及以上施工企业，且具有专门培训机构，如企业培训中心等</w:t>
      </w:r>
      <w:r>
        <w:rPr>
          <w:rFonts w:hint="eastAsia" w:ascii="仿宋" w:hAnsi="仿宋" w:eastAsia="仿宋" w:cs="Times New Roman"/>
          <w:sz w:val="32"/>
          <w:szCs w:val="32"/>
          <w:lang w:eastAsia="zh-CN"/>
        </w:rPr>
        <w:t>；</w:t>
      </w:r>
      <w:r>
        <w:rPr>
          <w:rFonts w:hint="eastAsia" w:ascii="仿宋" w:hAnsi="仿宋" w:eastAsia="仿宋" w:cs="Times New Roman"/>
          <w:sz w:val="32"/>
          <w:szCs w:val="32"/>
        </w:rPr>
        <w:t>企业具有一定规模的自有技能人员，无拖欠农民工工资等</w:t>
      </w:r>
      <w:r>
        <w:rPr>
          <w:rFonts w:hint="eastAsia" w:ascii="仿宋" w:hAnsi="仿宋" w:eastAsia="仿宋" w:cs="Times New Roman"/>
          <w:sz w:val="32"/>
          <w:szCs w:val="32"/>
          <w:highlight w:val="none"/>
          <w:lang w:eastAsia="zh-CN"/>
        </w:rPr>
        <w:t>行为</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（二）具有相关办学资质的培训机构，</w:t>
      </w:r>
      <w:r>
        <w:rPr>
          <w:rFonts w:hint="eastAsia" w:ascii="仿宋" w:hAnsi="仿宋" w:eastAsia="仿宋" w:cs="Times New Roman"/>
          <w:sz w:val="32"/>
          <w:szCs w:val="32"/>
          <w:lang w:eastAsia="zh-CN"/>
        </w:rPr>
        <w:t>且</w:t>
      </w:r>
      <w:r>
        <w:rPr>
          <w:rFonts w:hint="eastAsia" w:ascii="仿宋" w:hAnsi="仿宋" w:eastAsia="仿宋" w:cs="Times New Roman"/>
          <w:sz w:val="32"/>
          <w:szCs w:val="32"/>
        </w:rPr>
        <w:t>具备从事住房和城乡建设领域相关培训能力，长期支持行业人才培养工作。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（三）开设住房和城乡建设领域相关课程的职业院校（含技师学院、技工院校）等，</w:t>
      </w:r>
      <w:r>
        <w:rPr>
          <w:rFonts w:hint="eastAsia" w:ascii="仿宋" w:hAnsi="仿宋" w:eastAsia="仿宋" w:cs="Times New Roman"/>
          <w:sz w:val="32"/>
          <w:szCs w:val="32"/>
          <w:lang w:eastAsia="zh-CN"/>
        </w:rPr>
        <w:t>且</w:t>
      </w:r>
      <w:r>
        <w:rPr>
          <w:rFonts w:hint="eastAsia" w:ascii="仿宋" w:hAnsi="仿宋" w:eastAsia="仿宋" w:cs="Times New Roman"/>
          <w:sz w:val="32"/>
          <w:szCs w:val="32"/>
        </w:rPr>
        <w:t>长期从事行业相关人才培养，为行业输送大量合格人才。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黑体" w:hAnsi="黑体" w:eastAsia="黑体" w:cs="黑体"/>
          <w:sz w:val="32"/>
          <w:szCs w:val="32"/>
        </w:rPr>
        <w:t>二、培训机构应具备的基本条件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一</w:t>
      </w:r>
      <w:r>
        <w:rPr>
          <w:rFonts w:hint="eastAsia" w:ascii="仿宋" w:hAnsi="仿宋" w:eastAsia="仿宋" w:cs="Times New Roman"/>
          <w:sz w:val="32"/>
          <w:szCs w:val="32"/>
        </w:rPr>
        <w:t>）建立相对完善的培训管理制度，具有规范的财务制度和内部规章制度，运营管理规范。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二</w:t>
      </w:r>
      <w:r>
        <w:rPr>
          <w:rFonts w:hint="eastAsia" w:ascii="仿宋" w:hAnsi="仿宋" w:eastAsia="仿宋" w:cs="Times New Roman"/>
          <w:sz w:val="32"/>
          <w:szCs w:val="32"/>
        </w:rPr>
        <w:t>）具有与培训职业岗位、规模相适应的培训场所、实训设施、设备和实操培训考核场地。</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三</w:t>
      </w:r>
      <w:r>
        <w:rPr>
          <w:rFonts w:hint="eastAsia" w:ascii="仿宋" w:hAnsi="仿宋" w:eastAsia="仿宋" w:cs="Times New Roman"/>
          <w:sz w:val="32"/>
          <w:szCs w:val="32"/>
        </w:rPr>
        <w:t>）有专门负责技能人员职业培训工作的机构,有与培训工作相适应的专职工作人员、一定数量的相关专业专职教师及稳定的兼职教师队伍，有与实操技能培训和考核相适应的实操考评员。</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四</w:t>
      </w:r>
      <w:r>
        <w:rPr>
          <w:rFonts w:hint="eastAsia" w:ascii="仿宋" w:hAnsi="仿宋" w:eastAsia="仿宋" w:cs="Times New Roman"/>
          <w:sz w:val="32"/>
          <w:szCs w:val="32"/>
        </w:rPr>
        <w:t>）配备开展培训测试所必须的计算机、网络环境、视频监控等设备，自愿接受并积极配合相关部门的培训监管。</w:t>
      </w: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spacing w:line="560" w:lineRule="exact"/>
        <w:ind w:firstLine="640" w:firstLineChars="200"/>
        <w:rPr>
          <w:rFonts w:hint="eastAsia" w:ascii="黑体" w:hAnsi="黑体" w:eastAsia="黑体" w:cs="黑体"/>
          <w:b w:val="0"/>
          <w:bCs w:val="0"/>
          <w:sz w:val="32"/>
          <w:szCs w:val="32"/>
        </w:rPr>
      </w:pPr>
    </w:p>
    <w:p>
      <w:pPr>
        <w:jc w:val="center"/>
        <w:rPr>
          <w:rFonts w:hint="eastAsia" w:ascii="Calibri" w:hAnsi="Calibri" w:eastAsia="宋体" w:cs="Times New Roman"/>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240" w:lineRule="auto"/>
        <w:jc w:val="both"/>
        <w:rPr>
          <w:rFonts w:ascii="Calibri" w:hAnsi="Calibri" w:eastAsia="宋体"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ascii="Calibri" w:hAnsi="Calibri" w:eastAsia="宋体" w:cs="Times New Roman"/>
          <w:sz w:val="32"/>
          <w:szCs w:val="32"/>
        </w:rPr>
        <w:t xml:space="preserve"> </w:t>
      </w:r>
    </w:p>
    <w:p>
      <w:pPr>
        <w:spacing w:line="560" w:lineRule="exact"/>
        <w:ind w:firstLine="640" w:firstLineChars="200"/>
        <w:rPr>
          <w:rFonts w:hint="eastAsia" w:ascii="黑体" w:hAnsi="黑体" w:eastAsia="黑体" w:cs="黑体"/>
          <w:b w:val="0"/>
          <w:bCs w:val="0"/>
          <w:sz w:val="32"/>
          <w:szCs w:val="32"/>
        </w:rPr>
      </w:pPr>
    </w:p>
    <w:p>
      <w:pPr>
        <w:spacing w:line="5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住房和城乡建设行业技能人员职业培训机构</w:t>
      </w:r>
    </w:p>
    <w:p>
      <w:pPr>
        <w:spacing w:line="560" w:lineRule="exact"/>
        <w:ind w:firstLine="0" w:firstLineChars="0"/>
        <w:jc w:val="center"/>
        <w:rPr>
          <w:rFonts w:hint="eastAsia" w:ascii="黑体" w:hAnsi="黑体" w:eastAsia="黑体" w:cs="黑体"/>
          <w:b w:val="0"/>
          <w:bCs w:val="0"/>
          <w:sz w:val="32"/>
          <w:szCs w:val="32"/>
        </w:rPr>
      </w:pPr>
      <w:r>
        <w:rPr>
          <w:rFonts w:hint="eastAsia" w:ascii="方正小标宋简体" w:hAnsi="方正小标宋简体" w:eastAsia="方正小标宋简体" w:cs="方正小标宋简体"/>
          <w:b w:val="0"/>
          <w:bCs w:val="0"/>
          <w:sz w:val="36"/>
          <w:szCs w:val="36"/>
        </w:rPr>
        <w:t>基本情况信息表</w:t>
      </w:r>
    </w:p>
    <w:p>
      <w:pPr>
        <w:ind w:firstLine="562" w:firstLineChars="200"/>
        <w:rPr>
          <w:rFonts w:hint="eastAsia" w:ascii="仿宋" w:hAnsi="仿宋" w:eastAsia="仿宋" w:cs="Times New Roman"/>
          <w:b/>
          <w:bCs/>
          <w:sz w:val="28"/>
          <w:szCs w:val="28"/>
        </w:rPr>
      </w:pPr>
    </w:p>
    <w:tbl>
      <w:tblPr>
        <w:tblStyle w:val="3"/>
        <w:tblW w:w="0" w:type="auto"/>
        <w:tblInd w:w="113" w:type="dxa"/>
        <w:tblLayout w:type="fixed"/>
        <w:tblCellMar>
          <w:top w:w="0" w:type="dxa"/>
          <w:left w:w="108" w:type="dxa"/>
          <w:bottom w:w="0" w:type="dxa"/>
          <w:right w:w="108" w:type="dxa"/>
        </w:tblCellMar>
      </w:tblPr>
      <w:tblGrid>
        <w:gridCol w:w="827"/>
        <w:gridCol w:w="1249"/>
        <w:gridCol w:w="471"/>
        <w:gridCol w:w="725"/>
        <w:gridCol w:w="692"/>
        <w:gridCol w:w="329"/>
        <w:gridCol w:w="968"/>
        <w:gridCol w:w="809"/>
        <w:gridCol w:w="1013"/>
        <w:gridCol w:w="709"/>
        <w:gridCol w:w="992"/>
      </w:tblGrid>
      <w:tr>
        <w:tblPrEx>
          <w:tblCellMar>
            <w:top w:w="0" w:type="dxa"/>
            <w:left w:w="108" w:type="dxa"/>
            <w:bottom w:w="0" w:type="dxa"/>
            <w:right w:w="108" w:type="dxa"/>
          </w:tblCellMar>
        </w:tblPrEx>
        <w:trPr>
          <w:trHeight w:val="435" w:hRule="atLeast"/>
        </w:trPr>
        <w:tc>
          <w:tcPr>
            <w:tcW w:w="2076"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培训考核机构名称</w:t>
            </w:r>
          </w:p>
        </w:tc>
        <w:tc>
          <w:tcPr>
            <w:tcW w:w="6708"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1" w:hRule="atLeast"/>
        </w:trPr>
        <w:tc>
          <w:tcPr>
            <w:tcW w:w="2076"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培训考核机构地址</w:t>
            </w:r>
          </w:p>
        </w:tc>
        <w:tc>
          <w:tcPr>
            <w:tcW w:w="6708"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4" w:hRule="atLeast"/>
        </w:trPr>
        <w:tc>
          <w:tcPr>
            <w:tcW w:w="20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负责人姓名</w:t>
            </w:r>
          </w:p>
        </w:tc>
        <w:tc>
          <w:tcPr>
            <w:tcW w:w="221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7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联系电话</w:t>
            </w:r>
          </w:p>
        </w:tc>
        <w:tc>
          <w:tcPr>
            <w:tcW w:w="271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Calibri" w:hAnsi="Calibri" w:eastAsia="等线" w:cs="Calibri"/>
                <w:color w:val="000000"/>
                <w:kern w:val="0"/>
                <w:sz w:val="18"/>
                <w:szCs w:val="18"/>
              </w:rPr>
            </w:pPr>
            <w:r>
              <w:rPr>
                <w:rFonts w:ascii="Calibri" w:hAnsi="Calibri" w:eastAsia="等线" w:cs="Calibri"/>
                <w:color w:val="000000"/>
                <w:kern w:val="0"/>
                <w:sz w:val="18"/>
                <w:szCs w:val="18"/>
              </w:rPr>
              <w:t>　</w:t>
            </w:r>
          </w:p>
        </w:tc>
      </w:tr>
      <w:tr>
        <w:tblPrEx>
          <w:tblCellMar>
            <w:top w:w="0" w:type="dxa"/>
            <w:left w:w="108" w:type="dxa"/>
            <w:bottom w:w="0" w:type="dxa"/>
            <w:right w:w="108" w:type="dxa"/>
          </w:tblCellMar>
        </w:tblPrEx>
        <w:trPr>
          <w:trHeight w:val="1119" w:hRule="atLeast"/>
        </w:trPr>
        <w:tc>
          <w:tcPr>
            <w:tcW w:w="2076"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培训考核机构概况</w:t>
            </w:r>
          </w:p>
        </w:tc>
        <w:tc>
          <w:tcPr>
            <w:tcW w:w="6708"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拟培训考核职业（工种）及等级</w:t>
            </w: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职业（工种）</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职业（工种）代码</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等级</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办公设备情况</w:t>
            </w: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设备名称</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tc>
        <w:tc>
          <w:tcPr>
            <w:tcW w:w="182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适用职业（工种）</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租用/自有</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运行情况</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2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2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2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3" w:hRule="atLeast"/>
        </w:trPr>
        <w:tc>
          <w:tcPr>
            <w:tcW w:w="207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18"/>
                <w:szCs w:val="18"/>
              </w:rPr>
            </w:pPr>
          </w:p>
        </w:tc>
        <w:tc>
          <w:tcPr>
            <w:tcW w:w="221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2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784"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管理人员情况</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姓名</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身份证号码</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工作单位</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现任职务</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文化程度</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技术职称等级</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联系方式</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专职</w:t>
            </w:r>
            <w:r>
              <w:rPr>
                <w:rFonts w:ascii="Calibri" w:hAnsi="Calibri" w:eastAsia="宋体" w:cs="Calibri"/>
                <w:color w:val="000000"/>
                <w:kern w:val="0"/>
                <w:sz w:val="18"/>
                <w:szCs w:val="18"/>
              </w:rPr>
              <w:t>/</w:t>
            </w:r>
            <w:r>
              <w:rPr>
                <w:rFonts w:hint="eastAsia" w:ascii="宋体" w:hAnsi="宋体" w:eastAsia="宋体" w:cs="宋体"/>
                <w:color w:val="000000"/>
                <w:kern w:val="0"/>
                <w:sz w:val="18"/>
                <w:szCs w:val="18"/>
              </w:rPr>
              <w:t>兼职</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拟从教或考证工种</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0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013"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70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80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013"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70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784"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师资人员情况</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姓名</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身份证号码</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工作单位</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现任职务</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文化程度</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技术职称等级</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联系方式</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专职</w:t>
            </w:r>
            <w:r>
              <w:rPr>
                <w:rFonts w:ascii="Calibri" w:hAnsi="Calibri" w:eastAsia="宋体" w:cs="Calibri"/>
                <w:color w:val="000000"/>
                <w:kern w:val="0"/>
                <w:sz w:val="18"/>
                <w:szCs w:val="18"/>
              </w:rPr>
              <w:t>/</w:t>
            </w:r>
            <w:r>
              <w:rPr>
                <w:rFonts w:hint="eastAsia" w:ascii="宋体" w:hAnsi="宋体" w:eastAsia="宋体" w:cs="宋体"/>
                <w:color w:val="000000"/>
                <w:kern w:val="0"/>
                <w:sz w:val="18"/>
                <w:szCs w:val="18"/>
              </w:rPr>
              <w:t>兼职</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拟从教或考证工种</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784"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考评员情况</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姓名</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身份证号码</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工作单位</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现任职务</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文化程度</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技术职称等级</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联系方式</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专职</w:t>
            </w:r>
            <w:r>
              <w:rPr>
                <w:rFonts w:ascii="Calibri" w:hAnsi="Calibri" w:eastAsia="宋体" w:cs="Calibri"/>
                <w:color w:val="000000"/>
                <w:kern w:val="0"/>
                <w:sz w:val="18"/>
                <w:szCs w:val="18"/>
              </w:rPr>
              <w:t>/</w:t>
            </w:r>
            <w:r>
              <w:rPr>
                <w:rFonts w:hint="eastAsia" w:ascii="宋体" w:hAnsi="宋体" w:eastAsia="宋体" w:cs="宋体"/>
                <w:color w:val="000000"/>
                <w:kern w:val="0"/>
                <w:sz w:val="18"/>
                <w:szCs w:val="18"/>
              </w:rPr>
              <w:t>兼职</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拟从教或考证工种</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2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atLeast"/>
        </w:trPr>
        <w:tc>
          <w:tcPr>
            <w:tcW w:w="8784"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培训考核场地情况</w:t>
            </w:r>
          </w:p>
        </w:tc>
      </w:tr>
      <w:tr>
        <w:tblPrEx>
          <w:tblCellMar>
            <w:top w:w="0" w:type="dxa"/>
            <w:left w:w="108" w:type="dxa"/>
            <w:bottom w:w="0" w:type="dxa"/>
            <w:right w:w="108" w:type="dxa"/>
          </w:tblCellMar>
        </w:tblPrEx>
        <w:trPr>
          <w:trHeight w:val="489" w:hRule="atLeast"/>
        </w:trPr>
        <w:tc>
          <w:tcPr>
            <w:tcW w:w="25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场地名称</w:t>
            </w:r>
          </w:p>
        </w:tc>
        <w:tc>
          <w:tcPr>
            <w:tcW w:w="14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面积</w:t>
            </w:r>
          </w:p>
        </w:tc>
        <w:tc>
          <w:tcPr>
            <w:tcW w:w="210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适用工种</w:t>
            </w:r>
          </w:p>
        </w:tc>
        <w:tc>
          <w:tcPr>
            <w:tcW w:w="17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工位数</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租用/自有</w:t>
            </w:r>
          </w:p>
        </w:tc>
      </w:tr>
      <w:tr>
        <w:tblPrEx>
          <w:tblCellMar>
            <w:top w:w="0" w:type="dxa"/>
            <w:left w:w="108" w:type="dxa"/>
            <w:bottom w:w="0" w:type="dxa"/>
            <w:right w:w="108" w:type="dxa"/>
          </w:tblCellMar>
        </w:tblPrEx>
        <w:trPr>
          <w:trHeight w:val="489" w:hRule="atLeast"/>
        </w:trPr>
        <w:tc>
          <w:tcPr>
            <w:tcW w:w="254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0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9" w:hRule="atLeast"/>
        </w:trPr>
        <w:tc>
          <w:tcPr>
            <w:tcW w:w="254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0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89" w:hRule="atLeast"/>
        </w:trPr>
        <w:tc>
          <w:tcPr>
            <w:tcW w:w="254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0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489" w:hRule="atLeast"/>
        </w:trPr>
        <w:tc>
          <w:tcPr>
            <w:tcW w:w="254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4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0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tcBorders>
              <w:top w:val="nil"/>
              <w:left w:val="nil"/>
              <w:bottom w:val="single" w:color="auto" w:sz="4" w:space="0"/>
              <w:right w:val="single" w:color="auto" w:sz="4" w:space="0"/>
            </w:tcBorders>
            <w:noWrap w:val="0"/>
            <w:vAlign w:val="bottom"/>
          </w:tcPr>
          <w:p>
            <w:pPr>
              <w:widowControl/>
              <w:jc w:val="left"/>
              <w:rPr>
                <w:rFonts w:hint="eastAsia"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bl>
    <w:p>
      <w:pPr>
        <w:jc w:val="left"/>
        <w:rPr>
          <w:rFonts w:ascii="Calibri" w:hAnsi="Calibri" w:eastAsia="宋体" w:cs="Times New Roman"/>
          <w:sz w:val="18"/>
          <w:szCs w:val="21"/>
        </w:rPr>
      </w:pPr>
    </w:p>
    <w:p>
      <w:pPr>
        <w:jc w:val="center"/>
        <w:rPr>
          <w:rFonts w:hint="eastAsia" w:ascii="Calibri" w:hAnsi="Calibri" w:eastAsia="宋体" w:cs="Times New Roman"/>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ascii="黑体" w:hAnsi="黑体" w:eastAsia="黑体" w:cs="Times New Roman"/>
          <w:sz w:val="32"/>
          <w:szCs w:val="40"/>
        </w:rPr>
      </w:pPr>
    </w:p>
    <w:p>
      <w:pPr>
        <w:jc w:val="center"/>
        <w:rPr>
          <w:rFonts w:hint="eastAsia" w:ascii="方正小标宋简体" w:hAnsi="方正小标宋简体" w:eastAsia="方正小标宋简体" w:cs="方正小标宋简体"/>
          <w:w w:val="90"/>
          <w:sz w:val="36"/>
          <w:szCs w:val="36"/>
        </w:rPr>
      </w:pPr>
      <w:r>
        <w:rPr>
          <w:rFonts w:hint="eastAsia" w:ascii="方正小标宋简体" w:hAnsi="方正小标宋简体" w:eastAsia="方正小标宋简体" w:cs="方正小标宋简体"/>
          <w:w w:val="90"/>
          <w:sz w:val="36"/>
          <w:szCs w:val="36"/>
        </w:rPr>
        <w:t>《住房</w:t>
      </w:r>
      <w:r>
        <w:rPr>
          <w:rFonts w:hint="eastAsia" w:ascii="方正小标宋简体" w:hAnsi="方正小标宋简体" w:eastAsia="方正小标宋简体" w:cs="方正小标宋简体"/>
          <w:w w:val="90"/>
          <w:sz w:val="36"/>
          <w:szCs w:val="36"/>
          <w:lang w:eastAsia="zh-CN"/>
        </w:rPr>
        <w:t>和</w:t>
      </w:r>
      <w:r>
        <w:rPr>
          <w:rFonts w:hint="eastAsia" w:ascii="方正小标宋简体" w:hAnsi="方正小标宋简体" w:eastAsia="方正小标宋简体" w:cs="方正小标宋简体"/>
          <w:w w:val="90"/>
          <w:sz w:val="36"/>
          <w:szCs w:val="36"/>
        </w:rPr>
        <w:t>城乡建设行业技能人员职业培训合格证》样式</w:t>
      </w:r>
    </w:p>
    <w:p>
      <w:pPr>
        <w:jc w:val="center"/>
        <w:rPr>
          <w:rFonts w:ascii="黑体" w:hAnsi="黑体" w:eastAsia="黑体" w:cs="Times New Roman"/>
          <w:sz w:val="15"/>
          <w:szCs w:val="15"/>
        </w:rPr>
      </w:pPr>
    </w:p>
    <w:p>
      <w:pPr>
        <w:jc w:val="center"/>
        <w:rPr>
          <w:rFonts w:hint="eastAsia" w:ascii="Calibri" w:hAnsi="Calibri" w:eastAsia="宋体" w:cs="Times New Roman"/>
          <w:lang w:eastAsia="zh-CN"/>
        </w:rPr>
      </w:pPr>
      <w:r>
        <w:rPr>
          <w:rFonts w:hint="eastAsia" w:ascii="Calibri" w:hAnsi="Calibri" w:eastAsia="宋体" w:cs="Times New Roman"/>
          <w:lang w:eastAsia="zh-CN"/>
        </w:rPr>
        <w:drawing>
          <wp:inline distT="0" distB="0" distL="114300" distR="114300">
            <wp:extent cx="4900295" cy="6978015"/>
            <wp:effectExtent l="0" t="0" r="14605" b="13335"/>
            <wp:docPr id="5" name="图片 1" descr="证书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证书样式"/>
                    <pic:cNvPicPr>
                      <a:picLocks noChangeAspect="1"/>
                    </pic:cNvPicPr>
                  </pic:nvPicPr>
                  <pic:blipFill>
                    <a:blip r:embed="rId4"/>
                    <a:stretch>
                      <a:fillRect/>
                    </a:stretch>
                  </pic:blipFill>
                  <pic:spPr>
                    <a:xfrm>
                      <a:off x="0" y="0"/>
                      <a:ext cx="4900295" cy="6978015"/>
                    </a:xfrm>
                    <a:prstGeom prst="rect">
                      <a:avLst/>
                    </a:prstGeom>
                    <a:noFill/>
                    <a:ln>
                      <a:noFill/>
                    </a:ln>
                  </pic:spPr>
                </pic:pic>
              </a:graphicData>
            </a:graphic>
          </wp:inline>
        </w:drawing>
      </w:r>
    </w:p>
    <w:p>
      <w:pPr>
        <w:rPr>
          <w:rFonts w:hint="eastAsia" w:ascii="仿宋" w:hAnsi="仿宋" w:eastAsia="仿宋" w:cs="仿宋"/>
          <w:sz w:val="32"/>
          <w:szCs w:val="32"/>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66157"/>
    <w:rsid w:val="2F1401F8"/>
    <w:rsid w:val="314661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2021-03-31T10:00:00Z</dcterms:created>
  <dc:creator>凌红梅</dc:creator>
  <cp:lastModifiedBy>凌红梅</cp:lastModifiedBy>
  <dcterms:modified xsi:type="dcterms:W3CDTF">2021-03-31T10:09:08Z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