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r>
        <w:drawing>
          <wp:anchor distT="0" distB="0" distL="114300" distR="114300" simplePos="0" relativeHeight="251660288" behindDoc="0" locked="0" layoutInCell="1" allowOverlap="1">
            <wp:simplePos x="0" y="0"/>
            <wp:positionH relativeFrom="page">
              <wp:posOffset>4854575</wp:posOffset>
            </wp:positionH>
            <wp:positionV relativeFrom="page">
              <wp:posOffset>631825</wp:posOffset>
            </wp:positionV>
            <wp:extent cx="1720215" cy="800100"/>
            <wp:effectExtent l="0" t="0" r="13335" b="0"/>
            <wp:wrapNone/>
            <wp:docPr id="13" name="图片 1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G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20215" cy="800100"/>
                    </a:xfrm>
                    <a:prstGeom prst="rect">
                      <a:avLst/>
                    </a:prstGeom>
                    <a:noFill/>
                    <a:ln>
                      <a:noFill/>
                    </a:ln>
                  </pic:spPr>
                </pic:pic>
              </a:graphicData>
            </a:graphic>
          </wp:anchor>
        </w:drawing>
      </w:r>
      <w:r>
        <w:t xml:space="preserve"> </w:t>
      </w:r>
      <w:r>
        <w:rPr>
          <w:rFonts w:hint="eastAsia"/>
          <w:lang w:val="en-US" w:eastAsia="zh-CN"/>
        </w:rPr>
        <w:t xml:space="preserve">           </w:t>
      </w:r>
      <w:r>
        <w:rPr>
          <w:rFonts w:ascii="黑体" w:hAnsi="黑体" w:eastAsia="黑体"/>
          <w:sz w:val="48"/>
          <w:szCs w:val="48"/>
        </w:rPr>
        <w:t xml:space="preserve">广东省标准            </w:t>
      </w:r>
      <w:r>
        <w:rPr>
          <w:rFonts w:hint="eastAsia" w:ascii="黑体" w:hAnsi="黑体" w:eastAsia="黑体"/>
          <w:sz w:val="48"/>
          <w:szCs w:val="48"/>
        </w:rPr>
        <w:t xml:space="preserve">   </w:t>
      </w:r>
      <w:bookmarkStart w:id="0" w:name="_Toc337542810"/>
      <w:r>
        <w:rPr>
          <w:rFonts w:hint="eastAsia"/>
        </w:rPr>
        <w:t xml:space="preserve">      </w:t>
      </w:r>
    </w:p>
    <w:p>
      <w:pPr>
        <w:jc w:val="left"/>
        <w:rPr>
          <w:sz w:val="30"/>
          <w:szCs w:val="30"/>
        </w:rPr>
      </w:pPr>
      <w:r>
        <w:rPr>
          <w:rFonts w:hint="eastAsia"/>
        </w:rPr>
        <w:t xml:space="preserve">                                        </w:t>
      </w:r>
      <w:r>
        <w:rPr>
          <w:rFonts w:hint="eastAsia"/>
          <w:sz w:val="30"/>
          <w:szCs w:val="30"/>
        </w:rPr>
        <w:t xml:space="preserve">           </w:t>
      </w:r>
      <w:r>
        <w:rPr>
          <w:rFonts w:hint="eastAsia"/>
          <w:sz w:val="30"/>
          <w:szCs w:val="30"/>
          <w:lang w:val="en-US" w:eastAsia="zh-CN"/>
        </w:rPr>
        <w:t xml:space="preserve">     </w:t>
      </w:r>
      <w:r>
        <w:rPr>
          <w:sz w:val="30"/>
          <w:szCs w:val="30"/>
        </w:rPr>
        <w:t>DBJ</w:t>
      </w:r>
      <w:r>
        <w:rPr>
          <w:rFonts w:hint="eastAsia"/>
          <w:sz w:val="30"/>
          <w:szCs w:val="30"/>
        </w:rPr>
        <w:t xml:space="preserve"> </w:t>
      </w:r>
      <w:r>
        <w:rPr>
          <w:sz w:val="30"/>
          <w:szCs w:val="30"/>
        </w:rPr>
        <w:t>**-**-</w:t>
      </w:r>
      <w:bookmarkEnd w:id="0"/>
      <w:r>
        <w:rPr>
          <w:sz w:val="30"/>
          <w:szCs w:val="30"/>
        </w:rPr>
        <w:t>20</w:t>
      </w:r>
      <w:r>
        <w:rPr>
          <w:rFonts w:hint="eastAsia"/>
          <w:sz w:val="30"/>
          <w:szCs w:val="30"/>
        </w:rPr>
        <w:t>2</w:t>
      </w:r>
      <w:r>
        <w:rPr>
          <w:sz w:val="30"/>
          <w:szCs w:val="30"/>
        </w:rPr>
        <w:t>*</w:t>
      </w:r>
    </w:p>
    <w:p>
      <w:pPr>
        <w:jc w:val="center"/>
        <w:rPr>
          <w:sz w:val="30"/>
          <w:szCs w:val="30"/>
        </w:rPr>
      </w:pPr>
      <w:r>
        <w:rPr>
          <w:rFonts w:hint="eastAsia"/>
          <w:sz w:val="30"/>
          <w:szCs w:val="30"/>
        </w:rPr>
        <w:t xml:space="preserve">                              </w:t>
      </w:r>
      <w:r>
        <w:rPr>
          <w:rFonts w:hint="eastAsia"/>
          <w:sz w:val="30"/>
          <w:szCs w:val="30"/>
          <w:lang w:val="en-US" w:eastAsia="zh-CN"/>
        </w:rPr>
        <w:t xml:space="preserve">         </w:t>
      </w:r>
      <w:r>
        <w:rPr>
          <w:rFonts w:hint="eastAsia"/>
          <w:sz w:val="30"/>
          <w:szCs w:val="30"/>
        </w:rPr>
        <w:t>备案号 J XXXXX-202</w:t>
      </w:r>
      <w:r>
        <w:rPr>
          <w:sz w:val="30"/>
          <w:szCs w:val="30"/>
        </w:rPr>
        <w:t>*</w:t>
      </w:r>
    </w:p>
    <w:p>
      <w:pPr>
        <w:jc w:val="center"/>
      </w:pPr>
      <w:r>
        <w:rPr>
          <w:sz w:val="30"/>
          <w:szCs w:val="30"/>
        </w:rPr>
        <mc:AlternateContent>
          <mc:Choice Requires="wps">
            <w:drawing>
              <wp:anchor distT="0" distB="0" distL="114300" distR="114300" simplePos="0" relativeHeight="251649024" behindDoc="0" locked="0" layoutInCell="1" allowOverlap="1">
                <wp:simplePos x="0" y="0"/>
                <wp:positionH relativeFrom="column">
                  <wp:posOffset>445135</wp:posOffset>
                </wp:positionH>
                <wp:positionV relativeFrom="paragraph">
                  <wp:posOffset>8255</wp:posOffset>
                </wp:positionV>
                <wp:extent cx="5486400" cy="41910"/>
                <wp:effectExtent l="0" t="4445" r="0" b="10795"/>
                <wp:wrapNone/>
                <wp:docPr id="14" name="直接连接符 14"/>
                <wp:cNvGraphicFramePr/>
                <a:graphic xmlns:a="http://schemas.openxmlformats.org/drawingml/2006/main">
                  <a:graphicData uri="http://schemas.microsoft.com/office/word/2010/wordprocessingShape">
                    <wps:wsp>
                      <wps:cNvCnPr>
                        <a:cxnSpLocks noChangeShapeType="1"/>
                      </wps:cNvCnPr>
                      <wps:spPr bwMode="auto">
                        <a:xfrm flipV="1">
                          <a:off x="0" y="0"/>
                          <a:ext cx="5486400" cy="4191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flip:y;margin-left:35.05pt;margin-top:0.65pt;height:3.3pt;width:432pt;z-index:251649024;mso-width-relative:page;mso-height-relative:page;" filled="f" stroked="t" coordsize="21600,21600" o:gfxdata="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WKweZ0gAAAAYBAAAPAAAAAAAAAAEA&#10;IAAAACIAAABkcnMvZG93bnJldi54bWxQSwECFAAUAAAACACHTuJAWER959wBAAB3AwAADgAAAAAA&#10;AAABACAAAAAhAQAAZHJzL2Uyb0RvYy54bWxQSwUGAAAAAAYABgBZAQAAbwUAAAAA&#10;">
                <v:fill on="f" focussize="0,0"/>
                <v:stroke color="#000000" joinstyle="round"/>
                <v:imagedata o:title=""/>
                <o:lock v:ext="edit" aspectratio="f"/>
              </v:line>
            </w:pict>
          </mc:Fallback>
        </mc:AlternateContent>
      </w:r>
    </w:p>
    <w:p>
      <w:pPr>
        <w:jc w:val="center"/>
        <w:rPr>
          <w:b/>
          <w:bCs/>
          <w:sz w:val="52"/>
          <w:szCs w:val="52"/>
        </w:rPr>
      </w:pPr>
      <w:r>
        <w:rPr>
          <w:rFonts w:hint="eastAsia"/>
          <w:b/>
          <w:bCs/>
          <w:sz w:val="52"/>
          <w:szCs w:val="52"/>
        </w:rPr>
        <w:t>矩形顶管工程技术规程</w:t>
      </w:r>
    </w:p>
    <w:p>
      <w:pPr>
        <w:snapToGrid w:val="0"/>
        <w:jc w:val="center"/>
        <w:rPr>
          <w:b/>
          <w:sz w:val="28"/>
          <w:szCs w:val="22"/>
        </w:rPr>
      </w:pPr>
      <w:r>
        <w:rPr>
          <w:rFonts w:hint="eastAsia"/>
          <w:b/>
          <w:sz w:val="28"/>
          <w:szCs w:val="22"/>
        </w:rPr>
        <w:t xml:space="preserve">Technical </w:t>
      </w:r>
      <w:r>
        <w:rPr>
          <w:b/>
          <w:sz w:val="28"/>
          <w:szCs w:val="22"/>
        </w:rPr>
        <w:t>S</w:t>
      </w:r>
      <w:r>
        <w:rPr>
          <w:rFonts w:hint="eastAsia"/>
          <w:b/>
          <w:sz w:val="28"/>
          <w:szCs w:val="22"/>
        </w:rPr>
        <w:t xml:space="preserve">pecification for </w:t>
      </w:r>
      <w:r>
        <w:rPr>
          <w:b/>
          <w:sz w:val="28"/>
          <w:szCs w:val="22"/>
        </w:rPr>
        <w:t>Pipe Jacking Engineering</w:t>
      </w:r>
      <w:r>
        <w:rPr>
          <w:rFonts w:hint="eastAsia"/>
          <w:b/>
          <w:sz w:val="28"/>
          <w:szCs w:val="22"/>
        </w:rPr>
        <w:t xml:space="preserve"> with</w:t>
      </w:r>
    </w:p>
    <w:p>
      <w:pPr>
        <w:snapToGrid w:val="0"/>
        <w:jc w:val="center"/>
        <w:rPr>
          <w:b/>
          <w:sz w:val="28"/>
          <w:szCs w:val="22"/>
        </w:rPr>
      </w:pPr>
      <w:r>
        <w:rPr>
          <w:b/>
          <w:sz w:val="28"/>
          <w:szCs w:val="22"/>
        </w:rPr>
        <w:t>Rectangular Cross Section</w:t>
      </w:r>
    </w:p>
    <w:p>
      <w:pPr>
        <w:snapToGrid w:val="0"/>
        <w:jc w:val="center"/>
        <w:rPr>
          <w:b/>
        </w:rPr>
      </w:pPr>
    </w:p>
    <w:p>
      <w:pPr>
        <w:snapToGrid w:val="0"/>
        <w:jc w:val="center"/>
        <w:rPr>
          <w:b/>
        </w:rPr>
      </w:pPr>
    </w:p>
    <w:p>
      <w:pPr>
        <w:snapToGrid w:val="0"/>
        <w:jc w:val="center"/>
        <w:rPr>
          <w:b/>
        </w:rPr>
      </w:pPr>
    </w:p>
    <w:p>
      <w:pPr>
        <w:snapToGrid w:val="0"/>
        <w:jc w:val="center"/>
        <w:rPr>
          <w:b/>
        </w:rPr>
      </w:pPr>
    </w:p>
    <w:p>
      <w:pPr>
        <w:snapToGrid w:val="0"/>
        <w:jc w:val="center"/>
        <w:rPr>
          <w:b/>
          <w:bCs/>
          <w:sz w:val="32"/>
          <w:szCs w:val="22"/>
        </w:rPr>
      </w:pPr>
      <w:r>
        <w:rPr>
          <w:rFonts w:hint="eastAsia"/>
          <w:b/>
          <w:bCs/>
          <w:sz w:val="40"/>
          <w:szCs w:val="40"/>
        </w:rPr>
        <w:t>（征求</w:t>
      </w:r>
      <w:r>
        <w:rPr>
          <w:b/>
          <w:bCs/>
          <w:sz w:val="40"/>
          <w:szCs w:val="40"/>
        </w:rPr>
        <w:t>意见稿</w:t>
      </w:r>
      <w:r>
        <w:rPr>
          <w:rFonts w:hint="eastAsia"/>
          <w:b/>
          <w:bCs/>
          <w:sz w:val="40"/>
          <w:szCs w:val="40"/>
        </w:rPr>
        <w:t>）</w:t>
      </w:r>
    </w:p>
    <w:p>
      <w:pPr>
        <w:snapToGrid w:val="0"/>
        <w:jc w:val="center"/>
        <w:rPr>
          <w:b/>
        </w:rPr>
      </w:pPr>
    </w:p>
    <w:p>
      <w:pPr>
        <w:snapToGrid w:val="0"/>
        <w:jc w:val="center"/>
        <w:rPr>
          <w:b/>
        </w:rPr>
      </w:pPr>
    </w:p>
    <w:p>
      <w:pPr>
        <w:snapToGrid w:val="0"/>
        <w:jc w:val="center"/>
        <w:rPr>
          <w:b/>
        </w:rPr>
      </w:pPr>
    </w:p>
    <w:p>
      <w:pPr>
        <w:snapToGrid w:val="0"/>
        <w:jc w:val="center"/>
        <w:rPr>
          <w:b/>
        </w:rPr>
      </w:pPr>
    </w:p>
    <w:p>
      <w:pPr>
        <w:snapToGrid w:val="0"/>
        <w:jc w:val="center"/>
        <w:rPr>
          <w:b/>
        </w:rPr>
      </w:pPr>
    </w:p>
    <w:p>
      <w:pPr>
        <w:snapToGrid w:val="0"/>
        <w:jc w:val="center"/>
        <w:rPr>
          <w:b/>
        </w:rPr>
      </w:pPr>
    </w:p>
    <w:p/>
    <w:p/>
    <w:p/>
    <w:p>
      <w:bookmarkStart w:id="956" w:name="_GoBack"/>
      <w:bookmarkEnd w:id="956"/>
    </w:p>
    <w:p/>
    <w:p>
      <w:pPr>
        <w:ind w:firstLine="321" w:firstLineChars="100"/>
        <w:rPr>
          <w:rFonts w:eastAsia="黑体"/>
          <w:sz w:val="28"/>
          <w:szCs w:val="28"/>
        </w:rPr>
      </w:pPr>
      <w:r>
        <w:rPr>
          <w:b/>
          <w:bCs/>
          <w:sz w:val="32"/>
        </w:rPr>
        <w:t xml:space="preserve">  </w:t>
      </w:r>
      <w:r>
        <w:rPr>
          <w:rFonts w:eastAsia="黑体"/>
          <w:sz w:val="28"/>
          <w:szCs w:val="28"/>
        </w:rPr>
        <w:t>20</w:t>
      </w:r>
      <w:r>
        <w:rPr>
          <w:rFonts w:hint="eastAsia" w:eastAsia="黑体"/>
          <w:sz w:val="28"/>
          <w:szCs w:val="28"/>
        </w:rPr>
        <w:t>2X</w:t>
      </w:r>
      <w:r>
        <w:rPr>
          <w:rFonts w:eastAsia="黑体"/>
          <w:sz w:val="28"/>
          <w:szCs w:val="28"/>
        </w:rPr>
        <w:t>-</w:t>
      </w:r>
      <w:r>
        <w:rPr>
          <w:rFonts w:hint="eastAsia" w:eastAsia="黑体"/>
          <w:sz w:val="28"/>
          <w:szCs w:val="28"/>
        </w:rPr>
        <w:t>XX</w:t>
      </w:r>
      <w:r>
        <w:rPr>
          <w:rFonts w:eastAsia="黑体"/>
          <w:sz w:val="28"/>
          <w:szCs w:val="28"/>
        </w:rPr>
        <w:t>-</w:t>
      </w:r>
      <w:r>
        <w:rPr>
          <w:rFonts w:hint="eastAsia" w:eastAsia="黑体"/>
          <w:sz w:val="28"/>
          <w:szCs w:val="28"/>
        </w:rPr>
        <w:t>XX</w:t>
      </w:r>
      <w:r>
        <w:rPr>
          <w:rFonts w:eastAsia="黑体"/>
          <w:sz w:val="28"/>
          <w:szCs w:val="28"/>
        </w:rPr>
        <w:t xml:space="preserve">  发布                   201</w:t>
      </w:r>
      <w:r>
        <w:rPr>
          <w:rFonts w:hint="eastAsia" w:eastAsia="黑体"/>
          <w:sz w:val="28"/>
          <w:szCs w:val="28"/>
        </w:rPr>
        <w:t>X</w:t>
      </w:r>
      <w:r>
        <w:rPr>
          <w:rFonts w:eastAsia="黑体"/>
          <w:sz w:val="28"/>
          <w:szCs w:val="28"/>
        </w:rPr>
        <w:t>-</w:t>
      </w:r>
      <w:r>
        <w:rPr>
          <w:rFonts w:hint="eastAsia" w:eastAsia="黑体"/>
          <w:sz w:val="28"/>
          <w:szCs w:val="28"/>
        </w:rPr>
        <w:t>XX</w:t>
      </w:r>
      <w:r>
        <w:rPr>
          <w:rFonts w:eastAsia="黑体"/>
          <w:sz w:val="28"/>
          <w:szCs w:val="28"/>
        </w:rPr>
        <w:t>-</w:t>
      </w:r>
      <w:r>
        <w:rPr>
          <w:rFonts w:hint="eastAsia" w:eastAsia="黑体"/>
          <w:sz w:val="28"/>
          <w:szCs w:val="28"/>
        </w:rPr>
        <w:t xml:space="preserve">XX  </w:t>
      </w:r>
      <w:r>
        <w:rPr>
          <w:rFonts w:eastAsia="黑体"/>
          <w:sz w:val="28"/>
          <w:szCs w:val="28"/>
        </w:rPr>
        <w:t>实施</w:t>
      </w:r>
    </w:p>
    <w:p>
      <w:pPr>
        <w:tabs>
          <w:tab w:val="left" w:pos="8235"/>
        </w:tabs>
        <w:rPr>
          <w:rFonts w:eastAsia="黑体"/>
          <w:b/>
          <w:sz w:val="28"/>
          <w:szCs w:val="28"/>
        </w:rPr>
      </w:pPr>
      <w:r>
        <w:rPr>
          <w:rFonts w:eastAsia="黑体"/>
          <w:b/>
          <w:sz w:val="28"/>
          <w:szCs w:val="28"/>
        </w:rPr>
        <mc:AlternateContent>
          <mc:Choice Requires="wps">
            <w:drawing>
              <wp:anchor distT="0" distB="0" distL="114300" distR="114300" simplePos="0" relativeHeight="251668480" behindDoc="0" locked="0" layoutInCell="1" allowOverlap="1">
                <wp:simplePos x="0" y="0"/>
                <wp:positionH relativeFrom="column">
                  <wp:posOffset>400050</wp:posOffset>
                </wp:positionH>
                <wp:positionV relativeFrom="paragraph">
                  <wp:posOffset>55880</wp:posOffset>
                </wp:positionV>
                <wp:extent cx="5600700" cy="26670"/>
                <wp:effectExtent l="0" t="4445" r="0" b="6985"/>
                <wp:wrapNone/>
                <wp:docPr id="15" name="直接连接符 15"/>
                <wp:cNvGraphicFramePr/>
                <a:graphic xmlns:a="http://schemas.openxmlformats.org/drawingml/2006/main">
                  <a:graphicData uri="http://schemas.microsoft.com/office/word/2010/wordprocessingShape">
                    <wps:wsp>
                      <wps:cNvCnPr/>
                      <wps:spPr>
                        <a:xfrm>
                          <a:off x="0" y="0"/>
                          <a:ext cx="5600700" cy="266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4.4pt;height:2.1pt;width:441pt;z-index:251668480;mso-width-relative:page;mso-height-relative:page;" filled="f" stroked="t" coordsize="21600,21600" o:gfxdata="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ta5frVAAAABwEAAA8AAAAAAAAAAQAgAAAA&#10;IgAAAGRycy9kb3ducmV2LnhtbFBLAQIUABQAAAAIAIdO4kDe98yE1QEAAJADAAAOAAAAAAAAAAEA&#10;IAAAACQBAABkcnMvZTJvRG9jLnhtbFBLBQYAAAAABgAGAFkBAABrBQAAAAA=&#10;">
                <v:fill on="f" focussize="0,0"/>
                <v:stroke color="#000000" joinstyle="round"/>
                <v:imagedata o:title=""/>
                <o:lock v:ext="edit" aspectratio="f"/>
              </v:line>
            </w:pict>
          </mc:Fallback>
        </mc:AlternateContent>
      </w:r>
      <w:r>
        <w:rPr>
          <w:rFonts w:eastAsia="黑体"/>
          <w:b/>
          <w:sz w:val="28"/>
          <w:szCs w:val="28"/>
        </w:rPr>
        <w:tab/>
      </w:r>
    </w:p>
    <w:tbl>
      <w:tblPr>
        <w:tblStyle w:val="47"/>
        <w:tblpPr w:leftFromText="180" w:rightFromText="180" w:vertAnchor="text" w:horzAnchor="page" w:tblpX="8236" w:tblpY="758"/>
        <w:tblOverlap w:val="never"/>
        <w:tblW w:w="2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2405" w:type="dxa"/>
            <w:vAlign w:val="center"/>
          </w:tcPr>
          <w:p>
            <w:pPr>
              <w:ind w:left="0" w:leftChars="0" w:right="-3084" w:rightChars="-1285" w:firstLine="0" w:firstLineChars="0"/>
            </w:pPr>
            <w:r>
              <w:t>本标准不涉及专利</w:t>
            </w:r>
          </w:p>
        </w:tc>
      </w:tr>
    </w:tbl>
    <w:p>
      <w:pPr>
        <w:jc w:val="center"/>
        <w:rPr>
          <w:rFonts w:ascii="黑体" w:hAnsi="黑体" w:eastAsia="黑体"/>
          <w:b/>
          <w:sz w:val="28"/>
          <w:szCs w:val="28"/>
        </w:rPr>
      </w:pPr>
      <w:r>
        <w:rPr>
          <w:rFonts w:eastAsia="黑体"/>
          <w:sz w:val="32"/>
          <w:szCs w:val="32"/>
        </w:rPr>
        <w:t>广东省住房和城乡建设厅</w:t>
      </w:r>
      <w:r>
        <w:rPr>
          <w:rFonts w:eastAsia="黑体"/>
          <w:spacing w:val="20"/>
          <w:sz w:val="28"/>
          <w:szCs w:val="28"/>
        </w:rPr>
        <w:t xml:space="preserve">  </w:t>
      </w:r>
      <w:r>
        <w:rPr>
          <w:rFonts w:eastAsia="黑体"/>
          <w:spacing w:val="20"/>
          <w:sz w:val="32"/>
          <w:szCs w:val="32"/>
        </w:rPr>
        <w:t>发布</w:t>
      </w:r>
    </w:p>
    <w:p>
      <w:pPr>
        <w:jc w:val="center"/>
        <w:rPr>
          <w:rFonts w:ascii="黑体" w:hAnsi="黑体" w:eastAsia="黑体"/>
          <w:b/>
          <w:sz w:val="28"/>
          <w:szCs w:val="28"/>
        </w:rPr>
        <w:sectPr>
          <w:footerReference r:id="rId3" w:type="default"/>
          <w:pgSz w:w="11909" w:h="16834"/>
          <w:pgMar w:top="1440" w:right="1080" w:bottom="1440" w:left="1080" w:header="0" w:footer="3" w:gutter="0"/>
          <w:pgNumType w:start="1"/>
          <w:cols w:space="720" w:num="1"/>
          <w:docGrid w:linePitch="360" w:charSpace="0"/>
        </w:sectPr>
      </w:pPr>
    </w:p>
    <w:p>
      <w:pPr>
        <w:jc w:val="center"/>
        <w:rPr>
          <w:rFonts w:eastAsia="仿宋"/>
          <w:b/>
          <w:bCs/>
          <w:sz w:val="28"/>
          <w:szCs w:val="24"/>
        </w:rPr>
      </w:pPr>
    </w:p>
    <w:p>
      <w:pPr>
        <w:jc w:val="center"/>
        <w:rPr>
          <w:rFonts w:eastAsia="仿宋"/>
          <w:b/>
          <w:bCs/>
          <w:sz w:val="28"/>
          <w:szCs w:val="24"/>
        </w:rPr>
      </w:pPr>
    </w:p>
    <w:p>
      <w:pPr>
        <w:jc w:val="center"/>
        <w:rPr>
          <w:rFonts w:ascii="宋体" w:hAnsi="宋体" w:cs="黑体"/>
          <w:b/>
          <w:bCs/>
          <w:sz w:val="40"/>
          <w:szCs w:val="44"/>
        </w:rPr>
      </w:pPr>
      <w:r>
        <w:rPr>
          <w:rFonts w:hint="eastAsia" w:ascii="宋体" w:hAnsi="宋体" w:cs="黑体"/>
          <w:b/>
          <w:bCs/>
          <w:sz w:val="40"/>
          <w:szCs w:val="44"/>
        </w:rPr>
        <w:t>广东省住房和城乡建设厅关于发布广东省标准《矩形顶管工程技术规程》的公告</w:t>
      </w:r>
    </w:p>
    <w:p>
      <w:pPr>
        <w:jc w:val="center"/>
        <w:rPr>
          <w:rFonts w:asciiTheme="majorEastAsia" w:hAnsiTheme="majorEastAsia" w:eastAsiaTheme="majorEastAsia" w:cstheme="majorEastAsia"/>
          <w:sz w:val="28"/>
          <w:szCs w:val="24"/>
        </w:rPr>
      </w:pPr>
      <w:r>
        <w:rPr>
          <w:rFonts w:hint="eastAsia" w:asciiTheme="majorEastAsia" w:hAnsiTheme="majorEastAsia" w:eastAsiaTheme="majorEastAsia" w:cstheme="majorEastAsia"/>
          <w:sz w:val="28"/>
          <w:szCs w:val="24"/>
        </w:rPr>
        <w:t>粤建公告</w:t>
      </w:r>
      <w:r>
        <w:rPr>
          <w:rFonts w:eastAsiaTheme="majorEastAsia"/>
          <w:sz w:val="28"/>
          <w:szCs w:val="24"/>
        </w:rPr>
        <w:t>〔20</w:t>
      </w:r>
      <w:r>
        <w:rPr>
          <w:rFonts w:hint="eastAsia" w:eastAsiaTheme="majorEastAsia"/>
          <w:sz w:val="28"/>
          <w:szCs w:val="24"/>
        </w:rPr>
        <w:t>2</w:t>
      </w:r>
      <w:r>
        <w:rPr>
          <w:rFonts w:hint="eastAsia"/>
          <w:sz w:val="28"/>
        </w:rPr>
        <w:t>X</w:t>
      </w:r>
      <w:r>
        <w:rPr>
          <w:rFonts w:eastAsiaTheme="majorEastAsia"/>
          <w:sz w:val="28"/>
          <w:szCs w:val="24"/>
        </w:rPr>
        <w:t>〕</w:t>
      </w:r>
      <w:r>
        <w:rPr>
          <w:rFonts w:hint="eastAsia" w:eastAsiaTheme="majorEastAsia"/>
          <w:sz w:val="28"/>
          <w:szCs w:val="24"/>
        </w:rPr>
        <w:t xml:space="preserve">   </w:t>
      </w:r>
      <w:r>
        <w:rPr>
          <w:rFonts w:hint="eastAsia" w:asciiTheme="majorEastAsia" w:hAnsiTheme="majorEastAsia" w:eastAsiaTheme="majorEastAsia" w:cstheme="majorEastAsia"/>
          <w:sz w:val="28"/>
          <w:szCs w:val="24"/>
        </w:rPr>
        <w:t>号</w:t>
      </w:r>
    </w:p>
    <w:p>
      <w:pPr>
        <w:jc w:val="center"/>
        <w:rPr>
          <w:rFonts w:asciiTheme="majorEastAsia" w:hAnsiTheme="majorEastAsia" w:eastAsiaTheme="majorEastAsia" w:cstheme="majorEastAsia"/>
          <w:szCs w:val="24"/>
        </w:rPr>
      </w:pPr>
    </w:p>
    <w:p>
      <w:pPr>
        <w:ind w:firstLine="560" w:firstLineChars="200"/>
        <w:rPr>
          <w:sz w:val="28"/>
          <w:szCs w:val="28"/>
        </w:rPr>
      </w:pPr>
      <w:r>
        <w:rPr>
          <w:rFonts w:hint="eastAsia"/>
          <w:sz w:val="28"/>
          <w:szCs w:val="28"/>
        </w:rPr>
        <w:t>经组织专家委员会审查，现批准《矩形顶管工程技术规程》为广东省地方标准，编号为DBJ/T 15-</w:t>
      </w:r>
      <w:r>
        <w:rPr>
          <w:sz w:val="28"/>
          <w:szCs w:val="28"/>
        </w:rPr>
        <w:t>XXX</w:t>
      </w:r>
      <w:r>
        <w:rPr>
          <w:rFonts w:hint="eastAsia"/>
          <w:sz w:val="28"/>
          <w:szCs w:val="28"/>
        </w:rPr>
        <w:t xml:space="preserve">-202X。本标准自202X年  月 </w:t>
      </w:r>
      <w:r>
        <w:rPr>
          <w:sz w:val="28"/>
          <w:szCs w:val="28"/>
        </w:rPr>
        <w:t xml:space="preserve"> </w:t>
      </w:r>
      <w:r>
        <w:rPr>
          <w:rFonts w:hint="eastAsia"/>
          <w:sz w:val="28"/>
          <w:szCs w:val="28"/>
        </w:rPr>
        <w:t>日起实施。</w:t>
      </w:r>
    </w:p>
    <w:p>
      <w:pPr>
        <w:ind w:firstLine="560" w:firstLineChars="200"/>
        <w:rPr>
          <w:sz w:val="28"/>
          <w:szCs w:val="28"/>
        </w:rPr>
      </w:pPr>
      <w:r>
        <w:rPr>
          <w:rFonts w:hint="eastAsia"/>
          <w:sz w:val="28"/>
          <w:szCs w:val="28"/>
        </w:rPr>
        <w:t>本标准由广东省住房和城乡建设厅负责管理，</w:t>
      </w:r>
      <w:r>
        <w:rPr>
          <w:sz w:val="28"/>
          <w:szCs w:val="28"/>
        </w:rPr>
        <w:t>由主编单位</w:t>
      </w:r>
      <w:r>
        <w:rPr>
          <w:rFonts w:hint="eastAsia"/>
          <w:sz w:val="28"/>
          <w:szCs w:val="28"/>
        </w:rPr>
        <w:t>广州市市政集团有限公司、</w:t>
      </w:r>
      <w:r>
        <w:rPr>
          <w:sz w:val="28"/>
          <w:szCs w:val="28"/>
        </w:rPr>
        <w:t>广州市市政工程协会</w:t>
      </w:r>
      <w:r>
        <w:rPr>
          <w:rFonts w:hint="eastAsia"/>
          <w:sz w:val="28"/>
          <w:szCs w:val="28"/>
        </w:rPr>
        <w:t>负责具体技术内容的解释，</w:t>
      </w:r>
      <w:r>
        <w:rPr>
          <w:sz w:val="28"/>
          <w:szCs w:val="28"/>
        </w:rPr>
        <w:t>并在广东省住房和</w:t>
      </w:r>
      <w:r>
        <w:rPr>
          <w:rFonts w:hint="eastAsia"/>
          <w:sz w:val="28"/>
          <w:szCs w:val="28"/>
        </w:rPr>
        <w:t>城乡</w:t>
      </w:r>
      <w:r>
        <w:rPr>
          <w:sz w:val="28"/>
          <w:szCs w:val="28"/>
        </w:rPr>
        <w:t>建设厅门户网站</w:t>
      </w:r>
      <w:r>
        <w:rPr>
          <w:rFonts w:hint="eastAsia"/>
          <w:sz w:val="28"/>
          <w:szCs w:val="28"/>
        </w:rPr>
        <w:t>站（http://zfcxjst.gd.gov.cn）</w:t>
      </w:r>
      <w:r>
        <w:rPr>
          <w:sz w:val="28"/>
          <w:szCs w:val="28"/>
        </w:rPr>
        <w:t>公</w:t>
      </w:r>
      <w:r>
        <w:rPr>
          <w:rFonts w:hint="eastAsia"/>
          <w:sz w:val="28"/>
          <w:szCs w:val="28"/>
        </w:rPr>
        <w:t>开。</w:t>
      </w:r>
    </w:p>
    <w:p>
      <w:pPr>
        <w:ind w:firstLine="560" w:firstLineChars="200"/>
        <w:rPr>
          <w:sz w:val="28"/>
          <w:szCs w:val="28"/>
        </w:rPr>
      </w:pPr>
    </w:p>
    <w:p>
      <w:pPr>
        <w:ind w:firstLine="560" w:firstLineChars="200"/>
        <w:jc w:val="right"/>
        <w:rPr>
          <w:sz w:val="28"/>
          <w:szCs w:val="28"/>
        </w:rPr>
      </w:pPr>
      <w:r>
        <w:rPr>
          <w:rFonts w:hint="eastAsia"/>
          <w:sz w:val="28"/>
          <w:szCs w:val="28"/>
        </w:rPr>
        <w:t xml:space="preserve">                                 广东省住房和城乡建设厅</w:t>
      </w:r>
    </w:p>
    <w:p>
      <w:pPr>
        <w:ind w:firstLine="560" w:firstLineChars="200"/>
        <w:jc w:val="right"/>
        <w:rPr>
          <w:sz w:val="28"/>
          <w:szCs w:val="28"/>
        </w:rPr>
      </w:pPr>
      <w:r>
        <w:rPr>
          <w:rFonts w:hint="eastAsia"/>
          <w:sz w:val="28"/>
          <w:szCs w:val="28"/>
        </w:rPr>
        <w:t xml:space="preserve">                                           年   月   日</w:t>
      </w:r>
    </w:p>
    <w:p>
      <w:pPr>
        <w:jc w:val="center"/>
        <w:rPr>
          <w:rFonts w:eastAsia="仿宋"/>
          <w:b/>
          <w:bCs/>
          <w:sz w:val="28"/>
          <w:szCs w:val="24"/>
        </w:rPr>
      </w:pPr>
    </w:p>
    <w:p>
      <w:pPr>
        <w:widowControl/>
        <w:spacing w:line="240" w:lineRule="auto"/>
        <w:jc w:val="left"/>
        <w:rPr>
          <w:rFonts w:eastAsiaTheme="minorEastAsia"/>
          <w:szCs w:val="22"/>
        </w:rPr>
      </w:pPr>
      <w:r>
        <w:rPr>
          <w:rFonts w:eastAsiaTheme="minorEastAsia"/>
          <w:szCs w:val="22"/>
        </w:rPr>
        <w:br w:type="page"/>
      </w:r>
    </w:p>
    <w:p>
      <w:pPr>
        <w:pStyle w:val="16"/>
        <w:rPr>
          <w:rFonts w:ascii="Times New Roman" w:hAnsi="Times New Roman" w:eastAsia="黑体"/>
          <w:sz w:val="32"/>
        </w:rPr>
      </w:pPr>
      <w:bookmarkStart w:id="1" w:name="_Toc27100"/>
      <w:bookmarkStart w:id="2" w:name="_Toc5529"/>
      <w:bookmarkStart w:id="3" w:name="_Toc3497"/>
      <w:bookmarkStart w:id="4" w:name="_Toc14148"/>
      <w:bookmarkStart w:id="5" w:name="_Toc22892"/>
      <w:bookmarkStart w:id="6" w:name="_Toc4260"/>
      <w:bookmarkStart w:id="7" w:name="_Toc1762"/>
      <w:bookmarkStart w:id="8" w:name="_Toc22402"/>
      <w:bookmarkStart w:id="9" w:name="_Toc32112"/>
      <w:bookmarkStart w:id="10" w:name="_Toc24060"/>
      <w:bookmarkStart w:id="11" w:name="_Toc16270615"/>
      <w:bookmarkStart w:id="12" w:name="_Toc18057020"/>
      <w:bookmarkStart w:id="13" w:name="_Toc8200"/>
      <w:bookmarkStart w:id="14" w:name="_Toc14064"/>
      <w:bookmarkStart w:id="15" w:name="_Toc17364142"/>
      <w:bookmarkStart w:id="16" w:name="_Toc455393069"/>
      <w:r>
        <w:rPr>
          <w:rFonts w:ascii="Times New Roman" w:hAnsi="Times New Roman" w:eastAsia="黑体"/>
          <w:sz w:val="32"/>
        </w:rPr>
        <w:t>前    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ind w:firstLine="480"/>
      </w:pPr>
      <w:r>
        <w:t>根据</w:t>
      </w:r>
      <w:r>
        <w:rPr>
          <w:rFonts w:hint="eastAsia"/>
        </w:rPr>
        <w:t>《广东省住房和城乡建设厅关于发布&lt;2019年广东省工程建设标准制定、修订计划&gt;的通知》（粤建科函</w:t>
      </w:r>
      <w:r>
        <w:t>〔201</w:t>
      </w:r>
      <w:r>
        <w:rPr>
          <w:rFonts w:hint="eastAsia"/>
        </w:rPr>
        <w:t>9</w:t>
      </w:r>
      <w:r>
        <w:t>〕</w:t>
      </w:r>
      <w:r>
        <w:rPr>
          <w:rFonts w:hint="eastAsia"/>
        </w:rPr>
        <w:t>1118号）</w:t>
      </w:r>
      <w:r>
        <w:t>的要求，规程编制组经过深入调查研究，认真总结实践经验，参考有关国内外标准，并在广泛征求意见的基础上</w:t>
      </w:r>
      <w:r>
        <w:rPr>
          <w:rFonts w:hint="eastAsia"/>
        </w:rPr>
        <w:t>，</w:t>
      </w:r>
      <w:r>
        <w:t>制定本规程。</w:t>
      </w:r>
    </w:p>
    <w:p>
      <w:pPr>
        <w:ind w:firstLine="480"/>
      </w:pPr>
      <w:r>
        <w:rPr>
          <w:rFonts w:hint="eastAsia"/>
        </w:rPr>
        <w:t>本规程不涉及专利。</w:t>
      </w:r>
    </w:p>
    <w:p>
      <w:pPr>
        <w:ind w:firstLine="480"/>
      </w:pPr>
      <w:r>
        <w:t>本规程共分10章和2个附录，主要技术内容</w:t>
      </w:r>
      <w:r>
        <w:rPr>
          <w:rFonts w:hint="eastAsia"/>
        </w:rPr>
        <w:t>是</w:t>
      </w:r>
      <w:r>
        <w:t>：</w:t>
      </w:r>
      <w:r>
        <w:rPr>
          <w:rFonts w:hint="eastAsia"/>
        </w:rPr>
        <w:t>1</w:t>
      </w:r>
      <w:r>
        <w:t>总则</w:t>
      </w:r>
      <w:r>
        <w:rPr>
          <w:rFonts w:hint="eastAsia"/>
        </w:rPr>
        <w:t>；2</w:t>
      </w:r>
      <w:r>
        <w:t>术语和符号</w:t>
      </w:r>
      <w:r>
        <w:rPr>
          <w:rFonts w:hint="eastAsia"/>
        </w:rPr>
        <w:t>；3</w:t>
      </w:r>
      <w:r>
        <w:t>基本规定</w:t>
      </w:r>
      <w:r>
        <w:rPr>
          <w:rFonts w:hint="eastAsia"/>
        </w:rPr>
        <w:t>；4</w:t>
      </w:r>
      <w:r>
        <w:t>工程勘察</w:t>
      </w:r>
      <w:r>
        <w:rPr>
          <w:rFonts w:hint="eastAsia"/>
        </w:rPr>
        <w:t>；5</w:t>
      </w:r>
      <w:r>
        <w:t>顶管设计</w:t>
      </w:r>
      <w:r>
        <w:rPr>
          <w:rFonts w:hint="eastAsia"/>
        </w:rPr>
        <w:t>；6</w:t>
      </w:r>
      <w:r>
        <w:t>管节制作</w:t>
      </w:r>
      <w:r>
        <w:rPr>
          <w:rFonts w:hint="eastAsia"/>
        </w:rPr>
        <w:t>；7</w:t>
      </w:r>
      <w:r>
        <w:t>工作井施工</w:t>
      </w:r>
      <w:r>
        <w:rPr>
          <w:rFonts w:hint="eastAsia"/>
        </w:rPr>
        <w:t>；8</w:t>
      </w:r>
      <w:r>
        <w:t>顶管设备及安装</w:t>
      </w:r>
      <w:r>
        <w:rPr>
          <w:rFonts w:hint="eastAsia"/>
        </w:rPr>
        <w:t>；9</w:t>
      </w:r>
      <w:r>
        <w:t>顶进施工</w:t>
      </w:r>
      <w:r>
        <w:rPr>
          <w:rFonts w:hint="eastAsia"/>
        </w:rPr>
        <w:t>；10</w:t>
      </w:r>
      <w:r>
        <w:t>工程验收。</w:t>
      </w:r>
    </w:p>
    <w:p>
      <w:pPr>
        <w:ind w:firstLine="480"/>
      </w:pPr>
      <w:r>
        <w:t>本规程由</w:t>
      </w:r>
      <w:r>
        <w:rPr>
          <w:rFonts w:hint="eastAsia"/>
        </w:rPr>
        <w:t>广东省住房和城乡建设厅负责</w:t>
      </w:r>
      <w:r>
        <w:t>管理，由广州市市政集团有限公司</w:t>
      </w:r>
      <w:r>
        <w:rPr>
          <w:rFonts w:hint="eastAsia"/>
        </w:rPr>
        <w:t>和广州市市政工程协会</w:t>
      </w:r>
      <w:r>
        <w:t>负责具体技术内容的解释。本规程在执行过程中如有需要修改或补充之处，请将有关资料和建议寄送解释单位（地址：广州市越秀区环市东路338号，邮政编码：510060；电子邮箱：1271535624@qq.com），以供修订时参考。</w:t>
      </w:r>
    </w:p>
    <w:p>
      <w:pPr>
        <w:ind w:firstLine="480"/>
      </w:pPr>
      <w:r>
        <w:rPr>
          <w:rFonts w:eastAsia="黑体"/>
          <w:bCs/>
          <w:spacing w:val="20"/>
        </w:rPr>
        <w:t>主编单位：</w:t>
      </w:r>
      <w:r>
        <w:t>广州市市政集团有限公司</w:t>
      </w:r>
    </w:p>
    <w:p>
      <w:pPr>
        <w:ind w:firstLine="1920" w:firstLineChars="800"/>
      </w:pPr>
      <w:r>
        <w:t>广州市市政工程协会</w:t>
      </w:r>
    </w:p>
    <w:p>
      <w:pPr>
        <w:ind w:firstLine="560" w:firstLineChars="200"/>
        <w:rPr>
          <w:b w:val="0"/>
          <w:bCs/>
        </w:rPr>
      </w:pPr>
      <w:r>
        <w:rPr>
          <w:rFonts w:eastAsia="黑体"/>
          <w:bCs/>
          <w:spacing w:val="20"/>
        </w:rPr>
        <w:t>参编单位：</w:t>
      </w:r>
      <w:r>
        <w:rPr>
          <w:rFonts w:hint="eastAsia"/>
          <w:b w:val="0"/>
          <w:bCs/>
        </w:rPr>
        <w:t>广州地铁设计研究院股份有限公司</w:t>
      </w:r>
    </w:p>
    <w:p>
      <w:pPr>
        <w:ind w:left="1440" w:leftChars="600" w:firstLine="480"/>
        <w:rPr>
          <w:b w:val="0"/>
          <w:bCs/>
        </w:rPr>
      </w:pPr>
      <w:r>
        <w:rPr>
          <w:rFonts w:hint="eastAsia"/>
          <w:b w:val="0"/>
          <w:bCs/>
        </w:rPr>
        <w:t>广州金土岩土工程技术有限公司</w:t>
      </w:r>
    </w:p>
    <w:p>
      <w:pPr>
        <w:ind w:left="1440" w:leftChars="600" w:firstLine="480"/>
        <w:rPr>
          <w:b w:val="0"/>
          <w:bCs/>
        </w:rPr>
      </w:pPr>
      <w:r>
        <w:rPr>
          <w:rFonts w:hint="eastAsia"/>
          <w:b w:val="0"/>
          <w:bCs/>
        </w:rPr>
        <w:t>广州市市政工程设计研究总院有限公司</w:t>
      </w:r>
    </w:p>
    <w:p>
      <w:pPr>
        <w:ind w:firstLine="1920" w:firstLineChars="800"/>
        <w:rPr>
          <w:b w:val="0"/>
          <w:bCs/>
        </w:rPr>
      </w:pPr>
      <w:r>
        <w:rPr>
          <w:rFonts w:hint="eastAsia"/>
          <w:b w:val="0"/>
          <w:bCs/>
        </w:rPr>
        <w:t>广东鑫隆管业有限公司</w:t>
      </w:r>
    </w:p>
    <w:p>
      <w:pPr>
        <w:ind w:left="1440" w:leftChars="600" w:firstLine="480"/>
        <w:rPr>
          <w:b w:val="0"/>
          <w:bCs/>
        </w:rPr>
      </w:pPr>
      <w:r>
        <w:rPr>
          <w:rFonts w:hint="eastAsia"/>
          <w:b w:val="0"/>
          <w:bCs/>
        </w:rPr>
        <w:t>广州市第三市政工程有限公司</w:t>
      </w:r>
    </w:p>
    <w:p>
      <w:pPr>
        <w:ind w:left="1440" w:leftChars="600" w:firstLine="480"/>
        <w:rPr>
          <w:b w:val="0"/>
          <w:bCs/>
        </w:rPr>
      </w:pPr>
      <w:r>
        <w:rPr>
          <w:rFonts w:hint="eastAsia"/>
          <w:b w:val="0"/>
          <w:bCs/>
        </w:rPr>
        <w:t>中铁工程装备集团有限公司</w:t>
      </w:r>
    </w:p>
    <w:p>
      <w:pPr>
        <w:ind w:left="1440" w:leftChars="600" w:firstLine="480"/>
        <w:rPr>
          <w:b w:val="0"/>
          <w:bCs/>
        </w:rPr>
      </w:pPr>
      <w:r>
        <w:rPr>
          <w:rFonts w:hint="eastAsia"/>
          <w:b w:val="0"/>
          <w:bCs/>
        </w:rPr>
        <w:t>广州市市政集团设计院有限公司</w:t>
      </w:r>
    </w:p>
    <w:p>
      <w:pPr>
        <w:ind w:firstLine="1920" w:firstLineChars="800"/>
        <w:rPr>
          <w:rFonts w:hint="eastAsia" w:eastAsia="宋体"/>
          <w:b w:val="0"/>
          <w:bCs/>
          <w:lang w:eastAsia="zh-CN"/>
        </w:rPr>
      </w:pPr>
      <w:r>
        <w:rPr>
          <w:rFonts w:hint="eastAsia"/>
          <w:b w:val="0"/>
          <w:bCs/>
        </w:rPr>
        <w:t>广东省建筑设计研究院</w:t>
      </w:r>
      <w:r>
        <w:rPr>
          <w:rFonts w:hint="eastAsia"/>
          <w:b w:val="0"/>
          <w:bCs/>
          <w:lang w:eastAsia="zh-CN"/>
        </w:rPr>
        <w:t>有限公司</w:t>
      </w:r>
    </w:p>
    <w:p>
      <w:pPr>
        <w:ind w:left="1440" w:leftChars="600" w:firstLine="480"/>
        <w:rPr>
          <w:b w:val="0"/>
          <w:bCs/>
        </w:rPr>
      </w:pPr>
      <w:r>
        <w:rPr>
          <w:rFonts w:hint="eastAsia"/>
          <w:b w:val="0"/>
          <w:bCs/>
        </w:rPr>
        <w:t>广州市第二市政工程有限公司</w:t>
      </w:r>
    </w:p>
    <w:p>
      <w:pPr>
        <w:ind w:left="1440" w:leftChars="600" w:firstLine="480"/>
        <w:rPr>
          <w:b w:val="0"/>
          <w:bCs/>
        </w:rPr>
      </w:pPr>
      <w:r>
        <w:rPr>
          <w:rFonts w:hint="eastAsia"/>
          <w:b w:val="0"/>
          <w:bCs/>
        </w:rPr>
        <w:t>中国地质大学（武汉）</w:t>
      </w:r>
    </w:p>
    <w:p>
      <w:pPr>
        <w:ind w:left="1440" w:leftChars="600" w:firstLine="480"/>
        <w:rPr>
          <w:bCs/>
        </w:rPr>
      </w:pPr>
      <w:r>
        <w:rPr>
          <w:rFonts w:hint="eastAsia"/>
          <w:bCs/>
        </w:rPr>
        <w:t>中铁一局集团有限公司</w:t>
      </w:r>
    </w:p>
    <w:p>
      <w:pPr>
        <w:ind w:left="1440" w:leftChars="600" w:firstLine="480"/>
        <w:rPr>
          <w:bCs/>
        </w:rPr>
      </w:pPr>
      <w:r>
        <w:rPr>
          <w:rFonts w:hint="eastAsia"/>
          <w:bCs/>
        </w:rPr>
        <w:t>广东水电二局股份有限公司</w:t>
      </w:r>
    </w:p>
    <w:p>
      <w:pPr>
        <w:ind w:left="1440" w:leftChars="600" w:firstLine="480"/>
        <w:rPr>
          <w:bCs/>
        </w:rPr>
      </w:pPr>
      <w:r>
        <w:rPr>
          <w:rFonts w:hint="eastAsia"/>
          <w:bCs/>
        </w:rPr>
        <w:t>广州市城市规划勘测设计研究院</w:t>
      </w:r>
    </w:p>
    <w:p>
      <w:pPr>
        <w:keepNext w:val="0"/>
        <w:keepLines w:val="0"/>
        <w:pageBreakBefore w:val="0"/>
        <w:widowControl w:val="0"/>
        <w:kinsoku/>
        <w:wordWrap/>
        <w:overflowPunct/>
        <w:topLinePunct w:val="0"/>
        <w:autoSpaceDE/>
        <w:autoSpaceDN/>
        <w:bidi w:val="0"/>
        <w:adjustRightInd/>
        <w:snapToGrid/>
        <w:ind w:left="34" w:leftChars="14" w:firstLine="480" w:firstLineChars="200"/>
        <w:jc w:val="left"/>
        <w:textAlignment w:val="auto"/>
        <w:rPr>
          <w:rFonts w:hint="eastAsia"/>
          <w:b w:val="0"/>
          <w:bCs w:val="0"/>
        </w:rPr>
      </w:pPr>
      <w:r>
        <w:rPr>
          <w:rFonts w:hint="eastAsia" w:eastAsia="黑体"/>
          <w:bCs/>
        </w:rPr>
        <w:t>本规范</w:t>
      </w:r>
      <w:r>
        <w:rPr>
          <w:rFonts w:eastAsia="黑体"/>
          <w:bCs/>
        </w:rPr>
        <w:t>主要起草人</w:t>
      </w:r>
      <w:r>
        <w:rPr>
          <w:rFonts w:hint="eastAsia" w:eastAsia="黑体"/>
          <w:bCs/>
        </w:rPr>
        <w:t>员</w:t>
      </w:r>
      <w:r>
        <w:rPr>
          <w:b/>
          <w:bCs/>
        </w:rPr>
        <w:t>：</w:t>
      </w:r>
      <w:r>
        <w:rPr>
          <w:rFonts w:hint="eastAsia"/>
          <w:b w:val="0"/>
          <w:bCs w:val="0"/>
        </w:rPr>
        <w:t xml:space="preserve">安关峰  陈雪华  农兴中 </w:t>
      </w:r>
      <w:r>
        <w:rPr>
          <w:rFonts w:hint="eastAsia"/>
          <w:b w:val="0"/>
          <w:bCs w:val="0"/>
          <w:lang w:val="en-US" w:eastAsia="zh-CN"/>
        </w:rPr>
        <w:t xml:space="preserve"> </w:t>
      </w:r>
      <w:r>
        <w:rPr>
          <w:rFonts w:hint="eastAsia"/>
          <w:b w:val="0"/>
          <w:bCs w:val="0"/>
        </w:rPr>
        <w:t xml:space="preserve">肖 </w:t>
      </w:r>
      <w:r>
        <w:rPr>
          <w:rFonts w:hint="eastAsia"/>
          <w:b w:val="0"/>
          <w:bCs w:val="0"/>
          <w:lang w:val="en-US" w:eastAsia="zh-CN"/>
        </w:rPr>
        <w:t xml:space="preserve"> </w:t>
      </w:r>
      <w:r>
        <w:rPr>
          <w:rFonts w:hint="eastAsia"/>
          <w:b w:val="0"/>
          <w:bCs w:val="0"/>
        </w:rPr>
        <w:t xml:space="preserve">煜  谭顺辉  </w:t>
      </w:r>
    </w:p>
    <w:p>
      <w:pPr>
        <w:keepNext w:val="0"/>
        <w:keepLines w:val="0"/>
        <w:pageBreakBefore w:val="0"/>
        <w:widowControl w:val="0"/>
        <w:kinsoku/>
        <w:wordWrap/>
        <w:overflowPunct/>
        <w:topLinePunct w:val="0"/>
        <w:autoSpaceDE/>
        <w:autoSpaceDN/>
        <w:bidi w:val="0"/>
        <w:adjustRightInd/>
        <w:snapToGrid/>
        <w:ind w:left="2434" w:leftChars="1014" w:firstLine="480" w:firstLineChars="200"/>
        <w:jc w:val="left"/>
        <w:textAlignment w:val="auto"/>
        <w:rPr>
          <w:rFonts w:hint="eastAsia"/>
          <w:b w:val="0"/>
          <w:bCs w:val="0"/>
        </w:rPr>
      </w:pPr>
      <w:r>
        <w:rPr>
          <w:rFonts w:hint="eastAsia"/>
          <w:b w:val="0"/>
          <w:bCs w:val="0"/>
        </w:rPr>
        <w:t>杨先华</w:t>
      </w:r>
      <w:r>
        <w:rPr>
          <w:rFonts w:hint="eastAsia"/>
          <w:b w:val="0"/>
          <w:bCs w:val="0"/>
          <w:lang w:val="en-US" w:eastAsia="zh-CN"/>
        </w:rPr>
        <w:t xml:space="preserve"> </w:t>
      </w:r>
      <w:r>
        <w:rPr>
          <w:rFonts w:hint="eastAsia"/>
          <w:b w:val="0"/>
          <w:bCs w:val="0"/>
        </w:rPr>
        <w:t xml:space="preserve"> 李红宝  张</w:t>
      </w:r>
      <w:r>
        <w:rPr>
          <w:rFonts w:hint="eastAsia"/>
          <w:b w:val="0"/>
          <w:bCs w:val="0"/>
          <w:lang w:val="en-US" w:eastAsia="zh-CN"/>
        </w:rPr>
        <w:t xml:space="preserve"> </w:t>
      </w:r>
      <w:r>
        <w:rPr>
          <w:rFonts w:hint="eastAsia"/>
          <w:b w:val="0"/>
          <w:bCs w:val="0"/>
        </w:rPr>
        <w:t xml:space="preserve"> 蓉 </w:t>
      </w:r>
      <w:r>
        <w:rPr>
          <w:rFonts w:hint="eastAsia"/>
          <w:b w:val="0"/>
          <w:bCs w:val="0"/>
          <w:lang w:val="en-US" w:eastAsia="zh-CN"/>
        </w:rPr>
        <w:t xml:space="preserve"> </w:t>
      </w:r>
      <w:r>
        <w:rPr>
          <w:rFonts w:hint="eastAsia"/>
          <w:b w:val="0"/>
          <w:bCs w:val="0"/>
        </w:rPr>
        <w:t>翟利华</w:t>
      </w:r>
      <w:r>
        <w:rPr>
          <w:rFonts w:hint="eastAsia"/>
          <w:b w:val="0"/>
          <w:bCs w:val="0"/>
          <w:lang w:val="en-US" w:eastAsia="zh-CN"/>
        </w:rPr>
        <w:t xml:space="preserve"> </w:t>
      </w:r>
      <w:r>
        <w:rPr>
          <w:rFonts w:hint="eastAsia"/>
          <w:b w:val="0"/>
          <w:bCs w:val="0"/>
        </w:rPr>
        <w:t xml:space="preserve"> 薛广记 </w:t>
      </w:r>
    </w:p>
    <w:p>
      <w:pPr>
        <w:keepNext w:val="0"/>
        <w:keepLines w:val="0"/>
        <w:pageBreakBefore w:val="0"/>
        <w:widowControl w:val="0"/>
        <w:kinsoku/>
        <w:wordWrap/>
        <w:overflowPunct/>
        <w:topLinePunct w:val="0"/>
        <w:autoSpaceDE/>
        <w:autoSpaceDN/>
        <w:bidi w:val="0"/>
        <w:adjustRightInd/>
        <w:snapToGrid/>
        <w:ind w:left="2434" w:leftChars="1014" w:firstLine="480" w:firstLineChars="200"/>
        <w:jc w:val="left"/>
        <w:textAlignment w:val="auto"/>
        <w:rPr>
          <w:rFonts w:hint="eastAsia"/>
          <w:b w:val="0"/>
          <w:bCs w:val="0"/>
        </w:rPr>
      </w:pPr>
      <w:r>
        <w:rPr>
          <w:rFonts w:hint="eastAsia"/>
          <w:b w:val="0"/>
          <w:bCs w:val="0"/>
        </w:rPr>
        <w:t>马保松</w:t>
      </w:r>
      <w:r>
        <w:rPr>
          <w:rFonts w:hint="eastAsia"/>
          <w:b w:val="0"/>
          <w:bCs w:val="0"/>
          <w:lang w:val="en-US" w:eastAsia="zh-CN"/>
        </w:rPr>
        <w:t xml:space="preserve">  </w:t>
      </w:r>
      <w:r>
        <w:rPr>
          <w:rFonts w:hint="eastAsia"/>
          <w:b w:val="0"/>
          <w:bCs w:val="0"/>
        </w:rPr>
        <w:t>陈建宁</w:t>
      </w:r>
      <w:r>
        <w:rPr>
          <w:rFonts w:hint="eastAsia"/>
          <w:b w:val="0"/>
          <w:bCs w:val="0"/>
          <w:lang w:val="en-US" w:eastAsia="zh-CN"/>
        </w:rPr>
        <w:t xml:space="preserve"> </w:t>
      </w:r>
      <w:r>
        <w:rPr>
          <w:rFonts w:hint="eastAsia"/>
          <w:b w:val="0"/>
          <w:bCs w:val="0"/>
        </w:rPr>
        <w:t xml:space="preserve"> 周丽红 </w:t>
      </w:r>
      <w:r>
        <w:rPr>
          <w:rFonts w:hint="eastAsia"/>
          <w:b w:val="0"/>
          <w:bCs w:val="0"/>
          <w:lang w:val="en-US" w:eastAsia="zh-CN"/>
        </w:rPr>
        <w:t xml:space="preserve"> </w:t>
      </w:r>
      <w:r>
        <w:rPr>
          <w:rFonts w:hint="eastAsia"/>
          <w:b w:val="0"/>
          <w:bCs w:val="0"/>
        </w:rPr>
        <w:t xml:space="preserve">胡继生 </w:t>
      </w:r>
      <w:r>
        <w:rPr>
          <w:rFonts w:hint="eastAsia"/>
          <w:b w:val="0"/>
          <w:bCs w:val="0"/>
          <w:lang w:val="en-US" w:eastAsia="zh-CN"/>
        </w:rPr>
        <w:t xml:space="preserve"> </w:t>
      </w:r>
      <w:r>
        <w:rPr>
          <w:rFonts w:hint="eastAsia"/>
          <w:b w:val="0"/>
          <w:bCs w:val="0"/>
        </w:rPr>
        <w:t xml:space="preserve">周炜峙  </w:t>
      </w:r>
    </w:p>
    <w:p>
      <w:pPr>
        <w:keepNext w:val="0"/>
        <w:keepLines w:val="0"/>
        <w:pageBreakBefore w:val="0"/>
        <w:widowControl w:val="0"/>
        <w:kinsoku/>
        <w:wordWrap/>
        <w:overflowPunct/>
        <w:topLinePunct w:val="0"/>
        <w:autoSpaceDE/>
        <w:autoSpaceDN/>
        <w:bidi w:val="0"/>
        <w:adjustRightInd/>
        <w:snapToGrid/>
        <w:ind w:left="2434" w:leftChars="1014" w:firstLine="480" w:firstLineChars="200"/>
        <w:jc w:val="left"/>
        <w:textAlignment w:val="auto"/>
        <w:rPr>
          <w:rFonts w:hint="eastAsia" w:eastAsia="宋体"/>
          <w:b w:val="0"/>
          <w:bCs w:val="0"/>
          <w:lang w:eastAsia="zh-CN"/>
        </w:rPr>
      </w:pPr>
      <w:r>
        <w:rPr>
          <w:rFonts w:hint="eastAsia"/>
          <w:b w:val="0"/>
          <w:bCs w:val="0"/>
        </w:rPr>
        <w:t>陈晓飞</w:t>
      </w:r>
      <w:r>
        <w:rPr>
          <w:rFonts w:hint="eastAsia"/>
          <w:b w:val="0"/>
          <w:bCs w:val="0"/>
          <w:lang w:val="en-US" w:eastAsia="zh-CN"/>
        </w:rPr>
        <w:t xml:space="preserve"> </w:t>
      </w:r>
      <w:r>
        <w:rPr>
          <w:rFonts w:hint="eastAsia"/>
          <w:b w:val="0"/>
          <w:bCs w:val="0"/>
        </w:rPr>
        <w:t xml:space="preserve"> 王 </w:t>
      </w:r>
      <w:r>
        <w:rPr>
          <w:rFonts w:hint="eastAsia"/>
          <w:b w:val="0"/>
          <w:bCs w:val="0"/>
          <w:lang w:val="en-US" w:eastAsia="zh-CN"/>
        </w:rPr>
        <w:t xml:space="preserve"> </w:t>
      </w:r>
      <w:r>
        <w:rPr>
          <w:rFonts w:hint="eastAsia"/>
          <w:b w:val="0"/>
          <w:bCs w:val="0"/>
        </w:rPr>
        <w:t>谭</w:t>
      </w:r>
      <w:r>
        <w:rPr>
          <w:rFonts w:hint="eastAsia"/>
          <w:b w:val="0"/>
          <w:bCs w:val="0"/>
          <w:lang w:val="en-US" w:eastAsia="zh-CN"/>
        </w:rPr>
        <w:t xml:space="preserve">  </w:t>
      </w:r>
      <w:r>
        <w:rPr>
          <w:rFonts w:hint="eastAsia"/>
          <w:b w:val="0"/>
          <w:bCs w:val="0"/>
        </w:rPr>
        <w:t xml:space="preserve">何修义 </w:t>
      </w:r>
      <w:r>
        <w:rPr>
          <w:rFonts w:hint="eastAsia"/>
          <w:b w:val="0"/>
          <w:bCs w:val="0"/>
          <w:lang w:val="en-US" w:eastAsia="zh-CN"/>
        </w:rPr>
        <w:t xml:space="preserve"> </w:t>
      </w:r>
      <w:r>
        <w:rPr>
          <w:rFonts w:hint="eastAsia"/>
          <w:b w:val="0"/>
          <w:bCs w:val="0"/>
        </w:rPr>
        <w:t>谢祥明</w:t>
      </w:r>
      <w:r>
        <w:rPr>
          <w:rFonts w:hint="eastAsia"/>
          <w:b w:val="0"/>
          <w:bCs w:val="0"/>
          <w:lang w:val="en-US" w:eastAsia="zh-CN"/>
        </w:rPr>
        <w:t xml:space="preserve"> </w:t>
      </w:r>
      <w:r>
        <w:rPr>
          <w:rFonts w:hint="eastAsia"/>
          <w:b w:val="0"/>
          <w:bCs w:val="0"/>
        </w:rPr>
        <w:t xml:space="preserve"> </w:t>
      </w:r>
      <w:r>
        <w:rPr>
          <w:rFonts w:hint="eastAsia"/>
          <w:b w:val="0"/>
          <w:bCs w:val="0"/>
          <w:lang w:eastAsia="zh-CN"/>
        </w:rPr>
        <w:t>汪永剑</w:t>
      </w:r>
    </w:p>
    <w:p>
      <w:pPr>
        <w:keepNext w:val="0"/>
        <w:keepLines w:val="0"/>
        <w:pageBreakBefore w:val="0"/>
        <w:widowControl w:val="0"/>
        <w:kinsoku/>
        <w:wordWrap/>
        <w:overflowPunct/>
        <w:topLinePunct w:val="0"/>
        <w:autoSpaceDE/>
        <w:autoSpaceDN/>
        <w:bidi w:val="0"/>
        <w:adjustRightInd/>
        <w:snapToGrid/>
        <w:ind w:left="2434" w:leftChars="1014" w:firstLine="480" w:firstLineChars="200"/>
        <w:jc w:val="left"/>
        <w:textAlignment w:val="auto"/>
        <w:rPr>
          <w:rFonts w:hint="eastAsia"/>
          <w:b w:val="0"/>
          <w:bCs w:val="0"/>
        </w:rPr>
      </w:pPr>
      <w:r>
        <w:rPr>
          <w:rFonts w:hint="eastAsia"/>
          <w:b w:val="0"/>
          <w:bCs w:val="0"/>
        </w:rPr>
        <w:t>熊</w:t>
      </w:r>
      <w:r>
        <w:rPr>
          <w:rFonts w:hint="eastAsia"/>
          <w:b w:val="0"/>
          <w:bCs w:val="0"/>
          <w:lang w:val="en-US" w:eastAsia="zh-CN"/>
        </w:rPr>
        <w:t xml:space="preserve">  </w:t>
      </w:r>
      <w:r>
        <w:rPr>
          <w:rFonts w:hint="eastAsia"/>
          <w:b w:val="0"/>
          <w:bCs w:val="0"/>
        </w:rPr>
        <w:t>振</w:t>
      </w:r>
      <w:r>
        <w:rPr>
          <w:rFonts w:hint="eastAsia"/>
          <w:b w:val="0"/>
          <w:bCs w:val="0"/>
          <w:lang w:val="en-US" w:eastAsia="zh-CN"/>
        </w:rPr>
        <w:t xml:space="preserve">  </w:t>
      </w:r>
      <w:r>
        <w:rPr>
          <w:rFonts w:hint="eastAsia"/>
          <w:b w:val="0"/>
          <w:bCs w:val="0"/>
        </w:rPr>
        <w:t xml:space="preserve">刘添俊 </w:t>
      </w:r>
      <w:r>
        <w:rPr>
          <w:rFonts w:hint="eastAsia"/>
          <w:b w:val="0"/>
          <w:bCs w:val="0"/>
          <w:lang w:val="en-US" w:eastAsia="zh-CN"/>
        </w:rPr>
        <w:t xml:space="preserve"> </w:t>
      </w:r>
      <w:r>
        <w:rPr>
          <w:rFonts w:hint="eastAsia"/>
          <w:b w:val="0"/>
          <w:bCs w:val="0"/>
        </w:rPr>
        <w:t xml:space="preserve">杨春山 </w:t>
      </w:r>
      <w:r>
        <w:rPr>
          <w:rFonts w:hint="eastAsia"/>
          <w:b w:val="0"/>
          <w:bCs w:val="0"/>
          <w:lang w:val="en-US" w:eastAsia="zh-CN"/>
        </w:rPr>
        <w:t xml:space="preserve"> </w:t>
      </w:r>
      <w:r>
        <w:rPr>
          <w:rFonts w:hint="eastAsia"/>
          <w:b w:val="0"/>
          <w:bCs w:val="0"/>
        </w:rPr>
        <w:t>谭小颜</w:t>
      </w:r>
    </w:p>
    <w:p>
      <w:pPr>
        <w:keepNext w:val="0"/>
        <w:keepLines w:val="0"/>
        <w:pageBreakBefore w:val="0"/>
        <w:widowControl w:val="0"/>
        <w:kinsoku/>
        <w:wordWrap/>
        <w:overflowPunct/>
        <w:topLinePunct w:val="0"/>
        <w:autoSpaceDE/>
        <w:autoSpaceDN/>
        <w:bidi w:val="0"/>
        <w:adjustRightInd/>
        <w:snapToGrid/>
        <w:ind w:left="34" w:leftChars="14" w:firstLine="480" w:firstLineChars="200"/>
        <w:jc w:val="left"/>
        <w:textAlignment w:val="auto"/>
      </w:pPr>
    </w:p>
    <w:p>
      <w:pPr>
        <w:ind w:left="34" w:leftChars="14" w:firstLine="480" w:firstLineChars="200"/>
        <w:rPr>
          <w:szCs w:val="24"/>
        </w:rPr>
      </w:pPr>
    </w:p>
    <w:p>
      <w:pPr>
        <w:ind w:firstLine="480" w:firstLineChars="200"/>
        <w:rPr>
          <w:kern w:val="0"/>
        </w:rPr>
      </w:pPr>
      <w:r>
        <w:rPr>
          <w:rFonts w:hint="eastAsia" w:eastAsia="黑体"/>
          <w:bCs/>
        </w:rPr>
        <w:t>本规范</w:t>
      </w:r>
      <w:r>
        <w:rPr>
          <w:rFonts w:eastAsia="黑体"/>
          <w:bCs/>
        </w:rPr>
        <w:t>主要审查人</w:t>
      </w:r>
      <w:r>
        <w:rPr>
          <w:rFonts w:hint="eastAsia" w:eastAsia="黑体"/>
          <w:bCs/>
        </w:rPr>
        <w:t>员</w:t>
      </w:r>
      <w:r>
        <w:rPr>
          <w:b/>
          <w:bCs/>
        </w:rPr>
        <w:t>：</w:t>
      </w:r>
    </w:p>
    <w:p>
      <w:pPr>
        <w:jc w:val="center"/>
        <w:rPr>
          <w:rFonts w:eastAsia="仿宋"/>
          <w:b/>
          <w:bCs/>
          <w:sz w:val="28"/>
          <w:szCs w:val="24"/>
        </w:rPr>
      </w:pPr>
    </w:p>
    <w:p>
      <w:pPr>
        <w:jc w:val="center"/>
        <w:rPr>
          <w:rFonts w:eastAsia="仿宋"/>
          <w:b/>
          <w:bCs/>
          <w:sz w:val="28"/>
          <w:szCs w:val="24"/>
        </w:rPr>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pPr>
    </w:p>
    <w:p>
      <w:pPr>
        <w:jc w:val="center"/>
        <w:rPr>
          <w:rFonts w:eastAsia="仿宋"/>
          <w:b/>
          <w:bCs/>
          <w:sz w:val="28"/>
          <w:szCs w:val="24"/>
        </w:rPr>
      </w:pPr>
      <w:r>
        <w:rPr>
          <w:rFonts w:eastAsia="仿宋"/>
          <w:b/>
          <w:bCs/>
          <w:sz w:val="28"/>
          <w:szCs w:val="24"/>
        </w:rPr>
        <w:t>目  次</w:t>
      </w:r>
    </w:p>
    <w:p>
      <w:pPr>
        <w:pStyle w:val="27"/>
        <w:tabs>
          <w:tab w:val="right" w:leader="dot" w:pos="8296"/>
        </w:tabs>
        <w:rPr>
          <w:rFonts w:ascii="Times New Roman" w:hAnsi="Times New Roman" w:cs="Times New Roman" w:eastAsiaTheme="minorEastAsia"/>
          <w:b w:val="0"/>
          <w:bCs w:val="0"/>
          <w:caps w:val="0"/>
          <w:sz w:val="21"/>
          <w:szCs w:val="22"/>
        </w:rPr>
      </w:pPr>
      <w:r>
        <w:rPr>
          <w:rFonts w:ascii="Times New Roman" w:hAnsi="Times New Roman" w:cs="Times New Roman"/>
          <w:szCs w:val="24"/>
        </w:rPr>
        <w:fldChar w:fldCharType="begin"/>
      </w:r>
      <w:r>
        <w:rPr>
          <w:rFonts w:ascii="Times New Roman" w:hAnsi="Times New Roman" w:cs="Times New Roman"/>
          <w:szCs w:val="24"/>
        </w:rPr>
        <w:instrText xml:space="preserve"> TOC \o "1-2" \h \z \u </w:instrText>
      </w:r>
      <w:r>
        <w:rPr>
          <w:rFonts w:ascii="Times New Roman" w:hAnsi="Times New Roman" w:cs="Times New Roman"/>
          <w:szCs w:val="24"/>
        </w:rPr>
        <w:fldChar w:fldCharType="separate"/>
      </w:r>
      <w:r>
        <w:fldChar w:fldCharType="begin"/>
      </w:r>
      <w:r>
        <w:instrText xml:space="preserve"> HYPERLINK \l "_Toc60173770" </w:instrText>
      </w:r>
      <w:r>
        <w:fldChar w:fldCharType="separate"/>
      </w:r>
      <w:r>
        <w:rPr>
          <w:rStyle w:val="41"/>
          <w:rFonts w:ascii="Times New Roman" w:hAnsi="Times New Roman" w:cs="Times New Roman"/>
        </w:rPr>
        <w:t>1  总    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"_Toc60173771" </w:instrText>
      </w:r>
      <w:r>
        <w:fldChar w:fldCharType="separate"/>
      </w:r>
      <w:r>
        <w:rPr>
          <w:rStyle w:val="41"/>
          <w:rFonts w:ascii="Times New Roman" w:hAnsi="Times New Roman" w:eastAsia="Times New Roman" w:cs="Times New Roman"/>
          <w:kern w:val="44"/>
        </w:rPr>
        <w:t xml:space="preserve">2  </w:t>
      </w:r>
      <w:r>
        <w:rPr>
          <w:rStyle w:val="41"/>
          <w:rFonts w:ascii="Times New Roman" w:hAnsi="Times New Roman" w:cs="Times New Roman"/>
          <w:kern w:val="44"/>
        </w:rPr>
        <w:t>术语和符号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_Toc60173771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"_Toc60173772" </w:instrText>
      </w:r>
      <w:r>
        <w:fldChar w:fldCharType="separate"/>
      </w:r>
      <w:r>
        <w:rPr>
          <w:rStyle w:val="41"/>
          <w:rFonts w:ascii="Times New Roman" w:hAnsi="Times New Roman" w:eastAsia="黑体" w:cs="Times New Roman"/>
        </w:rPr>
        <w:t>2.1  术语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_Toc60173772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"_Toc60173773" </w:instrText>
      </w:r>
      <w:r>
        <w:fldChar w:fldCharType="separate"/>
      </w:r>
      <w:r>
        <w:rPr>
          <w:rStyle w:val="41"/>
          <w:rFonts w:ascii="Times New Roman" w:hAnsi="Times New Roman" w:eastAsia="黑体" w:cs="Times New Roman"/>
        </w:rPr>
        <w:t>2.2  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_Toc60173773 \h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"_Toc60173774" </w:instrText>
      </w:r>
      <w:r>
        <w:fldChar w:fldCharType="separate"/>
      </w:r>
      <w:r>
        <w:rPr>
          <w:rStyle w:val="41"/>
          <w:rFonts w:ascii="Times New Roman" w:hAnsi="Times New Roman" w:cs="Times New Roman"/>
        </w:rPr>
        <w:t>3  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_Toc60173774 \h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"_Toc60173775" </w:instrText>
      </w:r>
      <w:r>
        <w:fldChar w:fldCharType="separate"/>
      </w:r>
      <w:r>
        <w:rPr>
          <w:rStyle w:val="41"/>
          <w:rFonts w:ascii="Times New Roman" w:hAnsi="Times New Roman" w:cs="Times New Roman"/>
        </w:rPr>
        <w:t>4  工程勘察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_Toc60173775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"_Toc60173776" </w:instrText>
      </w:r>
      <w:r>
        <w:fldChar w:fldCharType="separate"/>
      </w:r>
      <w:r>
        <w:rPr>
          <w:rStyle w:val="41"/>
          <w:rFonts w:ascii="Times New Roman" w:hAnsi="Times New Roman" w:eastAsia="黑体" w:cs="Times New Roman"/>
        </w:rPr>
        <w:t>4.1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_Toc60173776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"_Toc60173777" </w:instrText>
      </w:r>
      <w:r>
        <w:fldChar w:fldCharType="separate"/>
      </w:r>
      <w:r>
        <w:rPr>
          <w:rStyle w:val="41"/>
          <w:rFonts w:ascii="Times New Roman" w:hAnsi="Times New Roman" w:eastAsia="黑体" w:cs="Times New Roman"/>
        </w:rPr>
        <w:t>4.2  勘察布孔</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_Toc60173777 \h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"_Toc60173778" </w:instrText>
      </w:r>
      <w:r>
        <w:fldChar w:fldCharType="separate"/>
      </w:r>
      <w:r>
        <w:rPr>
          <w:rStyle w:val="41"/>
          <w:rFonts w:ascii="Times New Roman" w:hAnsi="Times New Roman" w:eastAsia="黑体" w:cs="Times New Roman"/>
        </w:rPr>
        <w:t>4.3  地下水勘察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_Toc60173778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"_Toc60173779" </w:instrText>
      </w:r>
      <w:r>
        <w:fldChar w:fldCharType="separate"/>
      </w:r>
      <w:r>
        <w:rPr>
          <w:rStyle w:val="41"/>
          <w:rFonts w:ascii="Times New Roman" w:hAnsi="Times New Roman" w:eastAsia="黑体" w:cs="Times New Roman"/>
        </w:rPr>
        <w:t>4.4  勘察报告</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_Toc60173779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"_Toc60173780" </w:instrText>
      </w:r>
      <w:r>
        <w:fldChar w:fldCharType="separate"/>
      </w:r>
      <w:r>
        <w:rPr>
          <w:rStyle w:val="41"/>
          <w:rFonts w:ascii="Times New Roman" w:hAnsi="Times New Roman" w:eastAsia="黑体" w:cs="Times New Roman"/>
        </w:rPr>
        <w:t>4.5  地下管线和障碍物的探测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_Toc60173780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"_Toc60173781" </w:instrText>
      </w:r>
      <w:r>
        <w:fldChar w:fldCharType="separate"/>
      </w:r>
      <w:r>
        <w:rPr>
          <w:rStyle w:val="41"/>
          <w:rFonts w:ascii="Times New Roman" w:hAnsi="Times New Roman" w:cs="Times New Roman"/>
          <w:kern w:val="44"/>
        </w:rPr>
        <w:t>5  顶管设计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_Toc60173781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"_Toc60173782" </w:instrText>
      </w:r>
      <w:r>
        <w:fldChar w:fldCharType="separate"/>
      </w:r>
      <w:r>
        <w:rPr>
          <w:rStyle w:val="41"/>
          <w:rFonts w:ascii="Times New Roman" w:hAnsi="Times New Roman" w:eastAsia="黑体" w:cs="Times New Roman"/>
          <w:b/>
          <w:bCs/>
        </w:rPr>
        <w:t>5.1</w:t>
      </w:r>
      <w:r>
        <w:rPr>
          <w:rStyle w:val="41"/>
          <w:rFonts w:ascii="Times New Roman" w:hAnsi="Times New Roman" w:eastAsia="黑体" w:cs="Times New Roman"/>
          <w:bCs/>
        </w:rPr>
        <w:t xml:space="preserve">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_Toc60173782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"_Toc60173783" </w:instrText>
      </w:r>
      <w:r>
        <w:fldChar w:fldCharType="separate"/>
      </w:r>
      <w:r>
        <w:rPr>
          <w:rStyle w:val="41"/>
          <w:rFonts w:ascii="Times New Roman" w:hAnsi="Times New Roman" w:eastAsia="黑体" w:cs="Times New Roman"/>
          <w:b/>
          <w:bCs/>
        </w:rPr>
        <w:t>5.2</w:t>
      </w:r>
      <w:r>
        <w:rPr>
          <w:rStyle w:val="41"/>
          <w:rFonts w:ascii="Times New Roman" w:hAnsi="Times New Roman" w:eastAsia="黑体" w:cs="Times New Roman"/>
          <w:bCs/>
        </w:rPr>
        <w:t xml:space="preserve">  顶管管位设计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_Toc60173783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"_Toc60173784" </w:instrText>
      </w:r>
      <w:r>
        <w:fldChar w:fldCharType="separate"/>
      </w:r>
      <w:r>
        <w:rPr>
          <w:rStyle w:val="41"/>
          <w:rFonts w:ascii="Times New Roman" w:hAnsi="Times New Roman" w:eastAsia="黑体" w:cs="Times New Roman"/>
          <w:b/>
          <w:bCs/>
        </w:rPr>
        <w:t>5.3</w:t>
      </w:r>
      <w:r>
        <w:rPr>
          <w:rStyle w:val="41"/>
          <w:rFonts w:ascii="Times New Roman" w:hAnsi="Times New Roman" w:eastAsia="黑体" w:cs="Times New Roman"/>
          <w:bCs/>
        </w:rPr>
        <w:t xml:space="preserve">  作用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_Toc60173784 \h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"_Toc60173785" </w:instrText>
      </w:r>
      <w:r>
        <w:fldChar w:fldCharType="separate"/>
      </w:r>
      <w:r>
        <w:rPr>
          <w:rStyle w:val="41"/>
          <w:rFonts w:ascii="Times New Roman" w:hAnsi="Times New Roman" w:eastAsia="黑体" w:cs="Times New Roman"/>
          <w:b/>
          <w:bCs/>
        </w:rPr>
        <w:t>5.4</w:t>
      </w:r>
      <w:r>
        <w:rPr>
          <w:rStyle w:val="41"/>
          <w:rFonts w:ascii="Times New Roman" w:hAnsi="Times New Roman" w:eastAsia="黑体" w:cs="Times New Roman"/>
          <w:bCs/>
        </w:rPr>
        <w:t xml:space="preserve">  管节结构设计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_Toc60173785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"_Toc60173786" </w:instrText>
      </w:r>
      <w:r>
        <w:fldChar w:fldCharType="separate"/>
      </w:r>
      <w:r>
        <w:rPr>
          <w:rStyle w:val="41"/>
          <w:rFonts w:ascii="Times New Roman" w:hAnsi="Times New Roman" w:eastAsia="黑体" w:cs="Times New Roman"/>
          <w:b/>
          <w:bCs/>
        </w:rPr>
        <w:t>5.5</w:t>
      </w:r>
      <w:r>
        <w:rPr>
          <w:rStyle w:val="41"/>
          <w:rFonts w:ascii="Times New Roman" w:hAnsi="Times New Roman" w:eastAsia="黑体" w:cs="Times New Roman"/>
          <w:bCs/>
        </w:rPr>
        <w:t xml:space="preserve">  管节构造设计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_Toc60173786 \h </w:instrText>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"_Toc60173787" </w:instrText>
      </w:r>
      <w:r>
        <w:fldChar w:fldCharType="separate"/>
      </w:r>
      <w:r>
        <w:rPr>
          <w:rStyle w:val="41"/>
          <w:rFonts w:ascii="Times New Roman" w:hAnsi="Times New Roman" w:eastAsia="黑体" w:cs="Times New Roman"/>
          <w:b/>
          <w:bCs/>
        </w:rPr>
        <w:t>5.6</w:t>
      </w:r>
      <w:r>
        <w:rPr>
          <w:rStyle w:val="41"/>
          <w:rFonts w:ascii="Times New Roman" w:hAnsi="Times New Roman" w:eastAsia="黑体" w:cs="Times New Roman"/>
          <w:bCs/>
        </w:rPr>
        <w:t xml:space="preserve">  顶管总顶力计算与中继间设置原则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_Toc60173787 \h </w:instrText>
      </w:r>
      <w:r>
        <w:rPr>
          <w:rFonts w:ascii="Times New Roman" w:hAnsi="Times New Roman" w:cs="Times New Roman"/>
        </w:rPr>
        <w:fldChar w:fldCharType="separate"/>
      </w:r>
      <w:r>
        <w:rPr>
          <w:rFonts w:ascii="Times New Roman" w:hAnsi="Times New Roman" w:cs="Times New Roman"/>
        </w:rPr>
        <w:t>18</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"_Toc60173788" </w:instrText>
      </w:r>
      <w:r>
        <w:fldChar w:fldCharType="separate"/>
      </w:r>
      <w:r>
        <w:rPr>
          <w:rStyle w:val="41"/>
          <w:rFonts w:ascii="Times New Roman" w:hAnsi="Times New Roman" w:eastAsia="黑体" w:cs="Times New Roman"/>
          <w:b/>
          <w:bCs/>
        </w:rPr>
        <w:t>5.7</w:t>
      </w:r>
      <w:r>
        <w:rPr>
          <w:rStyle w:val="41"/>
          <w:rFonts w:ascii="Times New Roman" w:hAnsi="Times New Roman" w:eastAsia="黑体" w:cs="Times New Roman"/>
          <w:bCs/>
        </w:rPr>
        <w:t xml:space="preserve">  工作井设计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_Toc60173788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"_Toc60173789" </w:instrText>
      </w:r>
      <w:r>
        <w:fldChar w:fldCharType="separate"/>
      </w:r>
      <w:r>
        <w:rPr>
          <w:rStyle w:val="41"/>
          <w:rFonts w:ascii="Times New Roman" w:hAnsi="Times New Roman" w:cs="Times New Roman"/>
          <w:kern w:val="44"/>
        </w:rPr>
        <w:t>6  管节制作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_Toc60173789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"_Toc60173790" </w:instrText>
      </w:r>
      <w:r>
        <w:fldChar w:fldCharType="separate"/>
      </w:r>
      <w:r>
        <w:rPr>
          <w:rStyle w:val="41"/>
          <w:rFonts w:ascii="Times New Roman" w:hAnsi="Times New Roman" w:eastAsia="黑体" w:cs="Times New Roman"/>
          <w:b/>
          <w:bCs/>
        </w:rPr>
        <w:t>6.1</w:t>
      </w:r>
      <w:r>
        <w:rPr>
          <w:rStyle w:val="41"/>
          <w:rFonts w:ascii="Times New Roman" w:hAnsi="Times New Roman" w:eastAsia="黑体" w:cs="Times New Roman"/>
          <w:bCs/>
        </w:rPr>
        <w:t xml:space="preserve">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_Toc60173790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"_Toc60173791" </w:instrText>
      </w:r>
      <w:r>
        <w:fldChar w:fldCharType="separate"/>
      </w:r>
      <w:r>
        <w:rPr>
          <w:rStyle w:val="41"/>
          <w:rFonts w:ascii="Times New Roman" w:hAnsi="Times New Roman" w:eastAsia="黑体" w:cs="Times New Roman"/>
          <w:b/>
          <w:bCs/>
        </w:rPr>
        <w:t>6.2</w:t>
      </w:r>
      <w:r>
        <w:rPr>
          <w:rStyle w:val="41"/>
          <w:rFonts w:ascii="Times New Roman" w:hAnsi="Times New Roman" w:eastAsia="黑体" w:cs="Times New Roman"/>
          <w:bCs/>
        </w:rPr>
        <w:t xml:space="preserve">  材料性能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_Toc60173791 \h </w:instrText>
      </w:r>
      <w:r>
        <w:rPr>
          <w:rFonts w:ascii="Times New Roman" w:hAnsi="Times New Roman" w:cs="Times New Roman"/>
        </w:rPr>
        <w:fldChar w:fldCharType="separate"/>
      </w:r>
      <w:r>
        <w:rPr>
          <w:rFonts w:ascii="Times New Roman" w:hAnsi="Times New Roman" w:cs="Times New Roman"/>
        </w:rPr>
        <w:t>25</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"_Toc60173792" </w:instrText>
      </w:r>
      <w:r>
        <w:fldChar w:fldCharType="separate"/>
      </w:r>
      <w:r>
        <w:rPr>
          <w:rStyle w:val="41"/>
          <w:rFonts w:ascii="Times New Roman" w:hAnsi="Times New Roman" w:eastAsia="黑体" w:cs="Times New Roman"/>
          <w:b/>
          <w:bCs/>
        </w:rPr>
        <w:t>6.3</w:t>
      </w:r>
      <w:r>
        <w:rPr>
          <w:rStyle w:val="41"/>
          <w:rFonts w:ascii="Times New Roman" w:hAnsi="Times New Roman" w:eastAsia="黑体" w:cs="Times New Roman"/>
          <w:bCs/>
        </w:rPr>
        <w:t xml:space="preserve">  接头构造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_Toc60173792 \h </w:instrText>
      </w:r>
      <w:r>
        <w:rPr>
          <w:rFonts w:ascii="Times New Roman" w:hAnsi="Times New Roman" w:cs="Times New Roman"/>
        </w:rPr>
        <w:fldChar w:fldCharType="separate"/>
      </w:r>
      <w:r>
        <w:rPr>
          <w:rFonts w:ascii="Times New Roman" w:hAnsi="Times New Roman" w:cs="Times New Roman"/>
        </w:rPr>
        <w:t>28</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"_Toc60173793" </w:instrText>
      </w:r>
      <w:r>
        <w:fldChar w:fldCharType="separate"/>
      </w:r>
      <w:r>
        <w:rPr>
          <w:rStyle w:val="41"/>
          <w:rFonts w:ascii="Times New Roman" w:hAnsi="Times New Roman" w:eastAsia="黑体" w:cs="Times New Roman"/>
          <w:b/>
          <w:bCs/>
        </w:rPr>
        <w:t>6.4</w:t>
      </w:r>
      <w:r>
        <w:rPr>
          <w:rStyle w:val="41"/>
          <w:rFonts w:ascii="Times New Roman" w:hAnsi="Times New Roman" w:eastAsia="黑体" w:cs="Times New Roman"/>
          <w:bCs/>
        </w:rPr>
        <w:t xml:space="preserve">  管节防腐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_Toc60173793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"_Toc60173794" </w:instrText>
      </w:r>
      <w:r>
        <w:fldChar w:fldCharType="separate"/>
      </w:r>
      <w:r>
        <w:rPr>
          <w:rStyle w:val="41"/>
          <w:rFonts w:ascii="Times New Roman" w:hAnsi="Times New Roman" w:eastAsia="黑体" w:cs="Times New Roman"/>
          <w:b/>
          <w:bCs/>
        </w:rPr>
        <w:t>6.5</w:t>
      </w:r>
      <w:r>
        <w:rPr>
          <w:rStyle w:val="41"/>
          <w:rFonts w:ascii="Times New Roman" w:hAnsi="Times New Roman" w:eastAsia="黑体" w:cs="Times New Roman"/>
          <w:bCs/>
        </w:rPr>
        <w:t xml:space="preserve">  管节预制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_Toc60173794 \h </w:instrText>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"_Toc60173795" </w:instrText>
      </w:r>
      <w:r>
        <w:fldChar w:fldCharType="separate"/>
      </w:r>
      <w:r>
        <w:rPr>
          <w:rStyle w:val="41"/>
          <w:rFonts w:ascii="Times New Roman" w:hAnsi="Times New Roman" w:eastAsia="黑体" w:cs="Times New Roman"/>
          <w:b/>
          <w:bCs/>
        </w:rPr>
        <w:t>6.6</w:t>
      </w:r>
      <w:r>
        <w:rPr>
          <w:rStyle w:val="41"/>
          <w:rFonts w:ascii="Times New Roman" w:hAnsi="Times New Roman" w:eastAsia="黑体" w:cs="Times New Roman"/>
          <w:bCs/>
        </w:rPr>
        <w:t xml:space="preserve">  管节标识、堆放、吊装和运输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_Toc60173795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"_Toc60173796" </w:instrText>
      </w:r>
      <w:r>
        <w:fldChar w:fldCharType="separate"/>
      </w:r>
      <w:r>
        <w:rPr>
          <w:rStyle w:val="41"/>
          <w:rFonts w:ascii="Times New Roman" w:hAnsi="Times New Roman" w:eastAsia="黑体" w:cs="Times New Roman"/>
          <w:b/>
          <w:bCs/>
        </w:rPr>
        <w:t>6.7</w:t>
      </w:r>
      <w:r>
        <w:rPr>
          <w:rStyle w:val="41"/>
          <w:rFonts w:ascii="Times New Roman" w:hAnsi="Times New Roman" w:eastAsia="黑体" w:cs="Times New Roman"/>
          <w:bCs/>
        </w:rPr>
        <w:t xml:space="preserve">  管节质量控制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_Toc60173796 \h </w:instrText>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"_Toc60173797" </w:instrText>
      </w:r>
      <w:r>
        <w:fldChar w:fldCharType="separate"/>
      </w:r>
      <w:r>
        <w:rPr>
          <w:rStyle w:val="41"/>
          <w:rFonts w:ascii="Times New Roman" w:hAnsi="Times New Roman" w:cs="Times New Roman"/>
        </w:rPr>
        <w:t>7  工作井施工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_Toc60173797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"_Toc60173798" </w:instrText>
      </w:r>
      <w:r>
        <w:fldChar w:fldCharType="separate"/>
      </w:r>
      <w:r>
        <w:rPr>
          <w:rStyle w:val="41"/>
          <w:rFonts w:ascii="Times New Roman" w:hAnsi="Times New Roman" w:eastAsia="黑体" w:cs="Times New Roman"/>
        </w:rPr>
        <w:t>7.1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_Toc60173798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"_Toc60173799" </w:instrText>
      </w:r>
      <w:r>
        <w:fldChar w:fldCharType="separate"/>
      </w:r>
      <w:r>
        <w:rPr>
          <w:rStyle w:val="41"/>
          <w:rFonts w:ascii="Times New Roman" w:hAnsi="Times New Roman" w:eastAsia="黑体" w:cs="Times New Roman"/>
        </w:rPr>
        <w:t>7.2  土体加固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_Toc60173799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"_Toc60173800" </w:instrText>
      </w:r>
      <w:r>
        <w:fldChar w:fldCharType="separate"/>
      </w:r>
      <w:r>
        <w:rPr>
          <w:rStyle w:val="41"/>
          <w:rFonts w:ascii="Times New Roman" w:hAnsi="Times New Roman" w:eastAsia="黑体" w:cs="Times New Roman"/>
        </w:rPr>
        <w:t>7.3  工作井质量控制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_Toc60173800 \h </w:instrText>
      </w:r>
      <w:r>
        <w:rPr>
          <w:rFonts w:ascii="Times New Roman" w:hAnsi="Times New Roman" w:cs="Times New Roman"/>
        </w:rPr>
        <w:fldChar w:fldCharType="separate"/>
      </w:r>
      <w:r>
        <w:rPr>
          <w:rFonts w:ascii="Times New Roman" w:hAnsi="Times New Roman" w:cs="Times New Roman"/>
        </w:rPr>
        <w:t>41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"_Toc60173801" </w:instrText>
      </w:r>
      <w:r>
        <w:fldChar w:fldCharType="separate"/>
      </w:r>
      <w:r>
        <w:rPr>
          <w:rStyle w:val="41"/>
          <w:rFonts w:ascii="Times New Roman" w:hAnsi="Times New Roman" w:cs="Times New Roman"/>
        </w:rPr>
        <w:t>8  顶管设备及安装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_Toc60173801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"_Toc60173802" </w:instrText>
      </w:r>
      <w:r>
        <w:fldChar w:fldCharType="separate"/>
      </w:r>
      <w:r>
        <w:rPr>
          <w:rStyle w:val="41"/>
          <w:rFonts w:ascii="Times New Roman" w:hAnsi="Times New Roman" w:eastAsia="黑体" w:cs="Times New Roman"/>
        </w:rPr>
        <w:t>8.1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_Toc60173802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"_Toc60173803" </w:instrText>
      </w:r>
      <w:r>
        <w:fldChar w:fldCharType="separate"/>
      </w:r>
      <w:r>
        <w:rPr>
          <w:rStyle w:val="41"/>
          <w:rFonts w:ascii="Times New Roman" w:hAnsi="Times New Roman" w:eastAsia="黑体" w:cs="Times New Roman"/>
        </w:rPr>
        <w:t>8.2  矩形顶管机设计原则与选型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_Toc60173803 \h </w:instrText>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"_Toc60173804" </w:instrText>
      </w:r>
      <w:r>
        <w:fldChar w:fldCharType="separate"/>
      </w:r>
      <w:r>
        <w:rPr>
          <w:rStyle w:val="41"/>
          <w:rFonts w:ascii="Times New Roman" w:hAnsi="Times New Roman" w:eastAsia="黑体" w:cs="Times New Roman"/>
        </w:rPr>
        <w:t>8.3  顶推系统及安装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_Toc60173804 \h </w:instrText>
      </w:r>
      <w:r>
        <w:rPr>
          <w:rFonts w:ascii="Times New Roman" w:hAnsi="Times New Roman" w:cs="Times New Roman"/>
        </w:rPr>
        <w:fldChar w:fldCharType="separate"/>
      </w:r>
      <w:r>
        <w:rPr>
          <w:rFonts w:ascii="Times New Roman" w:hAnsi="Times New Roman" w:cs="Times New Roman"/>
        </w:rPr>
        <w:t>46</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"_Toc60173805" </w:instrText>
      </w:r>
      <w:r>
        <w:fldChar w:fldCharType="separate"/>
      </w:r>
      <w:r>
        <w:rPr>
          <w:rStyle w:val="41"/>
          <w:rFonts w:ascii="Times New Roman" w:hAnsi="Times New Roman" w:eastAsia="黑体" w:cs="Times New Roman"/>
        </w:rPr>
        <w:t>8.4  导轨选择与安装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_Toc60173805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"_Toc60173806" </w:instrText>
      </w:r>
      <w:r>
        <w:fldChar w:fldCharType="separate"/>
      </w:r>
      <w:r>
        <w:rPr>
          <w:rStyle w:val="41"/>
          <w:rFonts w:ascii="Times New Roman" w:hAnsi="Times New Roman" w:eastAsia="黑体" w:cs="Times New Roman"/>
        </w:rPr>
        <w:t>8.5  顶管机安装和调试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_Toc60173806 \h </w:instrText>
      </w:r>
      <w:r>
        <w:rPr>
          <w:rFonts w:ascii="Times New Roman" w:hAnsi="Times New Roman" w:cs="Times New Roman"/>
        </w:rPr>
        <w:fldChar w:fldCharType="separate"/>
      </w:r>
      <w:r>
        <w:rPr>
          <w:rFonts w:ascii="Times New Roman" w:hAnsi="Times New Roman" w:cs="Times New Roman"/>
        </w:rPr>
        <w:t>48</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"_Toc60173807" </w:instrText>
      </w:r>
      <w:r>
        <w:fldChar w:fldCharType="separate"/>
      </w:r>
      <w:r>
        <w:rPr>
          <w:rStyle w:val="41"/>
          <w:rFonts w:ascii="Times New Roman" w:hAnsi="Times New Roman" w:eastAsia="黑体" w:cs="Times New Roman"/>
        </w:rPr>
        <w:t>8.6  土压平衡出渣系统的安装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_Toc60173807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"_Toc60173808" </w:instrText>
      </w:r>
      <w:r>
        <w:fldChar w:fldCharType="separate"/>
      </w:r>
      <w:r>
        <w:rPr>
          <w:rStyle w:val="41"/>
          <w:rFonts w:ascii="Times New Roman" w:hAnsi="Times New Roman" w:eastAsia="黑体" w:cs="Times New Roman"/>
        </w:rPr>
        <w:t>8.7  泥水循环系统的安装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_Toc60173808 \h </w:instrText>
      </w:r>
      <w:r>
        <w:rPr>
          <w:rFonts w:ascii="Times New Roman" w:hAnsi="Times New Roman" w:cs="Times New Roman"/>
        </w:rPr>
        <w:fldChar w:fldCharType="separate"/>
      </w:r>
      <w:r>
        <w:rPr>
          <w:rFonts w:ascii="Times New Roman" w:hAnsi="Times New Roman" w:cs="Times New Roman"/>
        </w:rPr>
        <w:t>49</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"_Toc60173809" </w:instrText>
      </w:r>
      <w:r>
        <w:fldChar w:fldCharType="separate"/>
      </w:r>
      <w:r>
        <w:rPr>
          <w:rStyle w:val="41"/>
          <w:rFonts w:ascii="Times New Roman" w:hAnsi="Times New Roman" w:eastAsia="黑体" w:cs="Times New Roman"/>
        </w:rPr>
        <w:t>8.8  中继间安装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_Toc60173809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"_Toc60173810" </w:instrText>
      </w:r>
      <w:r>
        <w:fldChar w:fldCharType="separate"/>
      </w:r>
      <w:r>
        <w:rPr>
          <w:rStyle w:val="41"/>
          <w:rFonts w:ascii="Times New Roman" w:hAnsi="Times New Roman" w:eastAsia="黑体" w:cs="Times New Roman"/>
        </w:rPr>
        <w:t>8.9  顶管辅助施工与设备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_Toc60173810 \h </w:instrText>
      </w:r>
      <w:r>
        <w:rPr>
          <w:rFonts w:ascii="Times New Roman" w:hAnsi="Times New Roman" w:cs="Times New Roman"/>
        </w:rPr>
        <w:fldChar w:fldCharType="separate"/>
      </w:r>
      <w:r>
        <w:rPr>
          <w:rFonts w:ascii="Times New Roman" w:hAnsi="Times New Roman" w:cs="Times New Roman"/>
        </w:rPr>
        <w:t>51</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"_Toc60173811" </w:instrText>
      </w:r>
      <w:r>
        <w:fldChar w:fldCharType="separate"/>
      </w:r>
      <w:r>
        <w:rPr>
          <w:rStyle w:val="41"/>
          <w:rFonts w:ascii="Times New Roman" w:hAnsi="Times New Roman" w:eastAsia="黑体" w:cs="Times New Roman"/>
        </w:rPr>
        <w:t>8.10  质量控制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_Toc60173811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"_Toc60173812" </w:instrText>
      </w:r>
      <w:r>
        <w:fldChar w:fldCharType="separate"/>
      </w:r>
      <w:r>
        <w:rPr>
          <w:rStyle w:val="41"/>
          <w:rFonts w:ascii="Times New Roman" w:hAnsi="Times New Roman" w:cs="Times New Roman"/>
        </w:rPr>
        <w:t>9  顶进施工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_Toc60173812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"_Toc60173813" </w:instrText>
      </w:r>
      <w:r>
        <w:fldChar w:fldCharType="separate"/>
      </w:r>
      <w:r>
        <w:rPr>
          <w:rStyle w:val="41"/>
          <w:rFonts w:ascii="Times New Roman" w:hAnsi="Times New Roman" w:eastAsia="黑体" w:cs="Times New Roman"/>
        </w:rPr>
        <w:t>9.1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_Toc60173813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"_Toc60173814" </w:instrText>
      </w:r>
      <w:r>
        <w:fldChar w:fldCharType="separate"/>
      </w:r>
      <w:r>
        <w:rPr>
          <w:rStyle w:val="41"/>
          <w:rFonts w:ascii="Times New Roman" w:hAnsi="Times New Roman" w:eastAsia="黑体" w:cs="Times New Roman"/>
        </w:rPr>
        <w:t>9.2施工组织设计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_Toc60173814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"_Toc60173815" </w:instrText>
      </w:r>
      <w:r>
        <w:fldChar w:fldCharType="separate"/>
      </w:r>
      <w:r>
        <w:rPr>
          <w:rStyle w:val="41"/>
          <w:rFonts w:ascii="Times New Roman" w:hAnsi="Times New Roman" w:eastAsia="黑体" w:cs="Times New Roman"/>
        </w:rPr>
        <w:t>9.3  顶管始发与接收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_Toc60173815 \h </w:instrText>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"_Toc60173816" </w:instrText>
      </w:r>
      <w:r>
        <w:fldChar w:fldCharType="separate"/>
      </w:r>
      <w:r>
        <w:rPr>
          <w:rStyle w:val="41"/>
          <w:rFonts w:ascii="Times New Roman" w:hAnsi="Times New Roman" w:eastAsia="黑体" w:cs="Times New Roman"/>
        </w:rPr>
        <w:t>9.4顶管掘进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_Toc60173816 \h </w:instrText>
      </w:r>
      <w:r>
        <w:rPr>
          <w:rFonts w:ascii="Times New Roman" w:hAnsi="Times New Roman" w:cs="Times New Roman"/>
        </w:rPr>
        <w:fldChar w:fldCharType="separate"/>
      </w:r>
      <w:r>
        <w:rPr>
          <w:rFonts w:ascii="Times New Roman" w:hAnsi="Times New Roman" w:cs="Times New Roman"/>
        </w:rPr>
        <w:t>57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"_Toc60173817" </w:instrText>
      </w:r>
      <w:r>
        <w:fldChar w:fldCharType="separate"/>
      </w:r>
      <w:r>
        <w:rPr>
          <w:rStyle w:val="41"/>
          <w:rFonts w:ascii="Times New Roman" w:hAnsi="Times New Roman" w:eastAsia="黑体" w:cs="Times New Roman"/>
        </w:rPr>
        <w:t>9.5注浆减阻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_Toc60173817 \h </w:instrText>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"_Toc60173818" </w:instrText>
      </w:r>
      <w:r>
        <w:fldChar w:fldCharType="separate"/>
      </w:r>
      <w:r>
        <w:rPr>
          <w:rStyle w:val="41"/>
          <w:rFonts w:ascii="Times New Roman" w:hAnsi="Times New Roman" w:eastAsia="黑体" w:cs="Times New Roman"/>
        </w:rPr>
        <w:t>9.6 渣土改良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_Toc60173818 \h </w:instrText>
      </w:r>
      <w:r>
        <w:rPr>
          <w:rFonts w:ascii="Times New Roman" w:hAnsi="Times New Roman" w:cs="Times New Roman"/>
        </w:rPr>
        <w:fldChar w:fldCharType="separate"/>
      </w:r>
      <w:r>
        <w:rPr>
          <w:rFonts w:ascii="Times New Roman" w:hAnsi="Times New Roman" w:cs="Times New Roman"/>
        </w:rPr>
        <w:t>62</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"_Toc60173819" </w:instrText>
      </w:r>
      <w:r>
        <w:fldChar w:fldCharType="separate"/>
      </w:r>
      <w:r>
        <w:rPr>
          <w:rStyle w:val="41"/>
          <w:rFonts w:ascii="Times New Roman" w:hAnsi="Times New Roman" w:eastAsia="黑体" w:cs="Times New Roman"/>
        </w:rPr>
        <w:t>9.7测量和姿态控制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_Toc60173819 \h </w:instrText>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"_Toc60173820" </w:instrText>
      </w:r>
      <w:r>
        <w:fldChar w:fldCharType="separate"/>
      </w:r>
      <w:r>
        <w:rPr>
          <w:rStyle w:val="41"/>
          <w:rFonts w:ascii="Times New Roman" w:hAnsi="Times New Roman" w:eastAsia="黑体" w:cs="Times New Roman"/>
        </w:rPr>
        <w:t>9.8监测与变形控制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_Toc60173820 \h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"_Toc60173821" </w:instrText>
      </w:r>
      <w:r>
        <w:fldChar w:fldCharType="separate"/>
      </w:r>
      <w:r>
        <w:rPr>
          <w:rStyle w:val="41"/>
          <w:rFonts w:ascii="Times New Roman" w:hAnsi="Times New Roman" w:eastAsia="黑体" w:cs="Times New Roman"/>
        </w:rPr>
        <w:t>9.9 顶管机拆解与吊出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_Toc60173821 \h </w:instrText>
      </w:r>
      <w:r>
        <w:rPr>
          <w:rFonts w:ascii="Times New Roman" w:hAnsi="Times New Roman" w:cs="Times New Roman"/>
        </w:rPr>
        <w:fldChar w:fldCharType="separate"/>
      </w:r>
      <w:r>
        <w:rPr>
          <w:rFonts w:ascii="Times New Roman" w:hAnsi="Times New Roman" w:cs="Times New Roman"/>
        </w:rPr>
        <w:t>69</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96"/>
        </w:tabs>
        <w:rPr>
          <w:rFonts w:ascii="Times New Roman" w:hAnsi="Times New Roman" w:cs="Times New Roman" w:eastAsiaTheme="minorEastAsia"/>
          <w:smallCaps w:val="0"/>
          <w:sz w:val="21"/>
          <w:szCs w:val="22"/>
        </w:rPr>
      </w:pPr>
      <w:r>
        <w:fldChar w:fldCharType="begin"/>
      </w:r>
      <w:r>
        <w:instrText xml:space="preserve"> HYPERLINK \l "_Toc60173822" </w:instrText>
      </w:r>
      <w:r>
        <w:fldChar w:fldCharType="separate"/>
      </w:r>
      <w:r>
        <w:rPr>
          <w:rStyle w:val="41"/>
          <w:rFonts w:ascii="Times New Roman" w:hAnsi="Times New Roman" w:eastAsia="黑体" w:cs="Times New Roman"/>
        </w:rPr>
        <w:t>9.10质量控制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_Toc60173822 \h </w:instrText>
      </w:r>
      <w:r>
        <w:rPr>
          <w:rFonts w:ascii="Times New Roman" w:hAnsi="Times New Roman" w:cs="Times New Roman"/>
        </w:rPr>
        <w:fldChar w:fldCharType="separate"/>
      </w:r>
      <w:r>
        <w:rPr>
          <w:rFonts w:ascii="Times New Roman" w:hAnsi="Times New Roman" w:cs="Times New Roman"/>
        </w:rPr>
        <w:t>70</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"_Toc60173823" </w:instrText>
      </w:r>
      <w:r>
        <w:fldChar w:fldCharType="separate"/>
      </w:r>
      <w:r>
        <w:rPr>
          <w:rStyle w:val="41"/>
          <w:rFonts w:ascii="Times New Roman" w:hAnsi="Times New Roman" w:cs="Times New Roman"/>
        </w:rPr>
        <w:t>10  工程验收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_Toc60173823 \h </w:instrText>
      </w:r>
      <w:r>
        <w:rPr>
          <w:rFonts w:ascii="Times New Roman" w:hAnsi="Times New Roman" w:cs="Times New Roman"/>
        </w:rPr>
        <w:fldChar w:fldCharType="separate"/>
      </w:r>
      <w:r>
        <w:rPr>
          <w:rFonts w:ascii="Times New Roman" w:hAnsi="Times New Roman" w:cs="Times New Roman"/>
        </w:rPr>
        <w:t>73</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"_Toc60173824" </w:instrText>
      </w:r>
      <w:r>
        <w:fldChar w:fldCharType="separate"/>
      </w:r>
      <w:r>
        <w:rPr>
          <w:rStyle w:val="41"/>
          <w:rFonts w:ascii="Times New Roman" w:hAnsi="Times New Roman" w:cs="Times New Roman"/>
        </w:rPr>
        <w:t>附录A  矩形顶管分部、分项工程和检验批划分表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_Toc60173824 \h </w:instrText>
      </w:r>
      <w:r>
        <w:rPr>
          <w:rFonts w:ascii="Times New Roman" w:hAnsi="Times New Roman" w:cs="Times New Roman"/>
        </w:rPr>
        <w:fldChar w:fldCharType="separate"/>
      </w:r>
      <w:r>
        <w:rPr>
          <w:rFonts w:ascii="Times New Roman" w:hAnsi="Times New Roman" w:cs="Times New Roman"/>
        </w:rPr>
        <w:t>76</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"_Toc60173825" </w:instrText>
      </w:r>
      <w:r>
        <w:fldChar w:fldCharType="separate"/>
      </w:r>
      <w:r>
        <w:rPr>
          <w:rStyle w:val="41"/>
          <w:rFonts w:ascii="Times New Roman" w:hAnsi="Times New Roman" w:cs="Times New Roman"/>
        </w:rPr>
        <w:t>附录B  质量验收记录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_Toc60173825 \h </w:instrText>
      </w:r>
      <w:r>
        <w:rPr>
          <w:rFonts w:ascii="Times New Roman" w:hAnsi="Times New Roman" w:cs="Times New Roman"/>
        </w:rPr>
        <w:fldChar w:fldCharType="separate"/>
      </w:r>
      <w:r>
        <w:rPr>
          <w:rFonts w:ascii="Times New Roman" w:hAnsi="Times New Roman" w:cs="Times New Roman"/>
        </w:rPr>
        <w:t>77</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"_Toc60173826" </w:instrText>
      </w:r>
      <w:r>
        <w:fldChar w:fldCharType="separate"/>
      </w:r>
      <w:r>
        <w:rPr>
          <w:rStyle w:val="41"/>
          <w:rFonts w:ascii="Times New Roman" w:hAnsi="Times New Roman" w:cs="Times New Roman"/>
          <w:kern w:val="44"/>
        </w:rPr>
        <w:t>本规程用词说明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_Toc60173826 \h </w:instrText>
      </w:r>
      <w:r>
        <w:rPr>
          <w:rFonts w:ascii="Times New Roman" w:hAnsi="Times New Roman" w:cs="Times New Roman"/>
        </w:rPr>
        <w:fldChar w:fldCharType="separate"/>
      </w:r>
      <w:r>
        <w:rPr>
          <w:rFonts w:ascii="Times New Roman" w:hAnsi="Times New Roman" w:cs="Times New Roman"/>
        </w:rPr>
        <w:t>80</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"_Toc60173827" </w:instrText>
      </w:r>
      <w:r>
        <w:fldChar w:fldCharType="separate"/>
      </w:r>
      <w:r>
        <w:rPr>
          <w:rStyle w:val="41"/>
          <w:rFonts w:ascii="Times New Roman" w:hAnsi="Times New Roman" w:cs="Times New Roman"/>
          <w:kern w:val="44"/>
        </w:rPr>
        <w:t>引用标准名录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_Toc60173827 \h </w:instrText>
      </w:r>
      <w:r>
        <w:rPr>
          <w:rFonts w:ascii="Times New Roman" w:hAnsi="Times New Roman" w:cs="Times New Roman"/>
        </w:rPr>
        <w:fldChar w:fldCharType="separate"/>
      </w:r>
      <w:r>
        <w:rPr>
          <w:rFonts w:ascii="Times New Roman" w:hAnsi="Times New Roman" w:cs="Times New Roman"/>
        </w:rPr>
        <w:t>81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96"/>
        </w:tabs>
        <w:rPr>
          <w:rFonts w:ascii="Times New Roman" w:hAnsi="Times New Roman" w:cs="Times New Roman" w:eastAsiaTheme="minorEastAsia"/>
          <w:b w:val="0"/>
          <w:bCs w:val="0"/>
          <w:caps w:val="0"/>
          <w:sz w:val="21"/>
          <w:szCs w:val="22"/>
        </w:rPr>
      </w:pPr>
      <w:r>
        <w:fldChar w:fldCharType="begin"/>
      </w:r>
      <w:r>
        <w:instrText xml:space="preserve"> HYPERLINK \l "_Toc60173828" </w:instrText>
      </w:r>
      <w:r>
        <w:fldChar w:fldCharType="separate"/>
      </w:r>
      <w:r>
        <w:rPr>
          <w:rStyle w:val="41"/>
          <w:rFonts w:ascii="Times New Roman" w:hAnsi="Times New Roman" w:cs="Times New Roman"/>
        </w:rPr>
        <w:t>条文说明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_Toc60173828 \h </w:instrText>
      </w:r>
      <w:r>
        <w:rPr>
          <w:rFonts w:ascii="Times New Roman" w:hAnsi="Times New Roman" w:cs="Times New Roman"/>
        </w:rPr>
        <w:fldChar w:fldCharType="separate"/>
      </w:r>
      <w:r>
        <w:rPr>
          <w:rFonts w:ascii="Times New Roman" w:hAnsi="Times New Roman" w:cs="Times New Roman"/>
        </w:rPr>
        <w:t>83</w:t>
      </w:r>
      <w:r>
        <w:rPr>
          <w:rFonts w:ascii="Times New Roman" w:hAnsi="Times New Roman" w:cs="Times New Roman"/>
        </w:rPr>
        <w:fldChar w:fldCharType="end"/>
      </w:r>
      <w:r>
        <w:rPr>
          <w:rFonts w:ascii="Times New Roman" w:hAnsi="Times New Roman" w:cs="Times New Roman"/>
        </w:rPr>
        <w:fldChar w:fldCharType="end"/>
      </w:r>
    </w:p>
    <w:p>
      <w:r>
        <w:rPr>
          <w:szCs w:val="24"/>
        </w:rPr>
        <w:fldChar w:fldCharType="end"/>
      </w:r>
      <w:r>
        <w:br w:type="page"/>
      </w:r>
    </w:p>
    <w:p>
      <w:pPr>
        <w:jc w:val="center"/>
        <w:rPr>
          <w:b/>
          <w:bCs/>
          <w:sz w:val="28"/>
          <w:szCs w:val="28"/>
        </w:rPr>
      </w:pPr>
      <w:r>
        <w:rPr>
          <w:b/>
          <w:bCs/>
          <w:sz w:val="28"/>
          <w:szCs w:val="28"/>
        </w:rPr>
        <w:t>Contents</w:t>
      </w:r>
    </w:p>
    <w:p>
      <w:pPr>
        <w:pStyle w:val="27"/>
        <w:tabs>
          <w:tab w:val="right" w:leader="dot" w:pos="8306"/>
        </w:tabs>
        <w:rPr>
          <w:rFonts w:ascii="Times New Roman" w:hAnsi="Times New Roman" w:cs="Times New Roman"/>
          <w:szCs w:val="24"/>
        </w:rPr>
      </w:pPr>
      <w:r>
        <w:rPr>
          <w:rFonts w:ascii="Times New Roman" w:hAnsi="Times New Roman" w:cs="Times New Roman"/>
          <w:szCs w:val="24"/>
        </w:rPr>
        <w:fldChar w:fldCharType="begin"/>
      </w:r>
      <w:r>
        <w:rPr>
          <w:rFonts w:ascii="Times New Roman" w:hAnsi="Times New Roman" w:cs="Times New Roman"/>
          <w:szCs w:val="24"/>
        </w:rPr>
        <w:instrText xml:space="preserve"> TOC \o "1-2" \h \z \u </w:instrText>
      </w:r>
      <w:r>
        <w:rPr>
          <w:rFonts w:ascii="Times New Roman" w:hAnsi="Times New Roman" w:cs="Times New Roman"/>
          <w:szCs w:val="24"/>
        </w:rPr>
        <w:fldChar w:fldCharType="separate"/>
      </w:r>
      <w:r>
        <w:fldChar w:fldCharType="begin"/>
      </w:r>
      <w:r>
        <w:instrText xml:space="preserve"> HYPERLINK \l "_Toc9811" </w:instrText>
      </w:r>
      <w:r>
        <w:fldChar w:fldCharType="separate"/>
      </w:r>
      <w:r>
        <w:rPr>
          <w:rFonts w:ascii="Times New Roman" w:hAnsi="Times New Roman" w:cs="Times New Roman"/>
          <w:szCs w:val="24"/>
        </w:rPr>
        <w:t xml:space="preserve">1  </w:t>
      </w:r>
      <w:r>
        <w:rPr>
          <w:rFonts w:ascii="Times New Roman" w:hAnsi="Times New Roman" w:cs="Times New Roman"/>
          <w:caps w:val="0"/>
          <w:szCs w:val="24"/>
        </w:rPr>
        <w:t>General provisions</w:t>
      </w:r>
      <w:r>
        <w:rPr>
          <w:rFonts w:ascii="Times New Roman" w:hAnsi="Times New Roman" w:cs="Times New Roman"/>
          <w:szCs w:val="24"/>
        </w:rPr>
        <w:tab/>
      </w:r>
      <w:r>
        <w:rPr>
          <w:rFonts w:ascii="Times New Roman" w:hAnsi="Times New Roman" w:cs="Times New Roman"/>
          <w:szCs w:val="24"/>
        </w:rPr>
        <w:t>1</w:t>
      </w:r>
      <w:r>
        <w:rPr>
          <w:rFonts w:ascii="Times New Roman" w:hAnsi="Times New Roman" w:cs="Times New Roman"/>
          <w:szCs w:val="24"/>
        </w:rPr>
        <w:fldChar w:fldCharType="end"/>
      </w:r>
    </w:p>
    <w:p>
      <w:pPr>
        <w:pStyle w:val="27"/>
        <w:tabs>
          <w:tab w:val="right" w:leader="dot" w:pos="8306"/>
        </w:tabs>
        <w:rPr>
          <w:rFonts w:ascii="Times New Roman" w:hAnsi="Times New Roman" w:cs="Times New Roman"/>
          <w:szCs w:val="24"/>
        </w:rPr>
      </w:pPr>
      <w:r>
        <w:fldChar w:fldCharType="begin"/>
      </w:r>
      <w:r>
        <w:instrText xml:space="preserve"> HYPERLINK \l "_Toc17044" </w:instrText>
      </w:r>
      <w:r>
        <w:fldChar w:fldCharType="separate"/>
      </w:r>
      <w:r>
        <w:rPr>
          <w:rFonts w:ascii="Times New Roman" w:hAnsi="Times New Roman" w:eastAsia="Times New Roman" w:cs="Times New Roman"/>
          <w:kern w:val="44"/>
          <w:szCs w:val="24"/>
        </w:rPr>
        <w:t xml:space="preserve">2  </w:t>
      </w:r>
      <w:r>
        <w:rPr>
          <w:rFonts w:ascii="Times New Roman" w:hAnsi="Times New Roman" w:cs="Times New Roman"/>
          <w:kern w:val="44"/>
          <w:szCs w:val="24"/>
        </w:rPr>
        <w:t>T</w:t>
      </w:r>
      <w:r>
        <w:rPr>
          <w:rFonts w:ascii="Times New Roman" w:hAnsi="Times New Roman" w:cs="Times New Roman"/>
          <w:caps w:val="0"/>
          <w:szCs w:val="24"/>
        </w:rPr>
        <w:t>erms and symbols</w:t>
      </w:r>
      <w:r>
        <w:rPr>
          <w:rFonts w:ascii="Times New Roman" w:hAnsi="Times New Roman" w:cs="Times New Roman"/>
          <w:szCs w:val="24"/>
        </w:rPr>
        <w:tab/>
      </w:r>
      <w:r>
        <w:rPr>
          <w:rFonts w:ascii="Times New Roman" w:hAnsi="Times New Roman" w:cs="Times New Roman"/>
          <w:szCs w:val="24"/>
        </w:rPr>
        <w:t>2</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"_Toc21524" </w:instrText>
      </w:r>
      <w:r>
        <w:fldChar w:fldCharType="separate"/>
      </w:r>
      <w:r>
        <w:rPr>
          <w:rFonts w:ascii="Times New Roman" w:hAnsi="Times New Roman" w:cs="Times New Roman"/>
          <w:szCs w:val="24"/>
        </w:rPr>
        <w:t xml:space="preserve">2.1  </w:t>
      </w:r>
      <w:r>
        <w:rPr>
          <w:rFonts w:ascii="Times New Roman" w:hAnsi="Times New Roman" w:cs="Times New Roman"/>
          <w:caps/>
          <w:smallCaps w:val="0"/>
          <w:kern w:val="44"/>
          <w:szCs w:val="24"/>
        </w:rPr>
        <w:t>T</w:t>
      </w:r>
      <w:r>
        <w:rPr>
          <w:rFonts w:ascii="Times New Roman" w:hAnsi="Times New Roman" w:cs="Times New Roman"/>
          <w:smallCaps w:val="0"/>
          <w:szCs w:val="24"/>
        </w:rPr>
        <w:t>erms</w:t>
      </w:r>
      <w:r>
        <w:rPr>
          <w:rFonts w:ascii="Times New Roman" w:hAnsi="Times New Roman" w:cs="Times New Roman"/>
          <w:szCs w:val="24"/>
        </w:rPr>
        <w:tab/>
      </w:r>
      <w:r>
        <w:rPr>
          <w:rFonts w:ascii="Times New Roman" w:hAnsi="Times New Roman" w:cs="Times New Roman"/>
          <w:szCs w:val="24"/>
        </w:rPr>
        <w:t>2</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"_Toc8507" </w:instrText>
      </w:r>
      <w:r>
        <w:fldChar w:fldCharType="separate"/>
      </w:r>
      <w:r>
        <w:rPr>
          <w:rFonts w:ascii="Times New Roman" w:hAnsi="Times New Roman" w:cs="Times New Roman"/>
          <w:szCs w:val="24"/>
        </w:rPr>
        <w:t xml:space="preserve">2.2  </w:t>
      </w:r>
      <w:r>
        <w:rPr>
          <w:rFonts w:ascii="Times New Roman" w:hAnsi="Times New Roman" w:cs="Times New Roman"/>
          <w:caps/>
          <w:smallCaps w:val="0"/>
          <w:kern w:val="44"/>
          <w:szCs w:val="24"/>
        </w:rPr>
        <w:t>S</w:t>
      </w:r>
      <w:r>
        <w:rPr>
          <w:rFonts w:ascii="Times New Roman" w:hAnsi="Times New Roman" w:cs="Times New Roman"/>
          <w:smallCaps w:val="0"/>
          <w:szCs w:val="24"/>
        </w:rPr>
        <w:t>ymbols</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3</w:t>
      </w:r>
    </w:p>
    <w:p>
      <w:pPr>
        <w:pStyle w:val="27"/>
        <w:tabs>
          <w:tab w:val="right" w:leader="dot" w:pos="8306"/>
        </w:tabs>
        <w:rPr>
          <w:rFonts w:ascii="Times New Roman" w:hAnsi="Times New Roman" w:cs="Times New Roman"/>
          <w:caps w:val="0"/>
          <w:szCs w:val="24"/>
        </w:rPr>
      </w:pPr>
      <w:r>
        <w:fldChar w:fldCharType="begin"/>
      </w:r>
      <w:r>
        <w:instrText xml:space="preserve"> HYPERLINK \l "_Toc22395" </w:instrText>
      </w:r>
      <w:r>
        <w:fldChar w:fldCharType="separate"/>
      </w:r>
      <w:r>
        <w:rPr>
          <w:rFonts w:ascii="Times New Roman" w:hAnsi="Times New Roman" w:cs="Times New Roman"/>
          <w:caps w:val="0"/>
          <w:szCs w:val="24"/>
        </w:rPr>
        <w:t>3  Basic requirements</w:t>
      </w:r>
      <w:r>
        <w:rPr>
          <w:rFonts w:ascii="Times New Roman" w:hAnsi="Times New Roman" w:cs="Times New Roman"/>
          <w:caps w:val="0"/>
          <w:szCs w:val="24"/>
        </w:rPr>
        <w:tab/>
      </w:r>
      <w:r>
        <w:rPr>
          <w:rFonts w:ascii="Times New Roman" w:hAnsi="Times New Roman" w:cs="Times New Roman"/>
          <w:caps w:val="0"/>
          <w:szCs w:val="24"/>
        </w:rPr>
        <w:t>6</w:t>
      </w:r>
      <w:r>
        <w:rPr>
          <w:rFonts w:ascii="Times New Roman" w:hAnsi="Times New Roman" w:cs="Times New Roman"/>
          <w:caps w:val="0"/>
          <w:szCs w:val="24"/>
        </w:rPr>
        <w:fldChar w:fldCharType="end"/>
      </w:r>
    </w:p>
    <w:p>
      <w:pPr>
        <w:pStyle w:val="27"/>
        <w:tabs>
          <w:tab w:val="right" w:leader="dot" w:pos="8306"/>
        </w:tabs>
        <w:rPr>
          <w:rFonts w:ascii="Times New Roman" w:hAnsi="Times New Roman" w:cs="Times New Roman"/>
          <w:szCs w:val="24"/>
        </w:rPr>
      </w:pPr>
      <w:r>
        <w:fldChar w:fldCharType="begin"/>
      </w:r>
      <w:r>
        <w:instrText xml:space="preserve"> HYPERLINK \l "_Toc13196" </w:instrText>
      </w:r>
      <w:r>
        <w:fldChar w:fldCharType="separate"/>
      </w:r>
      <w:r>
        <w:rPr>
          <w:rFonts w:ascii="Times New Roman" w:hAnsi="Times New Roman" w:cs="Times New Roman"/>
          <w:caps w:val="0"/>
          <w:szCs w:val="24"/>
        </w:rPr>
        <w:t>4  Engineering investigation</w:t>
      </w:r>
      <w:r>
        <w:rPr>
          <w:rFonts w:ascii="Times New Roman" w:hAnsi="Times New Roman" w:cs="Times New Roman"/>
          <w:caps w:val="0"/>
          <w:szCs w:val="24"/>
        </w:rPr>
        <w:tab/>
      </w:r>
      <w:r>
        <w:rPr>
          <w:rFonts w:ascii="Times New Roman" w:hAnsi="Times New Roman" w:cs="Times New Roman"/>
          <w:caps w:val="0"/>
          <w:szCs w:val="24"/>
        </w:rPr>
        <w:t>7</w:t>
      </w:r>
      <w:r>
        <w:rPr>
          <w:rFonts w:ascii="Times New Roman" w:hAnsi="Times New Roman" w:cs="Times New Roman"/>
          <w:caps w:val="0"/>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"_Toc23322" </w:instrText>
      </w:r>
      <w:r>
        <w:fldChar w:fldCharType="separate"/>
      </w:r>
      <w:r>
        <w:rPr>
          <w:rFonts w:ascii="Times New Roman" w:hAnsi="Times New Roman" w:cs="Times New Roman"/>
          <w:szCs w:val="24"/>
        </w:rPr>
        <w:t>4.1  G</w:t>
      </w:r>
      <w:r>
        <w:rPr>
          <w:rFonts w:ascii="Times New Roman" w:hAnsi="Times New Roman" w:cs="Times New Roman"/>
          <w:smallCaps w:val="0"/>
          <w:szCs w:val="24"/>
        </w:rPr>
        <w:t>eneral requirements</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7</w:t>
      </w:r>
    </w:p>
    <w:p>
      <w:pPr>
        <w:pStyle w:val="31"/>
        <w:tabs>
          <w:tab w:val="right" w:leader="dot" w:pos="8306"/>
        </w:tabs>
        <w:rPr>
          <w:rFonts w:ascii="Times New Roman" w:hAnsi="Times New Roman" w:cs="Times New Roman"/>
          <w:szCs w:val="24"/>
        </w:rPr>
      </w:pPr>
      <w:r>
        <w:fldChar w:fldCharType="begin"/>
      </w:r>
      <w:r>
        <w:instrText xml:space="preserve"> HYPERLINK \l "_Toc18594" </w:instrText>
      </w:r>
      <w:r>
        <w:fldChar w:fldCharType="separate"/>
      </w:r>
      <w:r>
        <w:rPr>
          <w:rFonts w:ascii="Times New Roman" w:hAnsi="Times New Roman" w:cs="Times New Roman"/>
          <w:szCs w:val="24"/>
        </w:rPr>
        <w:t>4.2  P</w:t>
      </w:r>
      <w:r>
        <w:rPr>
          <w:rFonts w:ascii="Times New Roman" w:hAnsi="Times New Roman" w:cs="Times New Roman"/>
          <w:smallCaps w:val="0"/>
          <w:szCs w:val="24"/>
        </w:rPr>
        <w:t>rospecting hole</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7</w:t>
      </w:r>
    </w:p>
    <w:p>
      <w:pPr>
        <w:pStyle w:val="31"/>
        <w:tabs>
          <w:tab w:val="right" w:leader="dot" w:pos="8306"/>
        </w:tabs>
        <w:rPr>
          <w:rFonts w:ascii="Times New Roman" w:hAnsi="Times New Roman" w:cs="Times New Roman"/>
          <w:szCs w:val="24"/>
        </w:rPr>
      </w:pPr>
      <w:r>
        <w:fldChar w:fldCharType="begin"/>
      </w:r>
      <w:r>
        <w:instrText xml:space="preserve"> HYPERLINK \l "_Toc19746" </w:instrText>
      </w:r>
      <w:r>
        <w:fldChar w:fldCharType="separate"/>
      </w:r>
      <w:r>
        <w:rPr>
          <w:rFonts w:ascii="Times New Roman" w:hAnsi="Times New Roman" w:cs="Times New Roman"/>
          <w:szCs w:val="24"/>
        </w:rPr>
        <w:t>4.3  G</w:t>
      </w:r>
      <w:r>
        <w:rPr>
          <w:rFonts w:ascii="Times New Roman" w:hAnsi="Times New Roman" w:cs="Times New Roman"/>
          <w:smallCaps w:val="0"/>
          <w:szCs w:val="24"/>
        </w:rPr>
        <w:t>roundwater investigation</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8</w:t>
      </w:r>
    </w:p>
    <w:p>
      <w:pPr>
        <w:pStyle w:val="31"/>
        <w:tabs>
          <w:tab w:val="right" w:leader="dot" w:pos="8306"/>
        </w:tabs>
        <w:rPr>
          <w:rFonts w:ascii="Times New Roman" w:hAnsi="Times New Roman" w:cs="Times New Roman"/>
          <w:szCs w:val="24"/>
        </w:rPr>
      </w:pPr>
      <w:r>
        <w:fldChar w:fldCharType="begin"/>
      </w:r>
      <w:r>
        <w:instrText xml:space="preserve"> HYPERLINK \l "_Toc11082" </w:instrText>
      </w:r>
      <w:r>
        <w:fldChar w:fldCharType="separate"/>
      </w:r>
      <w:r>
        <w:rPr>
          <w:rFonts w:ascii="Times New Roman" w:hAnsi="Times New Roman" w:cs="Times New Roman"/>
          <w:szCs w:val="24"/>
        </w:rPr>
        <w:t>4.4  G</w:t>
      </w:r>
      <w:r>
        <w:rPr>
          <w:rFonts w:ascii="Times New Roman" w:hAnsi="Times New Roman" w:cs="Times New Roman"/>
          <w:smallCaps w:val="0"/>
          <w:szCs w:val="24"/>
        </w:rPr>
        <w:t>eological survey report</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9</w:t>
      </w:r>
    </w:p>
    <w:p>
      <w:pPr>
        <w:pStyle w:val="31"/>
        <w:tabs>
          <w:tab w:val="right" w:leader="dot" w:pos="8306"/>
        </w:tabs>
        <w:rPr>
          <w:rFonts w:ascii="Times New Roman" w:hAnsi="Times New Roman" w:cs="Times New Roman"/>
          <w:szCs w:val="24"/>
        </w:rPr>
      </w:pPr>
      <w:r>
        <w:fldChar w:fldCharType="begin"/>
      </w:r>
      <w:r>
        <w:instrText xml:space="preserve"> HYPERLINK \l "_Toc5385" </w:instrText>
      </w:r>
      <w:r>
        <w:fldChar w:fldCharType="separate"/>
      </w:r>
      <w:r>
        <w:rPr>
          <w:rFonts w:ascii="Times New Roman" w:hAnsi="Times New Roman" w:cs="Times New Roman"/>
          <w:szCs w:val="24"/>
        </w:rPr>
        <w:t xml:space="preserve">4.5  </w:t>
      </w:r>
      <w:r>
        <w:rPr>
          <w:rFonts w:ascii="Times New Roman" w:hAnsi="Times New Roman" w:cs="Times New Roman"/>
          <w:smallCaps w:val="0"/>
          <w:szCs w:val="24"/>
        </w:rPr>
        <w:t>Detection of underground pipelines and obstacles</w:t>
      </w:r>
      <w:r>
        <w:rPr>
          <w:rFonts w:ascii="Times New Roman" w:hAnsi="Times New Roman" w:cs="Times New Roman"/>
          <w:szCs w:val="24"/>
        </w:rPr>
        <w:tab/>
      </w:r>
      <w:r>
        <w:rPr>
          <w:rFonts w:ascii="Times New Roman" w:hAnsi="Times New Roman" w:cs="Times New Roman"/>
          <w:szCs w:val="24"/>
        </w:rPr>
        <w:t>1</w:t>
      </w:r>
      <w:r>
        <w:rPr>
          <w:rFonts w:ascii="Times New Roman" w:hAnsi="Times New Roman" w:cs="Times New Roman"/>
          <w:szCs w:val="24"/>
        </w:rPr>
        <w:fldChar w:fldCharType="end"/>
      </w:r>
      <w:r>
        <w:rPr>
          <w:rFonts w:ascii="Times New Roman" w:hAnsi="Times New Roman" w:cs="Times New Roman"/>
          <w:szCs w:val="24"/>
        </w:rPr>
        <w:t>0</w:t>
      </w:r>
    </w:p>
    <w:p>
      <w:pPr>
        <w:pStyle w:val="27"/>
        <w:tabs>
          <w:tab w:val="right" w:leader="dot" w:pos="8306"/>
        </w:tabs>
        <w:rPr>
          <w:rFonts w:ascii="Times New Roman" w:hAnsi="Times New Roman" w:cs="Times New Roman"/>
          <w:szCs w:val="24"/>
        </w:rPr>
      </w:pPr>
      <w:r>
        <w:fldChar w:fldCharType="begin"/>
      </w:r>
      <w:r>
        <w:instrText xml:space="preserve"> HYPERLINK \l "_Toc13719" </w:instrText>
      </w:r>
      <w:r>
        <w:fldChar w:fldCharType="separate"/>
      </w:r>
      <w:r>
        <w:rPr>
          <w:rFonts w:ascii="Times New Roman" w:hAnsi="Times New Roman" w:cs="Times New Roman" w:eastAsiaTheme="minorEastAsia"/>
          <w:szCs w:val="24"/>
        </w:rPr>
        <w:t>5  P</w:t>
      </w:r>
      <w:r>
        <w:rPr>
          <w:rFonts w:ascii="Times New Roman" w:hAnsi="Times New Roman" w:cs="Times New Roman"/>
          <w:caps w:val="0"/>
          <w:szCs w:val="24"/>
        </w:rPr>
        <w:t>ipe jacking design</w:t>
      </w:r>
      <w:r>
        <w:rPr>
          <w:rFonts w:ascii="Times New Roman" w:hAnsi="Times New Roman" w:cs="Times New Roman"/>
          <w:szCs w:val="24"/>
        </w:rPr>
        <w:tab/>
      </w:r>
      <w:r>
        <w:rPr>
          <w:rFonts w:ascii="Times New Roman" w:hAnsi="Times New Roman" w:cs="Times New Roman"/>
          <w:szCs w:val="24"/>
        </w:rPr>
        <w:t>1</w:t>
      </w:r>
      <w:r>
        <w:rPr>
          <w:rFonts w:ascii="Times New Roman" w:hAnsi="Times New Roman" w:cs="Times New Roman"/>
          <w:szCs w:val="24"/>
        </w:rPr>
        <w:fldChar w:fldCharType="end"/>
      </w:r>
      <w:r>
        <w:rPr>
          <w:rFonts w:ascii="Times New Roman" w:hAnsi="Times New Roman" w:cs="Times New Roman"/>
          <w:szCs w:val="24"/>
        </w:rPr>
        <w:t>2</w:t>
      </w:r>
    </w:p>
    <w:p>
      <w:pPr>
        <w:pStyle w:val="31"/>
        <w:tabs>
          <w:tab w:val="right" w:leader="dot" w:pos="8306"/>
        </w:tabs>
        <w:rPr>
          <w:rFonts w:ascii="Times New Roman" w:hAnsi="Times New Roman" w:cs="Times New Roman"/>
          <w:szCs w:val="24"/>
        </w:rPr>
      </w:pPr>
      <w:r>
        <w:fldChar w:fldCharType="begin"/>
      </w:r>
      <w:r>
        <w:instrText xml:space="preserve"> HYPERLINK \l "_Toc15171" </w:instrText>
      </w:r>
      <w:r>
        <w:fldChar w:fldCharType="separate"/>
      </w:r>
      <w:r>
        <w:rPr>
          <w:rFonts w:ascii="Times New Roman" w:hAnsi="Times New Roman" w:cs="Times New Roman"/>
          <w:szCs w:val="24"/>
        </w:rPr>
        <w:t>5.1  G</w:t>
      </w:r>
      <w:r>
        <w:rPr>
          <w:rFonts w:ascii="Times New Roman" w:hAnsi="Times New Roman" w:cs="Times New Roman"/>
          <w:smallCaps w:val="0"/>
          <w:szCs w:val="24"/>
        </w:rPr>
        <w:t>eneral requirements</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12</w:t>
      </w:r>
    </w:p>
    <w:p>
      <w:pPr>
        <w:pStyle w:val="31"/>
        <w:tabs>
          <w:tab w:val="right" w:leader="dot" w:pos="8306"/>
        </w:tabs>
        <w:rPr>
          <w:rFonts w:ascii="Times New Roman" w:hAnsi="Times New Roman" w:cs="Times New Roman"/>
          <w:szCs w:val="24"/>
        </w:rPr>
      </w:pPr>
      <w:r>
        <w:fldChar w:fldCharType="begin"/>
      </w:r>
      <w:r>
        <w:instrText xml:space="preserve"> HYPERLINK \l "_Toc12841" </w:instrText>
      </w:r>
      <w:r>
        <w:fldChar w:fldCharType="separate"/>
      </w:r>
      <w:r>
        <w:rPr>
          <w:rFonts w:ascii="Times New Roman" w:hAnsi="Times New Roman" w:cs="Times New Roman"/>
          <w:szCs w:val="24"/>
        </w:rPr>
        <w:t>5.2  P</w:t>
      </w:r>
      <w:r>
        <w:rPr>
          <w:rFonts w:ascii="Times New Roman" w:hAnsi="Times New Roman" w:cs="Times New Roman"/>
          <w:smallCaps w:val="0"/>
          <w:szCs w:val="24"/>
        </w:rPr>
        <w:t>ipe jacking position design</w:t>
      </w:r>
      <w:r>
        <w:rPr>
          <w:rFonts w:ascii="Times New Roman" w:hAnsi="Times New Roman" w:cs="Times New Roman"/>
          <w:szCs w:val="24"/>
        </w:rPr>
        <w:tab/>
      </w:r>
      <w:r>
        <w:rPr>
          <w:rFonts w:ascii="Times New Roman" w:hAnsi="Times New Roman" w:cs="Times New Roman"/>
          <w:szCs w:val="24"/>
        </w:rPr>
        <w:t>1</w:t>
      </w:r>
      <w:r>
        <w:rPr>
          <w:rFonts w:ascii="Times New Roman" w:hAnsi="Times New Roman" w:cs="Times New Roman"/>
          <w:szCs w:val="24"/>
        </w:rPr>
        <w:fldChar w:fldCharType="end"/>
      </w:r>
      <w:r>
        <w:rPr>
          <w:rFonts w:ascii="Times New Roman" w:hAnsi="Times New Roman" w:cs="Times New Roman"/>
          <w:szCs w:val="24"/>
        </w:rPr>
        <w:t>3</w:t>
      </w:r>
    </w:p>
    <w:p>
      <w:pPr>
        <w:pStyle w:val="31"/>
        <w:tabs>
          <w:tab w:val="right" w:leader="dot" w:pos="8306"/>
        </w:tabs>
        <w:rPr>
          <w:rFonts w:ascii="Times New Roman" w:hAnsi="Times New Roman" w:cs="Times New Roman"/>
          <w:szCs w:val="24"/>
        </w:rPr>
      </w:pPr>
      <w:r>
        <w:fldChar w:fldCharType="begin"/>
      </w:r>
      <w:r>
        <w:instrText xml:space="preserve"> HYPERLINK \l "_Toc15332" </w:instrText>
      </w:r>
      <w:r>
        <w:fldChar w:fldCharType="separate"/>
      </w:r>
      <w:r>
        <w:rPr>
          <w:rFonts w:ascii="Times New Roman" w:hAnsi="Times New Roman" w:cs="Times New Roman"/>
          <w:szCs w:val="24"/>
        </w:rPr>
        <w:t xml:space="preserve">5.3  </w:t>
      </w:r>
      <w:r>
        <w:rPr>
          <w:rFonts w:hint="eastAsia" w:ascii="Times New Roman" w:hAnsi="Times New Roman" w:cs="Times New Roman"/>
          <w:szCs w:val="24"/>
        </w:rPr>
        <w:t>a</w:t>
      </w:r>
      <w:r>
        <w:rPr>
          <w:rFonts w:hint="eastAsia" w:ascii="Times New Roman" w:hAnsi="Times New Roman" w:cs="Times New Roman"/>
          <w:smallCaps w:val="0"/>
          <w:szCs w:val="24"/>
        </w:rPr>
        <w:t>ction</w:t>
      </w:r>
      <w:r>
        <w:rPr>
          <w:rFonts w:ascii="Times New Roman" w:hAnsi="Times New Roman" w:cs="Times New Roman"/>
          <w:szCs w:val="24"/>
        </w:rPr>
        <w:tab/>
      </w:r>
      <w:r>
        <w:rPr>
          <w:rFonts w:ascii="Times New Roman" w:hAnsi="Times New Roman" w:cs="Times New Roman"/>
          <w:szCs w:val="24"/>
        </w:rPr>
        <w:t>1</w:t>
      </w:r>
      <w:r>
        <w:rPr>
          <w:rFonts w:ascii="Times New Roman" w:hAnsi="Times New Roman" w:cs="Times New Roman"/>
          <w:szCs w:val="24"/>
        </w:rPr>
        <w:fldChar w:fldCharType="end"/>
      </w:r>
      <w:r>
        <w:rPr>
          <w:rFonts w:ascii="Times New Roman" w:hAnsi="Times New Roman" w:cs="Times New Roman"/>
          <w:szCs w:val="24"/>
        </w:rPr>
        <w:t>3</w:t>
      </w:r>
    </w:p>
    <w:p>
      <w:pPr>
        <w:pStyle w:val="31"/>
        <w:tabs>
          <w:tab w:val="right" w:leader="dot" w:pos="8306"/>
        </w:tabs>
        <w:rPr>
          <w:rFonts w:ascii="Times New Roman" w:hAnsi="Times New Roman" w:cs="Times New Roman"/>
          <w:szCs w:val="24"/>
        </w:rPr>
      </w:pPr>
      <w:r>
        <w:fldChar w:fldCharType="begin"/>
      </w:r>
      <w:r>
        <w:instrText xml:space="preserve"> HYPERLINK \l "_Toc223" </w:instrText>
      </w:r>
      <w:r>
        <w:fldChar w:fldCharType="separate"/>
      </w:r>
      <w:r>
        <w:rPr>
          <w:rFonts w:ascii="Times New Roman" w:hAnsi="Times New Roman" w:cs="Times New Roman"/>
          <w:szCs w:val="24"/>
        </w:rPr>
        <w:t>5.4  S</w:t>
      </w:r>
      <w:r>
        <w:rPr>
          <w:rFonts w:ascii="Times New Roman" w:hAnsi="Times New Roman" w:cs="Times New Roman"/>
          <w:smallCaps w:val="0"/>
          <w:szCs w:val="24"/>
        </w:rPr>
        <w:t>egment structural design</w:t>
      </w:r>
      <w:r>
        <w:rPr>
          <w:rFonts w:ascii="Times New Roman" w:hAnsi="Times New Roman" w:cs="Times New Roman"/>
          <w:szCs w:val="24"/>
        </w:rPr>
        <w:tab/>
      </w:r>
      <w:r>
        <w:rPr>
          <w:rFonts w:ascii="Times New Roman" w:hAnsi="Times New Roman" w:cs="Times New Roman"/>
          <w:szCs w:val="24"/>
        </w:rPr>
        <w:t>1</w:t>
      </w:r>
      <w:r>
        <w:rPr>
          <w:rFonts w:ascii="Times New Roman" w:hAnsi="Times New Roman" w:cs="Times New Roman"/>
          <w:szCs w:val="24"/>
        </w:rPr>
        <w:fldChar w:fldCharType="end"/>
      </w:r>
      <w:r>
        <w:rPr>
          <w:rFonts w:ascii="Times New Roman" w:hAnsi="Times New Roman" w:cs="Times New Roman"/>
          <w:szCs w:val="24"/>
        </w:rPr>
        <w:t>5</w:t>
      </w:r>
    </w:p>
    <w:p>
      <w:pPr>
        <w:pStyle w:val="31"/>
        <w:tabs>
          <w:tab w:val="right" w:leader="dot" w:pos="8306"/>
        </w:tabs>
        <w:rPr>
          <w:rFonts w:ascii="Times New Roman" w:hAnsi="Times New Roman" w:cs="Times New Roman"/>
          <w:szCs w:val="24"/>
        </w:rPr>
      </w:pPr>
      <w:r>
        <w:fldChar w:fldCharType="begin"/>
      </w:r>
      <w:r>
        <w:instrText xml:space="preserve"> HYPERLINK \l "_Toc17182" </w:instrText>
      </w:r>
      <w:r>
        <w:fldChar w:fldCharType="separate"/>
      </w:r>
      <w:r>
        <w:rPr>
          <w:rFonts w:ascii="Times New Roman" w:hAnsi="Times New Roman" w:cs="Times New Roman"/>
          <w:szCs w:val="24"/>
        </w:rPr>
        <w:t>5.5  S</w:t>
      </w:r>
      <w:r>
        <w:rPr>
          <w:rFonts w:ascii="Times New Roman" w:hAnsi="Times New Roman" w:cs="Times New Roman"/>
          <w:smallCaps w:val="0"/>
          <w:szCs w:val="24"/>
        </w:rPr>
        <w:t>egment construction design</w:t>
      </w:r>
      <w:r>
        <w:rPr>
          <w:rFonts w:ascii="Times New Roman" w:hAnsi="Times New Roman" w:cs="Times New Roman"/>
          <w:szCs w:val="24"/>
        </w:rPr>
        <w:tab/>
      </w:r>
      <w:r>
        <w:rPr>
          <w:rFonts w:ascii="Times New Roman" w:hAnsi="Times New Roman" w:cs="Times New Roman"/>
          <w:szCs w:val="24"/>
        </w:rPr>
        <w:t>17</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"_Toc19203" </w:instrText>
      </w:r>
      <w:r>
        <w:fldChar w:fldCharType="separate"/>
      </w:r>
      <w:r>
        <w:rPr>
          <w:rFonts w:ascii="Times New Roman" w:hAnsi="Times New Roman" w:cs="Times New Roman"/>
          <w:szCs w:val="24"/>
        </w:rPr>
        <w:t>5.6  C</w:t>
      </w:r>
      <w:r>
        <w:rPr>
          <w:rFonts w:ascii="Times New Roman" w:hAnsi="Times New Roman" w:cs="Times New Roman"/>
          <w:smallCaps w:val="0"/>
          <w:szCs w:val="24"/>
        </w:rPr>
        <w:t xml:space="preserve">alculation of total jacking force </w:t>
      </w:r>
      <w:r>
        <w:rPr>
          <w:rFonts w:hint="eastAsia" w:ascii="Times New Roman" w:hAnsi="Times New Roman" w:cs="Times New Roman"/>
          <w:smallCaps w:val="0"/>
          <w:szCs w:val="24"/>
        </w:rPr>
        <w:t>and</w:t>
      </w:r>
      <w:r>
        <w:rPr>
          <w:rFonts w:ascii="Times New Roman" w:hAnsi="Times New Roman" w:cs="Times New Roman"/>
          <w:smallCaps w:val="0"/>
          <w:szCs w:val="24"/>
        </w:rPr>
        <w:t xml:space="preserve"> intermediate jacking station design-rule</w:t>
      </w:r>
      <w:r>
        <w:rPr>
          <w:rFonts w:ascii="Times New Roman" w:hAnsi="Times New Roman" w:cs="Times New Roman"/>
          <w:szCs w:val="24"/>
        </w:rPr>
        <w:tab/>
      </w:r>
      <w:r>
        <w:rPr>
          <w:rFonts w:ascii="Times New Roman" w:hAnsi="Times New Roman" w:cs="Times New Roman"/>
          <w:szCs w:val="24"/>
        </w:rPr>
        <w:t>18</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"_Toc8260" </w:instrText>
      </w:r>
      <w:r>
        <w:fldChar w:fldCharType="separate"/>
      </w:r>
      <w:r>
        <w:rPr>
          <w:rFonts w:ascii="Times New Roman" w:hAnsi="Times New Roman" w:cs="Times New Roman"/>
          <w:szCs w:val="24"/>
        </w:rPr>
        <w:t>5.7  W</w:t>
      </w:r>
      <w:r>
        <w:rPr>
          <w:rFonts w:ascii="Times New Roman" w:hAnsi="Times New Roman" w:cs="Times New Roman"/>
          <w:smallCaps w:val="0"/>
          <w:szCs w:val="24"/>
        </w:rPr>
        <w:t>orking shaft design</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20</w:t>
      </w:r>
    </w:p>
    <w:p>
      <w:pPr>
        <w:pStyle w:val="27"/>
        <w:tabs>
          <w:tab w:val="right" w:leader="dot" w:pos="8306"/>
        </w:tabs>
        <w:rPr>
          <w:rFonts w:ascii="Times New Roman" w:hAnsi="Times New Roman" w:cs="Times New Roman"/>
          <w:szCs w:val="24"/>
        </w:rPr>
      </w:pPr>
      <w:r>
        <w:fldChar w:fldCharType="begin"/>
      </w:r>
      <w:r>
        <w:instrText xml:space="preserve"> HYPERLINK \l "_Toc32102" </w:instrText>
      </w:r>
      <w:r>
        <w:fldChar w:fldCharType="separate"/>
      </w:r>
      <w:r>
        <w:rPr>
          <w:rFonts w:ascii="Times New Roman" w:hAnsi="Times New Roman" w:cs="Times New Roman" w:eastAsiaTheme="minorEastAsia"/>
          <w:szCs w:val="24"/>
        </w:rPr>
        <w:t>6  S</w:t>
      </w:r>
      <w:r>
        <w:rPr>
          <w:rFonts w:ascii="Times New Roman" w:hAnsi="Times New Roman" w:cs="Times New Roman"/>
          <w:caps w:val="0"/>
          <w:szCs w:val="24"/>
        </w:rPr>
        <w:t>egmental making</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25</w:t>
      </w:r>
    </w:p>
    <w:p>
      <w:pPr>
        <w:pStyle w:val="31"/>
        <w:tabs>
          <w:tab w:val="right" w:leader="dot" w:pos="8306"/>
        </w:tabs>
        <w:rPr>
          <w:rFonts w:ascii="Times New Roman" w:hAnsi="Times New Roman" w:cs="Times New Roman"/>
          <w:szCs w:val="24"/>
        </w:rPr>
      </w:pPr>
      <w:r>
        <w:fldChar w:fldCharType="begin"/>
      </w:r>
      <w:r>
        <w:instrText xml:space="preserve"> HYPERLINK \l "_Toc15253" </w:instrText>
      </w:r>
      <w:r>
        <w:fldChar w:fldCharType="separate"/>
      </w:r>
      <w:r>
        <w:rPr>
          <w:rFonts w:ascii="Times New Roman" w:hAnsi="Times New Roman" w:cs="Times New Roman"/>
          <w:szCs w:val="24"/>
        </w:rPr>
        <w:t>6.1  G</w:t>
      </w:r>
      <w:r>
        <w:rPr>
          <w:rFonts w:ascii="Times New Roman" w:hAnsi="Times New Roman" w:cs="Times New Roman"/>
          <w:smallCaps w:val="0"/>
          <w:szCs w:val="24"/>
        </w:rPr>
        <w:t>eneral requirements</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25</w:t>
      </w:r>
    </w:p>
    <w:p>
      <w:pPr>
        <w:pStyle w:val="31"/>
        <w:tabs>
          <w:tab w:val="right" w:leader="dot" w:pos="8306"/>
        </w:tabs>
        <w:rPr>
          <w:rFonts w:ascii="Times New Roman" w:hAnsi="Times New Roman" w:cs="Times New Roman"/>
          <w:szCs w:val="24"/>
        </w:rPr>
      </w:pPr>
      <w:r>
        <w:fldChar w:fldCharType="begin"/>
      </w:r>
      <w:r>
        <w:instrText xml:space="preserve"> HYPERLINK \l "_Toc21443" </w:instrText>
      </w:r>
      <w:r>
        <w:fldChar w:fldCharType="separate"/>
      </w:r>
      <w:r>
        <w:rPr>
          <w:rFonts w:ascii="Times New Roman" w:hAnsi="Times New Roman" w:cs="Times New Roman"/>
          <w:szCs w:val="24"/>
        </w:rPr>
        <w:t xml:space="preserve">6.2  </w:t>
      </w:r>
      <w:r>
        <w:rPr>
          <w:rFonts w:ascii="Times New Roman" w:hAnsi="Times New Roman" w:cs="Times New Roman"/>
          <w:smallCaps w:val="0"/>
          <w:szCs w:val="24"/>
        </w:rPr>
        <w:t>Material performance</w:t>
      </w:r>
      <w:r>
        <w:rPr>
          <w:rFonts w:ascii="Times New Roman" w:hAnsi="Times New Roman" w:cs="Times New Roman"/>
          <w:szCs w:val="24"/>
        </w:rPr>
        <w:tab/>
      </w:r>
      <w:r>
        <w:rPr>
          <w:rFonts w:ascii="Times New Roman" w:hAnsi="Times New Roman" w:cs="Times New Roman"/>
          <w:szCs w:val="24"/>
        </w:rPr>
        <w:t>25</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"_Toc12793" </w:instrText>
      </w:r>
      <w:r>
        <w:fldChar w:fldCharType="separate"/>
      </w:r>
      <w:r>
        <w:rPr>
          <w:rFonts w:ascii="Times New Roman" w:hAnsi="Times New Roman" w:cs="Times New Roman"/>
          <w:szCs w:val="24"/>
        </w:rPr>
        <w:t xml:space="preserve">6.3  </w:t>
      </w:r>
      <w:r>
        <w:rPr>
          <w:rFonts w:ascii="Times New Roman" w:hAnsi="Times New Roman" w:cs="Times New Roman"/>
          <w:smallCaps w:val="0"/>
          <w:szCs w:val="24"/>
        </w:rPr>
        <w:t>Joint structure</w:t>
      </w:r>
      <w:r>
        <w:rPr>
          <w:rFonts w:ascii="Times New Roman" w:hAnsi="Times New Roman" w:cs="Times New Roman"/>
          <w:szCs w:val="24"/>
        </w:rPr>
        <w:tab/>
      </w:r>
      <w:r>
        <w:rPr>
          <w:rFonts w:ascii="Times New Roman" w:hAnsi="Times New Roman" w:cs="Times New Roman"/>
          <w:szCs w:val="24"/>
        </w:rPr>
        <w:t>28</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"_Toc1610" </w:instrText>
      </w:r>
      <w:r>
        <w:fldChar w:fldCharType="separate"/>
      </w:r>
      <w:r>
        <w:rPr>
          <w:rFonts w:ascii="Times New Roman" w:hAnsi="Times New Roman" w:cs="Times New Roman"/>
          <w:szCs w:val="24"/>
        </w:rPr>
        <w:t>6.4  S</w:t>
      </w:r>
      <w:r>
        <w:rPr>
          <w:rFonts w:ascii="Times New Roman" w:hAnsi="Times New Roman" w:cs="Times New Roman"/>
          <w:smallCaps w:val="0"/>
          <w:szCs w:val="24"/>
        </w:rPr>
        <w:t>egment anticorrosion</w:t>
      </w:r>
      <w:r>
        <w:rPr>
          <w:rFonts w:ascii="Times New Roman" w:hAnsi="Times New Roman" w:cs="Times New Roman"/>
          <w:szCs w:val="24"/>
        </w:rPr>
        <w:tab/>
      </w:r>
      <w:r>
        <w:rPr>
          <w:rFonts w:hint="eastAsia" w:ascii="Times New Roman" w:hAnsi="Times New Roman" w:cs="Times New Roman"/>
          <w:szCs w:val="24"/>
        </w:rPr>
        <w:t>3</w:t>
      </w:r>
      <w:r>
        <w:rPr>
          <w:rFonts w:hint="eastAsia" w:ascii="Times New Roman" w:hAnsi="Times New Roman" w:cs="Times New Roman"/>
          <w:szCs w:val="24"/>
        </w:rPr>
        <w:fldChar w:fldCharType="end"/>
      </w:r>
      <w:r>
        <w:rPr>
          <w:rFonts w:ascii="Times New Roman" w:hAnsi="Times New Roman" w:cs="Times New Roman"/>
          <w:szCs w:val="24"/>
        </w:rPr>
        <w:t>3</w:t>
      </w:r>
    </w:p>
    <w:p>
      <w:pPr>
        <w:pStyle w:val="31"/>
        <w:tabs>
          <w:tab w:val="right" w:leader="dot" w:pos="8306"/>
        </w:tabs>
        <w:rPr>
          <w:rFonts w:ascii="Times New Roman" w:hAnsi="Times New Roman" w:cs="Times New Roman"/>
          <w:szCs w:val="24"/>
        </w:rPr>
      </w:pPr>
      <w:r>
        <w:fldChar w:fldCharType="begin"/>
      </w:r>
      <w:r>
        <w:instrText xml:space="preserve"> HYPERLINK \l "_Toc21231" </w:instrText>
      </w:r>
      <w:r>
        <w:fldChar w:fldCharType="separate"/>
      </w:r>
      <w:r>
        <w:rPr>
          <w:rFonts w:ascii="Times New Roman" w:hAnsi="Times New Roman" w:cs="Times New Roman"/>
          <w:szCs w:val="24"/>
        </w:rPr>
        <w:t>6.5  S</w:t>
      </w:r>
      <w:r>
        <w:rPr>
          <w:rFonts w:ascii="Times New Roman" w:hAnsi="Times New Roman" w:cs="Times New Roman"/>
          <w:smallCaps w:val="0"/>
          <w:szCs w:val="24"/>
        </w:rPr>
        <w:t>egmental precasting</w:t>
      </w:r>
      <w:r>
        <w:rPr>
          <w:rFonts w:ascii="Times New Roman" w:hAnsi="Times New Roman" w:cs="Times New Roman"/>
          <w:szCs w:val="24"/>
        </w:rPr>
        <w:tab/>
      </w:r>
      <w:r>
        <w:rPr>
          <w:rFonts w:ascii="Times New Roman" w:hAnsi="Times New Roman" w:cs="Times New Roman"/>
          <w:szCs w:val="24"/>
        </w:rPr>
        <w:fldChar w:fldCharType="end"/>
      </w:r>
      <w:r>
        <w:rPr>
          <w:rFonts w:hint="eastAsia" w:ascii="Times New Roman" w:hAnsi="Times New Roman" w:cs="Times New Roman"/>
          <w:szCs w:val="24"/>
        </w:rPr>
        <w:t>3</w:t>
      </w:r>
      <w:r>
        <w:rPr>
          <w:rFonts w:ascii="Times New Roman" w:hAnsi="Times New Roman" w:cs="Times New Roman"/>
          <w:szCs w:val="24"/>
        </w:rPr>
        <w:t>4</w:t>
      </w:r>
    </w:p>
    <w:p>
      <w:pPr>
        <w:pStyle w:val="31"/>
        <w:tabs>
          <w:tab w:val="right" w:leader="dot" w:pos="8306"/>
        </w:tabs>
        <w:rPr>
          <w:rFonts w:ascii="Times New Roman" w:hAnsi="Times New Roman" w:cs="Times New Roman"/>
          <w:szCs w:val="24"/>
        </w:rPr>
      </w:pPr>
      <w:r>
        <w:fldChar w:fldCharType="begin"/>
      </w:r>
      <w:r>
        <w:instrText xml:space="preserve"> HYPERLINK \l "_Toc3305" </w:instrText>
      </w:r>
      <w:r>
        <w:fldChar w:fldCharType="separate"/>
      </w:r>
      <w:r>
        <w:rPr>
          <w:rFonts w:ascii="Times New Roman" w:hAnsi="Times New Roman" w:cs="Times New Roman"/>
          <w:szCs w:val="24"/>
        </w:rPr>
        <w:t>6.6  S</w:t>
      </w:r>
      <w:r>
        <w:rPr>
          <w:rFonts w:ascii="Times New Roman" w:hAnsi="Times New Roman" w:cs="Times New Roman"/>
          <w:smallCaps w:val="0"/>
          <w:szCs w:val="24"/>
        </w:rPr>
        <w:t>egment</w:t>
      </w:r>
      <w:r>
        <w:rPr>
          <w:rFonts w:ascii="Times New Roman" w:hAnsi="Times New Roman" w:cs="Times New Roman"/>
          <w:szCs w:val="24"/>
        </w:rPr>
        <w:t xml:space="preserve"> </w:t>
      </w:r>
      <w:r>
        <w:rPr>
          <w:rFonts w:ascii="Times New Roman" w:hAnsi="Times New Roman" w:cs="Times New Roman"/>
          <w:smallCaps w:val="0"/>
          <w:szCs w:val="24"/>
        </w:rPr>
        <w:t>identification、stacking、hoisting and transportation</w:t>
      </w:r>
      <w:r>
        <w:rPr>
          <w:rFonts w:ascii="Times New Roman" w:hAnsi="Times New Roman" w:cs="Times New Roman"/>
          <w:szCs w:val="24"/>
        </w:rPr>
        <w:tab/>
      </w:r>
      <w:r>
        <w:rPr>
          <w:rFonts w:ascii="Times New Roman" w:hAnsi="Times New Roman" w:cs="Times New Roman"/>
          <w:szCs w:val="24"/>
        </w:rPr>
        <w:t>35</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"_Toc18733" </w:instrText>
      </w:r>
      <w:r>
        <w:fldChar w:fldCharType="separate"/>
      </w:r>
      <w:r>
        <w:rPr>
          <w:rFonts w:ascii="Times New Roman" w:hAnsi="Times New Roman" w:cs="Times New Roman"/>
          <w:szCs w:val="24"/>
        </w:rPr>
        <w:t>6.7  Q</w:t>
      </w:r>
      <w:r>
        <w:rPr>
          <w:rFonts w:ascii="Times New Roman" w:hAnsi="Times New Roman" w:cs="Times New Roman"/>
          <w:smallCaps w:val="0"/>
          <w:szCs w:val="24"/>
        </w:rPr>
        <w:t>uality control of segment</w:t>
      </w:r>
      <w:r>
        <w:rPr>
          <w:rFonts w:ascii="Times New Roman" w:hAnsi="Times New Roman" w:cs="Times New Roman"/>
          <w:szCs w:val="24"/>
        </w:rPr>
        <w:tab/>
      </w:r>
      <w:r>
        <w:rPr>
          <w:rFonts w:ascii="Times New Roman" w:hAnsi="Times New Roman" w:cs="Times New Roman"/>
          <w:szCs w:val="24"/>
        </w:rPr>
        <w:t>36</w:t>
      </w:r>
      <w:r>
        <w:rPr>
          <w:rFonts w:ascii="Times New Roman" w:hAnsi="Times New Roman" w:cs="Times New Roman"/>
          <w:szCs w:val="24"/>
        </w:rPr>
        <w:fldChar w:fldCharType="end"/>
      </w:r>
    </w:p>
    <w:p>
      <w:pPr>
        <w:pStyle w:val="27"/>
        <w:tabs>
          <w:tab w:val="right" w:leader="dot" w:pos="8306"/>
        </w:tabs>
        <w:rPr>
          <w:rFonts w:ascii="Times New Roman" w:hAnsi="Times New Roman" w:cs="Times New Roman"/>
          <w:szCs w:val="24"/>
        </w:rPr>
      </w:pPr>
      <w:r>
        <w:fldChar w:fldCharType="begin"/>
      </w:r>
      <w:r>
        <w:instrText xml:space="preserve"> HYPERLINK \l "_Toc14330" </w:instrText>
      </w:r>
      <w:r>
        <w:fldChar w:fldCharType="separate"/>
      </w:r>
      <w:r>
        <w:rPr>
          <w:rFonts w:ascii="Times New Roman" w:hAnsi="Times New Roman" w:cs="Times New Roman" w:eastAsiaTheme="minorEastAsia"/>
          <w:szCs w:val="24"/>
        </w:rPr>
        <w:t>7  W</w:t>
      </w:r>
      <w:r>
        <w:rPr>
          <w:rFonts w:ascii="Times New Roman" w:hAnsi="Times New Roman" w:cs="Times New Roman"/>
          <w:caps w:val="0"/>
          <w:szCs w:val="24"/>
        </w:rPr>
        <w:t>orking shaft construction</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40</w:t>
      </w:r>
    </w:p>
    <w:p>
      <w:pPr>
        <w:pStyle w:val="31"/>
        <w:tabs>
          <w:tab w:val="right" w:leader="dot" w:pos="8306"/>
        </w:tabs>
        <w:rPr>
          <w:rFonts w:ascii="Times New Roman" w:hAnsi="Times New Roman" w:cs="Times New Roman"/>
          <w:szCs w:val="24"/>
        </w:rPr>
      </w:pPr>
      <w:r>
        <w:fldChar w:fldCharType="begin"/>
      </w:r>
      <w:r>
        <w:instrText xml:space="preserve"> HYPERLINK \l "_Toc6715" </w:instrText>
      </w:r>
      <w:r>
        <w:fldChar w:fldCharType="separate"/>
      </w:r>
      <w:r>
        <w:rPr>
          <w:rFonts w:ascii="Times New Roman" w:hAnsi="Times New Roman" w:cs="Times New Roman"/>
          <w:szCs w:val="24"/>
        </w:rPr>
        <w:t>7.1  G</w:t>
      </w:r>
      <w:r>
        <w:rPr>
          <w:rFonts w:ascii="Times New Roman" w:hAnsi="Times New Roman" w:cs="Times New Roman"/>
          <w:smallCaps w:val="0"/>
          <w:szCs w:val="24"/>
        </w:rPr>
        <w:t>eneral requirements</w:t>
      </w:r>
      <w:r>
        <w:rPr>
          <w:rFonts w:ascii="Times New Roman" w:hAnsi="Times New Roman" w:cs="Times New Roman"/>
          <w:szCs w:val="24"/>
        </w:rPr>
        <w:tab/>
      </w:r>
      <w:r>
        <w:rPr>
          <w:rFonts w:ascii="Times New Roman" w:hAnsi="Times New Roman" w:cs="Times New Roman"/>
          <w:szCs w:val="24"/>
        </w:rPr>
        <w:t>4</w:t>
      </w:r>
      <w:r>
        <w:rPr>
          <w:rFonts w:ascii="Times New Roman" w:hAnsi="Times New Roman" w:cs="Times New Roman"/>
          <w:szCs w:val="24"/>
        </w:rPr>
        <w:fldChar w:fldCharType="end"/>
      </w:r>
      <w:r>
        <w:rPr>
          <w:rFonts w:ascii="Times New Roman" w:hAnsi="Times New Roman" w:cs="Times New Roman"/>
          <w:szCs w:val="24"/>
        </w:rPr>
        <w:t>0</w:t>
      </w:r>
    </w:p>
    <w:p>
      <w:pPr>
        <w:pStyle w:val="31"/>
        <w:tabs>
          <w:tab w:val="right" w:leader="dot" w:pos="8306"/>
        </w:tabs>
        <w:rPr>
          <w:rFonts w:ascii="Times New Roman" w:hAnsi="Times New Roman" w:cs="Times New Roman"/>
          <w:szCs w:val="24"/>
        </w:rPr>
      </w:pPr>
      <w:r>
        <w:fldChar w:fldCharType="begin"/>
      </w:r>
      <w:r>
        <w:instrText xml:space="preserve"> HYPERLINK \l "_Toc15873" </w:instrText>
      </w:r>
      <w:r>
        <w:fldChar w:fldCharType="separate"/>
      </w:r>
      <w:r>
        <w:rPr>
          <w:rFonts w:ascii="Times New Roman" w:hAnsi="Times New Roman" w:cs="Times New Roman"/>
          <w:szCs w:val="24"/>
        </w:rPr>
        <w:t>7.2  S</w:t>
      </w:r>
      <w:r>
        <w:rPr>
          <w:rFonts w:ascii="Times New Roman" w:hAnsi="Times New Roman" w:cs="Times New Roman"/>
          <w:smallCaps w:val="0"/>
          <w:szCs w:val="24"/>
        </w:rPr>
        <w:t>oil reinforcement</w:t>
      </w:r>
      <w:r>
        <w:rPr>
          <w:rFonts w:ascii="Times New Roman" w:hAnsi="Times New Roman" w:cs="Times New Roman"/>
          <w:szCs w:val="24"/>
        </w:rPr>
        <w:tab/>
      </w:r>
      <w:r>
        <w:rPr>
          <w:rFonts w:ascii="Times New Roman" w:hAnsi="Times New Roman" w:cs="Times New Roman"/>
          <w:szCs w:val="24"/>
        </w:rPr>
        <w:fldChar w:fldCharType="end"/>
      </w:r>
      <w:r>
        <w:rPr>
          <w:rFonts w:ascii="Times New Roman" w:hAnsi="Times New Roman" w:cs="Times New Roman"/>
          <w:szCs w:val="24"/>
        </w:rPr>
        <w:t>40</w:t>
      </w:r>
    </w:p>
    <w:p>
      <w:pPr>
        <w:pStyle w:val="31"/>
        <w:tabs>
          <w:tab w:val="right" w:leader="dot" w:pos="8306"/>
        </w:tabs>
        <w:rPr>
          <w:rFonts w:ascii="Times New Roman" w:hAnsi="Times New Roman" w:cs="Times New Roman"/>
          <w:szCs w:val="24"/>
        </w:rPr>
      </w:pPr>
      <w:r>
        <w:fldChar w:fldCharType="begin"/>
      </w:r>
      <w:r>
        <w:instrText xml:space="preserve"> HYPERLINK \l "_Toc18172" </w:instrText>
      </w:r>
      <w:r>
        <w:fldChar w:fldCharType="separate"/>
      </w:r>
      <w:r>
        <w:rPr>
          <w:rFonts w:ascii="Times New Roman" w:hAnsi="Times New Roman" w:cs="Times New Roman"/>
          <w:szCs w:val="24"/>
        </w:rPr>
        <w:t>7.3  Q</w:t>
      </w:r>
      <w:r>
        <w:rPr>
          <w:rFonts w:ascii="Times New Roman" w:hAnsi="Times New Roman" w:cs="Times New Roman"/>
          <w:smallCaps w:val="0"/>
          <w:szCs w:val="24"/>
        </w:rPr>
        <w:t>uality control of working shaft</w:t>
      </w:r>
      <w:r>
        <w:rPr>
          <w:rFonts w:ascii="Times New Roman" w:hAnsi="Times New Roman" w:cs="Times New Roman"/>
          <w:szCs w:val="24"/>
        </w:rPr>
        <w:tab/>
      </w:r>
      <w:r>
        <w:rPr>
          <w:rFonts w:ascii="Times New Roman" w:hAnsi="Times New Roman" w:cs="Times New Roman"/>
          <w:szCs w:val="24"/>
        </w:rPr>
        <w:t>4</w:t>
      </w:r>
      <w:r>
        <w:rPr>
          <w:rFonts w:ascii="Times New Roman" w:hAnsi="Times New Roman" w:cs="Times New Roman"/>
          <w:szCs w:val="24"/>
        </w:rPr>
        <w:fldChar w:fldCharType="end"/>
      </w:r>
      <w:r>
        <w:rPr>
          <w:rFonts w:ascii="Times New Roman" w:hAnsi="Times New Roman" w:cs="Times New Roman"/>
          <w:szCs w:val="24"/>
        </w:rPr>
        <w:t>1</w:t>
      </w:r>
    </w:p>
    <w:p>
      <w:pPr>
        <w:pStyle w:val="27"/>
        <w:tabs>
          <w:tab w:val="right" w:leader="dot" w:pos="8306"/>
        </w:tabs>
        <w:rPr>
          <w:rFonts w:ascii="Times New Roman" w:hAnsi="Times New Roman" w:cs="Times New Roman"/>
          <w:szCs w:val="24"/>
        </w:rPr>
      </w:pPr>
      <w:r>
        <w:fldChar w:fldCharType="begin"/>
      </w:r>
      <w:r>
        <w:instrText xml:space="preserve"> HYPERLINK \l "_Toc1339" </w:instrText>
      </w:r>
      <w:r>
        <w:fldChar w:fldCharType="separate"/>
      </w:r>
      <w:r>
        <w:rPr>
          <w:rFonts w:ascii="Times New Roman" w:hAnsi="Times New Roman" w:cs="Times New Roman"/>
          <w:szCs w:val="24"/>
        </w:rPr>
        <w:t>8  P</w:t>
      </w:r>
      <w:r>
        <w:rPr>
          <w:rFonts w:ascii="Times New Roman" w:hAnsi="Times New Roman" w:cs="Times New Roman"/>
          <w:caps w:val="0"/>
          <w:szCs w:val="24"/>
        </w:rPr>
        <w:t>ipe jacking equipment and installation</w:t>
      </w:r>
      <w:r>
        <w:rPr>
          <w:rFonts w:ascii="Times New Roman" w:hAnsi="Times New Roman" w:cs="Times New Roman"/>
          <w:szCs w:val="24"/>
        </w:rPr>
        <w:tab/>
      </w:r>
      <w:r>
        <w:rPr>
          <w:rFonts w:hint="eastAsia" w:ascii="Times New Roman" w:hAnsi="Times New Roman" w:cs="Times New Roman"/>
          <w:szCs w:val="24"/>
        </w:rPr>
        <w:t>4</w:t>
      </w:r>
      <w:r>
        <w:rPr>
          <w:rFonts w:hint="eastAsia" w:ascii="Times New Roman" w:hAnsi="Times New Roman" w:cs="Times New Roman"/>
          <w:szCs w:val="24"/>
        </w:rPr>
        <w:fldChar w:fldCharType="end"/>
      </w:r>
      <w:r>
        <w:rPr>
          <w:rFonts w:ascii="Times New Roman" w:hAnsi="Times New Roman" w:cs="Times New Roman"/>
          <w:szCs w:val="24"/>
        </w:rPr>
        <w:t>4</w:t>
      </w:r>
    </w:p>
    <w:p>
      <w:pPr>
        <w:pStyle w:val="31"/>
        <w:tabs>
          <w:tab w:val="right" w:leader="dot" w:pos="8306"/>
        </w:tabs>
        <w:rPr>
          <w:rFonts w:ascii="Times New Roman" w:hAnsi="Times New Roman" w:cs="Times New Roman"/>
          <w:szCs w:val="24"/>
        </w:rPr>
      </w:pPr>
      <w:r>
        <w:fldChar w:fldCharType="begin"/>
      </w:r>
      <w:r>
        <w:instrText xml:space="preserve"> HYPERLINK \l "_Toc12445" </w:instrText>
      </w:r>
      <w:r>
        <w:fldChar w:fldCharType="separate"/>
      </w:r>
      <w:r>
        <w:rPr>
          <w:rFonts w:ascii="Times New Roman" w:hAnsi="Times New Roman" w:cs="Times New Roman"/>
          <w:szCs w:val="24"/>
        </w:rPr>
        <w:t>8.1  G</w:t>
      </w:r>
      <w:r>
        <w:rPr>
          <w:rFonts w:ascii="Times New Roman" w:hAnsi="Times New Roman" w:cs="Times New Roman"/>
          <w:smallCaps w:val="0"/>
          <w:szCs w:val="24"/>
        </w:rPr>
        <w:t>eneral requirements</w:t>
      </w:r>
      <w:r>
        <w:rPr>
          <w:rFonts w:ascii="Times New Roman" w:hAnsi="Times New Roman" w:cs="Times New Roman"/>
          <w:szCs w:val="24"/>
        </w:rPr>
        <w:tab/>
      </w:r>
      <w:r>
        <w:rPr>
          <w:rFonts w:ascii="Times New Roman" w:hAnsi="Times New Roman" w:cs="Times New Roman"/>
          <w:szCs w:val="24"/>
        </w:rPr>
        <w:fldChar w:fldCharType="end"/>
      </w:r>
      <w:r>
        <w:rPr>
          <w:rFonts w:hint="eastAsia" w:ascii="Times New Roman" w:hAnsi="Times New Roman" w:cs="Times New Roman"/>
          <w:szCs w:val="24"/>
        </w:rPr>
        <w:t>4</w:t>
      </w:r>
      <w:r>
        <w:rPr>
          <w:rFonts w:ascii="Times New Roman" w:hAnsi="Times New Roman" w:cs="Times New Roman"/>
          <w:szCs w:val="24"/>
        </w:rPr>
        <w:t>4</w:t>
      </w:r>
    </w:p>
    <w:p>
      <w:pPr>
        <w:pStyle w:val="31"/>
        <w:tabs>
          <w:tab w:val="right" w:leader="dot" w:pos="8306"/>
        </w:tabs>
        <w:rPr>
          <w:rFonts w:ascii="Times New Roman" w:hAnsi="Times New Roman" w:cs="Times New Roman"/>
          <w:szCs w:val="24"/>
        </w:rPr>
      </w:pPr>
      <w:r>
        <w:fldChar w:fldCharType="begin"/>
      </w:r>
      <w:r>
        <w:instrText xml:space="preserve"> HYPERLINK \l "_Toc26380" </w:instrText>
      </w:r>
      <w:r>
        <w:fldChar w:fldCharType="separate"/>
      </w:r>
      <w:r>
        <w:rPr>
          <w:rFonts w:ascii="Times New Roman" w:hAnsi="Times New Roman" w:cs="Times New Roman"/>
          <w:szCs w:val="24"/>
        </w:rPr>
        <w:t>8.2  D</w:t>
      </w:r>
      <w:r>
        <w:rPr>
          <w:rFonts w:ascii="Times New Roman" w:hAnsi="Times New Roman" w:cs="Times New Roman"/>
          <w:smallCaps w:val="0"/>
          <w:szCs w:val="24"/>
        </w:rPr>
        <w:t>esign and selection of rectangular pipe jacking machine</w:t>
      </w:r>
      <w:r>
        <w:rPr>
          <w:rFonts w:ascii="Times New Roman" w:hAnsi="Times New Roman" w:cs="Times New Roman"/>
          <w:szCs w:val="24"/>
        </w:rPr>
        <w:tab/>
      </w:r>
      <w:r>
        <w:rPr>
          <w:rFonts w:hint="eastAsia" w:ascii="Times New Roman" w:hAnsi="Times New Roman" w:cs="Times New Roman"/>
          <w:szCs w:val="24"/>
        </w:rPr>
        <w:t>4</w:t>
      </w:r>
      <w:r>
        <w:rPr>
          <w:rFonts w:hint="eastAsia" w:ascii="Times New Roman" w:hAnsi="Times New Roman" w:cs="Times New Roman"/>
          <w:szCs w:val="24"/>
        </w:rPr>
        <w:fldChar w:fldCharType="end"/>
      </w:r>
      <w:r>
        <w:rPr>
          <w:rFonts w:ascii="Times New Roman" w:hAnsi="Times New Roman" w:cs="Times New Roman"/>
          <w:szCs w:val="24"/>
        </w:rPr>
        <w:t>4</w:t>
      </w:r>
    </w:p>
    <w:p>
      <w:pPr>
        <w:pStyle w:val="31"/>
        <w:tabs>
          <w:tab w:val="right" w:leader="dot" w:pos="8306"/>
        </w:tabs>
        <w:rPr>
          <w:rFonts w:ascii="Times New Roman" w:hAnsi="Times New Roman" w:cs="Times New Roman"/>
          <w:szCs w:val="24"/>
        </w:rPr>
      </w:pPr>
      <w:r>
        <w:fldChar w:fldCharType="begin"/>
      </w:r>
      <w:r>
        <w:instrText xml:space="preserve"> HYPERLINK \l "_Toc6444" </w:instrText>
      </w:r>
      <w:r>
        <w:fldChar w:fldCharType="separate"/>
      </w:r>
      <w:r>
        <w:rPr>
          <w:rFonts w:ascii="Times New Roman" w:hAnsi="Times New Roman" w:cs="Times New Roman"/>
          <w:szCs w:val="24"/>
        </w:rPr>
        <w:t>8.3  J</w:t>
      </w:r>
      <w:r>
        <w:rPr>
          <w:rFonts w:ascii="Times New Roman" w:hAnsi="Times New Roman" w:cs="Times New Roman"/>
          <w:smallCaps w:val="0"/>
          <w:szCs w:val="24"/>
        </w:rPr>
        <w:t>acking system and installation</w:t>
      </w:r>
      <w:r>
        <w:rPr>
          <w:rFonts w:ascii="Times New Roman" w:hAnsi="Times New Roman" w:cs="Times New Roman"/>
          <w:szCs w:val="24"/>
        </w:rPr>
        <w:tab/>
      </w:r>
      <w:r>
        <w:rPr>
          <w:rFonts w:ascii="Times New Roman" w:hAnsi="Times New Roman" w:cs="Times New Roman"/>
          <w:szCs w:val="24"/>
        </w:rPr>
        <w:t>46</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"_Toc17651" </w:instrText>
      </w:r>
      <w:r>
        <w:fldChar w:fldCharType="separate"/>
      </w:r>
      <w:r>
        <w:rPr>
          <w:rFonts w:ascii="Times New Roman" w:hAnsi="Times New Roman" w:cs="Times New Roman"/>
          <w:szCs w:val="24"/>
        </w:rPr>
        <w:t>8.4  G</w:t>
      </w:r>
      <w:r>
        <w:rPr>
          <w:rFonts w:ascii="Times New Roman" w:hAnsi="Times New Roman" w:cs="Times New Roman"/>
          <w:smallCaps w:val="0"/>
          <w:szCs w:val="24"/>
        </w:rPr>
        <w:t>uide rail selection and installation</w:t>
      </w:r>
      <w:r>
        <w:rPr>
          <w:rFonts w:ascii="Times New Roman" w:hAnsi="Times New Roman" w:cs="Times New Roman"/>
          <w:szCs w:val="24"/>
        </w:rPr>
        <w:tab/>
      </w:r>
      <w:r>
        <w:rPr>
          <w:rFonts w:ascii="Times New Roman" w:hAnsi="Times New Roman" w:cs="Times New Roman"/>
          <w:szCs w:val="24"/>
        </w:rPr>
        <w:t>47</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"_Toc29657" </w:instrText>
      </w:r>
      <w:r>
        <w:fldChar w:fldCharType="separate"/>
      </w:r>
      <w:r>
        <w:rPr>
          <w:rFonts w:ascii="Times New Roman" w:hAnsi="Times New Roman" w:cs="Times New Roman"/>
          <w:szCs w:val="24"/>
        </w:rPr>
        <w:t>8.5  P</w:t>
      </w:r>
      <w:r>
        <w:rPr>
          <w:rFonts w:ascii="Times New Roman" w:hAnsi="Times New Roman" w:cs="Times New Roman"/>
          <w:smallCaps w:val="0"/>
          <w:szCs w:val="24"/>
        </w:rPr>
        <w:t>ipe jacking machine Installation and commissioning</w:t>
      </w:r>
      <w:r>
        <w:rPr>
          <w:rFonts w:ascii="Times New Roman" w:hAnsi="Times New Roman" w:cs="Times New Roman"/>
          <w:szCs w:val="24"/>
        </w:rPr>
        <w:tab/>
      </w:r>
      <w:r>
        <w:rPr>
          <w:rFonts w:ascii="Times New Roman" w:hAnsi="Times New Roman" w:cs="Times New Roman"/>
          <w:szCs w:val="24"/>
        </w:rPr>
        <w:t>48</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"_Toc9825" </w:instrText>
      </w:r>
      <w:r>
        <w:fldChar w:fldCharType="separate"/>
      </w:r>
      <w:r>
        <w:rPr>
          <w:rFonts w:ascii="Times New Roman" w:hAnsi="Times New Roman" w:cs="Times New Roman"/>
          <w:szCs w:val="24"/>
        </w:rPr>
        <w:t xml:space="preserve">8.6  </w:t>
      </w:r>
      <w:r>
        <w:rPr>
          <w:rFonts w:ascii="Times New Roman" w:hAnsi="Times New Roman" w:cs="Times New Roman"/>
          <w:smallCaps w:val="0"/>
          <w:szCs w:val="24"/>
        </w:rPr>
        <w:t>Installation of earth pressure balance slag system</w:t>
      </w:r>
      <w:r>
        <w:rPr>
          <w:rFonts w:ascii="Times New Roman" w:hAnsi="Times New Roman" w:cs="Times New Roman"/>
          <w:szCs w:val="24"/>
        </w:rPr>
        <w:tab/>
      </w:r>
      <w:r>
        <w:rPr>
          <w:rFonts w:ascii="Times New Roman" w:hAnsi="Times New Roman" w:cs="Times New Roman"/>
          <w:szCs w:val="24"/>
        </w:rPr>
        <w:t>49</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"_Toc3917" </w:instrText>
      </w:r>
      <w:r>
        <w:fldChar w:fldCharType="separate"/>
      </w:r>
      <w:r>
        <w:rPr>
          <w:rFonts w:ascii="Times New Roman" w:hAnsi="Times New Roman" w:cs="Times New Roman"/>
          <w:szCs w:val="24"/>
        </w:rPr>
        <w:t>8.7  I</w:t>
      </w:r>
      <w:r>
        <w:rPr>
          <w:rFonts w:ascii="Times New Roman" w:hAnsi="Times New Roman" w:cs="Times New Roman"/>
          <w:smallCaps w:val="0"/>
          <w:szCs w:val="24"/>
        </w:rPr>
        <w:t>nstallation of sludge water balance slag system</w:t>
      </w:r>
      <w:r>
        <w:rPr>
          <w:rFonts w:ascii="Times New Roman" w:hAnsi="Times New Roman" w:cs="Times New Roman"/>
          <w:szCs w:val="24"/>
        </w:rPr>
        <w:tab/>
      </w:r>
      <w:r>
        <w:rPr>
          <w:rFonts w:ascii="Times New Roman" w:hAnsi="Times New Roman" w:cs="Times New Roman"/>
          <w:szCs w:val="24"/>
        </w:rPr>
        <w:t>49</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"_Toc22642" </w:instrText>
      </w:r>
      <w:r>
        <w:fldChar w:fldCharType="separate"/>
      </w:r>
      <w:r>
        <w:rPr>
          <w:rFonts w:ascii="Times New Roman" w:hAnsi="Times New Roman" w:cs="Times New Roman"/>
          <w:szCs w:val="24"/>
        </w:rPr>
        <w:t>8.8  I</w:t>
      </w:r>
      <w:r>
        <w:rPr>
          <w:rFonts w:ascii="Times New Roman" w:hAnsi="Times New Roman" w:cs="Times New Roman"/>
          <w:smallCaps w:val="0"/>
          <w:szCs w:val="24"/>
        </w:rPr>
        <w:t>nstallation of intermediate jacking station</w:t>
      </w:r>
      <w:r>
        <w:rPr>
          <w:rFonts w:ascii="Times New Roman" w:hAnsi="Times New Roman" w:cs="Times New Roman"/>
          <w:szCs w:val="24"/>
        </w:rPr>
        <w:tab/>
      </w:r>
      <w:r>
        <w:rPr>
          <w:rFonts w:ascii="Times New Roman" w:hAnsi="Times New Roman" w:cs="Times New Roman"/>
          <w:szCs w:val="24"/>
        </w:rPr>
        <w:t>5</w:t>
      </w:r>
      <w:r>
        <w:rPr>
          <w:rFonts w:ascii="Times New Roman" w:hAnsi="Times New Roman" w:cs="Times New Roman"/>
          <w:szCs w:val="24"/>
        </w:rPr>
        <w:fldChar w:fldCharType="end"/>
      </w:r>
      <w:r>
        <w:rPr>
          <w:rFonts w:ascii="Times New Roman" w:hAnsi="Times New Roman" w:cs="Times New Roman"/>
          <w:szCs w:val="24"/>
        </w:rPr>
        <w:t>0</w:t>
      </w:r>
    </w:p>
    <w:p>
      <w:pPr>
        <w:pStyle w:val="31"/>
        <w:tabs>
          <w:tab w:val="right" w:leader="dot" w:pos="8306"/>
        </w:tabs>
        <w:rPr>
          <w:rFonts w:ascii="Times New Roman" w:hAnsi="Times New Roman" w:cs="Times New Roman"/>
          <w:szCs w:val="24"/>
        </w:rPr>
      </w:pPr>
      <w:r>
        <w:fldChar w:fldCharType="begin"/>
      </w:r>
      <w:r>
        <w:instrText xml:space="preserve"> HYPERLINK \l "_Toc8442" </w:instrText>
      </w:r>
      <w:r>
        <w:fldChar w:fldCharType="separate"/>
      </w:r>
      <w:r>
        <w:rPr>
          <w:rFonts w:ascii="Times New Roman" w:hAnsi="Times New Roman" w:cs="Times New Roman"/>
          <w:szCs w:val="24"/>
        </w:rPr>
        <w:t>8.9  P</w:t>
      </w:r>
      <w:r>
        <w:rPr>
          <w:rFonts w:ascii="Times New Roman" w:hAnsi="Times New Roman" w:cs="Times New Roman"/>
          <w:smallCaps w:val="0"/>
          <w:szCs w:val="24"/>
        </w:rPr>
        <w:t>ipe jacking auxiliary construction and equipment</w:t>
      </w:r>
      <w:r>
        <w:rPr>
          <w:rFonts w:ascii="Times New Roman" w:hAnsi="Times New Roman" w:cs="Times New Roman"/>
          <w:szCs w:val="24"/>
        </w:rPr>
        <w:tab/>
      </w:r>
      <w:r>
        <w:rPr>
          <w:rFonts w:ascii="Times New Roman" w:hAnsi="Times New Roman" w:cs="Times New Roman"/>
          <w:szCs w:val="24"/>
        </w:rPr>
        <w:t>5</w:t>
      </w:r>
      <w:r>
        <w:rPr>
          <w:rFonts w:ascii="Times New Roman" w:hAnsi="Times New Roman" w:cs="Times New Roman"/>
          <w:szCs w:val="24"/>
        </w:rPr>
        <w:fldChar w:fldCharType="end"/>
      </w:r>
      <w:r>
        <w:rPr>
          <w:rFonts w:ascii="Times New Roman" w:hAnsi="Times New Roman" w:cs="Times New Roman"/>
          <w:szCs w:val="24"/>
        </w:rPr>
        <w:t>1</w:t>
      </w:r>
    </w:p>
    <w:p>
      <w:pPr>
        <w:pStyle w:val="31"/>
        <w:tabs>
          <w:tab w:val="right" w:leader="dot" w:pos="8306"/>
        </w:tabs>
        <w:rPr>
          <w:rFonts w:ascii="Times New Roman" w:hAnsi="Times New Roman" w:cs="Times New Roman"/>
          <w:szCs w:val="24"/>
        </w:rPr>
      </w:pPr>
      <w:r>
        <w:fldChar w:fldCharType="begin"/>
      </w:r>
      <w:r>
        <w:instrText xml:space="preserve"> HYPERLINK \l "_Toc3180" </w:instrText>
      </w:r>
      <w:r>
        <w:fldChar w:fldCharType="separate"/>
      </w:r>
      <w:r>
        <w:rPr>
          <w:rFonts w:ascii="Times New Roman" w:hAnsi="Times New Roman" w:cs="Times New Roman"/>
          <w:szCs w:val="24"/>
        </w:rPr>
        <w:t>8.10  Q</w:t>
      </w:r>
      <w:r>
        <w:rPr>
          <w:rFonts w:ascii="Times New Roman" w:hAnsi="Times New Roman" w:cs="Times New Roman"/>
          <w:smallCaps w:val="0"/>
          <w:szCs w:val="24"/>
        </w:rPr>
        <w:t>uality control</w:t>
      </w:r>
      <w:r>
        <w:rPr>
          <w:rFonts w:ascii="Times New Roman" w:hAnsi="Times New Roman" w:cs="Times New Roman"/>
          <w:szCs w:val="24"/>
        </w:rPr>
        <w:tab/>
      </w:r>
      <w:r>
        <w:rPr>
          <w:rFonts w:ascii="Times New Roman" w:hAnsi="Times New Roman" w:cs="Times New Roman"/>
          <w:szCs w:val="24"/>
        </w:rPr>
        <w:t>5</w:t>
      </w:r>
      <w:r>
        <w:rPr>
          <w:rFonts w:ascii="Times New Roman" w:hAnsi="Times New Roman" w:cs="Times New Roman"/>
          <w:szCs w:val="24"/>
        </w:rPr>
        <w:fldChar w:fldCharType="end"/>
      </w:r>
      <w:r>
        <w:rPr>
          <w:rFonts w:ascii="Times New Roman" w:hAnsi="Times New Roman" w:cs="Times New Roman"/>
          <w:szCs w:val="24"/>
        </w:rPr>
        <w:t>2</w:t>
      </w:r>
    </w:p>
    <w:p>
      <w:pPr>
        <w:pStyle w:val="27"/>
        <w:tabs>
          <w:tab w:val="right" w:leader="dot" w:pos="8306"/>
        </w:tabs>
        <w:rPr>
          <w:rFonts w:ascii="Times New Roman" w:hAnsi="Times New Roman" w:cs="Times New Roman"/>
          <w:szCs w:val="24"/>
        </w:rPr>
      </w:pPr>
      <w:r>
        <w:fldChar w:fldCharType="begin"/>
      </w:r>
      <w:r>
        <w:instrText xml:space="preserve"> HYPERLINK \l "_Toc10280" </w:instrText>
      </w:r>
      <w:r>
        <w:fldChar w:fldCharType="separate"/>
      </w:r>
      <w:r>
        <w:rPr>
          <w:rFonts w:ascii="Times New Roman" w:hAnsi="Times New Roman" w:cs="Times New Roman"/>
          <w:szCs w:val="24"/>
        </w:rPr>
        <w:t>9  P</w:t>
      </w:r>
      <w:r>
        <w:rPr>
          <w:rFonts w:ascii="Times New Roman" w:hAnsi="Times New Roman" w:cs="Times New Roman"/>
          <w:caps w:val="0"/>
          <w:szCs w:val="24"/>
        </w:rPr>
        <w:t>ipe jacking construction</w:t>
      </w:r>
      <w:r>
        <w:rPr>
          <w:rFonts w:ascii="Times New Roman" w:hAnsi="Times New Roman" w:cs="Times New Roman"/>
          <w:szCs w:val="24"/>
        </w:rPr>
        <w:tab/>
      </w:r>
      <w:r>
        <w:rPr>
          <w:rFonts w:hint="eastAsia" w:ascii="Times New Roman" w:hAnsi="Times New Roman" w:cs="Times New Roman"/>
          <w:szCs w:val="24"/>
        </w:rPr>
        <w:t>5</w:t>
      </w:r>
      <w:r>
        <w:rPr>
          <w:rFonts w:hint="eastAsia" w:ascii="Times New Roman" w:hAnsi="Times New Roman" w:cs="Times New Roman"/>
          <w:szCs w:val="24"/>
        </w:rPr>
        <w:fldChar w:fldCharType="end"/>
      </w:r>
      <w:r>
        <w:rPr>
          <w:rFonts w:ascii="Times New Roman" w:hAnsi="Times New Roman" w:cs="Times New Roman"/>
          <w:szCs w:val="24"/>
        </w:rPr>
        <w:t>3</w:t>
      </w:r>
    </w:p>
    <w:p>
      <w:pPr>
        <w:pStyle w:val="31"/>
        <w:tabs>
          <w:tab w:val="right" w:leader="dot" w:pos="8306"/>
        </w:tabs>
        <w:rPr>
          <w:rFonts w:ascii="Times New Roman" w:hAnsi="Times New Roman" w:cs="Times New Roman"/>
          <w:szCs w:val="24"/>
        </w:rPr>
      </w:pPr>
      <w:r>
        <w:fldChar w:fldCharType="begin"/>
      </w:r>
      <w:r>
        <w:instrText xml:space="preserve"> HYPERLINK \l "_Toc29481" </w:instrText>
      </w:r>
      <w:r>
        <w:fldChar w:fldCharType="separate"/>
      </w:r>
      <w:r>
        <w:rPr>
          <w:rFonts w:ascii="Times New Roman" w:hAnsi="Times New Roman" w:cs="Times New Roman"/>
          <w:szCs w:val="24"/>
        </w:rPr>
        <w:t>9.1  G</w:t>
      </w:r>
      <w:r>
        <w:rPr>
          <w:rFonts w:ascii="Times New Roman" w:hAnsi="Times New Roman" w:cs="Times New Roman"/>
          <w:smallCaps w:val="0"/>
          <w:szCs w:val="24"/>
        </w:rPr>
        <w:t>eneral requirements</w:t>
      </w:r>
      <w:r>
        <w:rPr>
          <w:rFonts w:ascii="Times New Roman" w:hAnsi="Times New Roman" w:cs="Times New Roman"/>
          <w:szCs w:val="24"/>
        </w:rPr>
        <w:tab/>
      </w:r>
      <w:r>
        <w:rPr>
          <w:rFonts w:hint="eastAsia" w:ascii="Times New Roman" w:hAnsi="Times New Roman" w:cs="Times New Roman"/>
          <w:szCs w:val="24"/>
        </w:rPr>
        <w:t>5</w:t>
      </w:r>
      <w:r>
        <w:rPr>
          <w:rFonts w:hint="eastAsia" w:ascii="Times New Roman" w:hAnsi="Times New Roman" w:cs="Times New Roman"/>
          <w:szCs w:val="24"/>
        </w:rPr>
        <w:fldChar w:fldCharType="end"/>
      </w:r>
      <w:r>
        <w:rPr>
          <w:rFonts w:ascii="Times New Roman" w:hAnsi="Times New Roman" w:cs="Times New Roman"/>
          <w:szCs w:val="24"/>
        </w:rPr>
        <w:t>3</w:t>
      </w:r>
    </w:p>
    <w:p>
      <w:pPr>
        <w:pStyle w:val="31"/>
        <w:tabs>
          <w:tab w:val="right" w:leader="dot" w:pos="8306"/>
        </w:tabs>
        <w:rPr>
          <w:rFonts w:ascii="Times New Roman" w:hAnsi="Times New Roman" w:cs="Times New Roman"/>
          <w:szCs w:val="24"/>
        </w:rPr>
      </w:pPr>
      <w:r>
        <w:fldChar w:fldCharType="begin"/>
      </w:r>
      <w:r>
        <w:instrText xml:space="preserve"> HYPERLINK \l "_Toc20021" </w:instrText>
      </w:r>
      <w:r>
        <w:fldChar w:fldCharType="separate"/>
      </w:r>
      <w:r>
        <w:rPr>
          <w:rFonts w:ascii="Times New Roman" w:hAnsi="Times New Roman" w:cs="Times New Roman"/>
          <w:szCs w:val="24"/>
        </w:rPr>
        <w:t>9.2  C</w:t>
      </w:r>
      <w:r>
        <w:rPr>
          <w:rFonts w:ascii="Times New Roman" w:hAnsi="Times New Roman" w:cs="Times New Roman"/>
          <w:smallCaps w:val="0"/>
          <w:szCs w:val="24"/>
        </w:rPr>
        <w:t>onstruction organization design</w:t>
      </w:r>
      <w:r>
        <w:rPr>
          <w:rFonts w:ascii="Times New Roman" w:hAnsi="Times New Roman" w:cs="Times New Roman"/>
          <w:szCs w:val="24"/>
        </w:rPr>
        <w:tab/>
      </w:r>
      <w:r>
        <w:rPr>
          <w:rFonts w:hint="eastAsia" w:ascii="Times New Roman" w:hAnsi="Times New Roman" w:cs="Times New Roman"/>
          <w:szCs w:val="24"/>
        </w:rPr>
        <w:t>5</w:t>
      </w:r>
      <w:r>
        <w:rPr>
          <w:rFonts w:hint="eastAsia" w:ascii="Times New Roman" w:hAnsi="Times New Roman" w:cs="Times New Roman"/>
          <w:szCs w:val="24"/>
        </w:rPr>
        <w:fldChar w:fldCharType="end"/>
      </w:r>
      <w:r>
        <w:rPr>
          <w:rFonts w:ascii="Times New Roman" w:hAnsi="Times New Roman" w:cs="Times New Roman"/>
          <w:szCs w:val="24"/>
        </w:rPr>
        <w:t>4</w:t>
      </w:r>
    </w:p>
    <w:p>
      <w:pPr>
        <w:pStyle w:val="31"/>
        <w:tabs>
          <w:tab w:val="right" w:leader="dot" w:pos="8306"/>
        </w:tabs>
        <w:rPr>
          <w:rFonts w:ascii="Times New Roman" w:hAnsi="Times New Roman" w:cs="Times New Roman"/>
          <w:szCs w:val="24"/>
        </w:rPr>
      </w:pPr>
      <w:r>
        <w:fldChar w:fldCharType="begin"/>
      </w:r>
      <w:r>
        <w:instrText xml:space="preserve"> HYPERLINK \l "_Toc1239" </w:instrText>
      </w:r>
      <w:r>
        <w:fldChar w:fldCharType="separate"/>
      </w:r>
      <w:r>
        <w:rPr>
          <w:rFonts w:ascii="Times New Roman" w:hAnsi="Times New Roman" w:cs="Times New Roman"/>
          <w:szCs w:val="24"/>
        </w:rPr>
        <w:t>9.3  P</w:t>
      </w:r>
      <w:r>
        <w:rPr>
          <w:rFonts w:ascii="Times New Roman" w:hAnsi="Times New Roman" w:cs="Times New Roman"/>
          <w:smallCaps w:val="0"/>
          <w:szCs w:val="24"/>
        </w:rPr>
        <w:t>ipe jacking starting and receiving</w:t>
      </w:r>
      <w:r>
        <w:rPr>
          <w:rFonts w:ascii="Times New Roman" w:hAnsi="Times New Roman" w:cs="Times New Roman"/>
          <w:szCs w:val="24"/>
        </w:rPr>
        <w:tab/>
      </w:r>
      <w:r>
        <w:rPr>
          <w:rFonts w:ascii="Times New Roman" w:hAnsi="Times New Roman" w:cs="Times New Roman"/>
          <w:szCs w:val="24"/>
        </w:rPr>
        <w:t>56</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"_Toc21969" </w:instrText>
      </w:r>
      <w:r>
        <w:fldChar w:fldCharType="separate"/>
      </w:r>
      <w:r>
        <w:rPr>
          <w:rFonts w:ascii="Times New Roman" w:hAnsi="Times New Roman" w:cs="Times New Roman"/>
          <w:szCs w:val="24"/>
        </w:rPr>
        <w:t>9.4  P</w:t>
      </w:r>
      <w:r>
        <w:rPr>
          <w:rFonts w:ascii="Times New Roman" w:hAnsi="Times New Roman" w:cs="Times New Roman"/>
          <w:smallCaps w:val="0"/>
          <w:szCs w:val="24"/>
        </w:rPr>
        <w:t>ipe jacking</w:t>
      </w:r>
      <w:r>
        <w:rPr>
          <w:rFonts w:ascii="Times New Roman" w:hAnsi="Times New Roman" w:cs="Times New Roman"/>
          <w:szCs w:val="24"/>
        </w:rPr>
        <w:tab/>
      </w:r>
      <w:r>
        <w:rPr>
          <w:rFonts w:ascii="Times New Roman" w:hAnsi="Times New Roman" w:cs="Times New Roman"/>
          <w:szCs w:val="24"/>
        </w:rPr>
        <w:t>57</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"_Toc24499" </w:instrText>
      </w:r>
      <w:r>
        <w:fldChar w:fldCharType="separate"/>
      </w:r>
      <w:r>
        <w:rPr>
          <w:rFonts w:ascii="Times New Roman" w:hAnsi="Times New Roman" w:cs="Times New Roman"/>
          <w:szCs w:val="24"/>
        </w:rPr>
        <w:t>9.5  D</w:t>
      </w:r>
      <w:r>
        <w:rPr>
          <w:rFonts w:ascii="Times New Roman" w:hAnsi="Times New Roman" w:cs="Times New Roman"/>
          <w:smallCaps w:val="0"/>
          <w:szCs w:val="24"/>
        </w:rPr>
        <w:t>rag reduction by grouting</w:t>
      </w:r>
      <w:r>
        <w:rPr>
          <w:rFonts w:ascii="Times New Roman" w:hAnsi="Times New Roman" w:cs="Times New Roman"/>
          <w:szCs w:val="24"/>
        </w:rPr>
        <w:tab/>
      </w:r>
      <w:r>
        <w:rPr>
          <w:rFonts w:ascii="Times New Roman" w:hAnsi="Times New Roman" w:cs="Times New Roman"/>
          <w:szCs w:val="24"/>
        </w:rPr>
        <w:t>60</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"_Toc31053" </w:instrText>
      </w:r>
      <w:r>
        <w:fldChar w:fldCharType="separate"/>
      </w:r>
      <w:r>
        <w:rPr>
          <w:rFonts w:ascii="Times New Roman" w:hAnsi="Times New Roman" w:cs="Times New Roman"/>
          <w:szCs w:val="24"/>
        </w:rPr>
        <w:t>9.6  S</w:t>
      </w:r>
      <w:r>
        <w:rPr>
          <w:rFonts w:ascii="Times New Roman" w:hAnsi="Times New Roman" w:cs="Times New Roman"/>
          <w:smallCaps w:val="0"/>
          <w:szCs w:val="24"/>
        </w:rPr>
        <w:t>oil improvement</w:t>
      </w:r>
      <w:r>
        <w:rPr>
          <w:rFonts w:ascii="Times New Roman" w:hAnsi="Times New Roman" w:cs="Times New Roman"/>
          <w:szCs w:val="24"/>
        </w:rPr>
        <w:tab/>
      </w:r>
      <w:r>
        <w:rPr>
          <w:rFonts w:ascii="Times New Roman" w:hAnsi="Times New Roman" w:cs="Times New Roman"/>
          <w:szCs w:val="24"/>
        </w:rPr>
        <w:t>62</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"_Toc15789" </w:instrText>
      </w:r>
      <w:r>
        <w:fldChar w:fldCharType="separate"/>
      </w:r>
      <w:r>
        <w:rPr>
          <w:rFonts w:ascii="Times New Roman" w:hAnsi="Times New Roman" w:cs="Times New Roman"/>
          <w:szCs w:val="24"/>
        </w:rPr>
        <w:t>9.7  M</w:t>
      </w:r>
      <w:r>
        <w:rPr>
          <w:rFonts w:ascii="Times New Roman" w:hAnsi="Times New Roman" w:cs="Times New Roman"/>
          <w:smallCaps w:val="0"/>
          <w:szCs w:val="24"/>
        </w:rPr>
        <w:t>easurement and attitude control</w:t>
      </w:r>
      <w:r>
        <w:rPr>
          <w:rFonts w:ascii="Times New Roman" w:hAnsi="Times New Roman" w:cs="Times New Roman"/>
          <w:szCs w:val="24"/>
        </w:rPr>
        <w:tab/>
      </w:r>
      <w:r>
        <w:rPr>
          <w:rFonts w:ascii="Times New Roman" w:hAnsi="Times New Roman" w:cs="Times New Roman"/>
          <w:szCs w:val="24"/>
        </w:rPr>
        <w:t>64</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"_Toc22580" </w:instrText>
      </w:r>
      <w:r>
        <w:fldChar w:fldCharType="separate"/>
      </w:r>
      <w:r>
        <w:rPr>
          <w:rFonts w:ascii="Times New Roman" w:hAnsi="Times New Roman" w:cs="Times New Roman"/>
          <w:szCs w:val="24"/>
        </w:rPr>
        <w:t>9.8  M</w:t>
      </w:r>
      <w:r>
        <w:rPr>
          <w:rFonts w:ascii="Times New Roman" w:hAnsi="Times New Roman" w:cs="Times New Roman"/>
          <w:smallCaps w:val="0"/>
          <w:szCs w:val="24"/>
        </w:rPr>
        <w:t>onitoring and deformation control</w:t>
      </w:r>
      <w:r>
        <w:rPr>
          <w:rFonts w:ascii="Times New Roman" w:hAnsi="Times New Roman" w:cs="Times New Roman"/>
          <w:szCs w:val="24"/>
        </w:rPr>
        <w:tab/>
      </w:r>
      <w:r>
        <w:rPr>
          <w:rFonts w:ascii="Times New Roman" w:hAnsi="Times New Roman" w:cs="Times New Roman"/>
          <w:szCs w:val="24"/>
        </w:rPr>
        <w:t>66</w:t>
      </w:r>
      <w:r>
        <w:rPr>
          <w:rFonts w:ascii="Times New Roman" w:hAnsi="Times New Roman" w:cs="Times New Roman"/>
          <w:szCs w:val="24"/>
        </w:rPr>
        <w:fldChar w:fldCharType="end"/>
      </w:r>
    </w:p>
    <w:p>
      <w:pPr>
        <w:pStyle w:val="31"/>
        <w:tabs>
          <w:tab w:val="right" w:leader="dot" w:pos="8306"/>
        </w:tabs>
        <w:rPr>
          <w:rFonts w:ascii="Times New Roman" w:hAnsi="Times New Roman" w:cs="Times New Roman"/>
          <w:szCs w:val="24"/>
        </w:rPr>
      </w:pPr>
      <w:r>
        <w:fldChar w:fldCharType="begin"/>
      </w:r>
      <w:r>
        <w:instrText xml:space="preserve"> HYPERLINK \l "_Toc16406" </w:instrText>
      </w:r>
      <w:r>
        <w:fldChar w:fldCharType="separate"/>
      </w:r>
      <w:r>
        <w:rPr>
          <w:rFonts w:ascii="Times New Roman" w:hAnsi="Times New Roman" w:cs="Times New Roman"/>
          <w:szCs w:val="24"/>
        </w:rPr>
        <w:t>9.9  D</w:t>
      </w:r>
      <w:r>
        <w:rPr>
          <w:rFonts w:ascii="Times New Roman" w:hAnsi="Times New Roman" w:cs="Times New Roman"/>
          <w:smallCaps w:val="0"/>
          <w:szCs w:val="24"/>
        </w:rPr>
        <w:t>isassembly and lifting out of pipe jacking machine</w:t>
      </w:r>
      <w:r>
        <w:rPr>
          <w:rFonts w:ascii="Times New Roman" w:hAnsi="Times New Roman" w:cs="Times New Roman"/>
          <w:szCs w:val="24"/>
        </w:rPr>
        <w:tab/>
      </w:r>
      <w:r>
        <w:rPr>
          <w:rFonts w:ascii="Times New Roman" w:hAnsi="Times New Roman" w:cs="Times New Roman"/>
          <w:szCs w:val="24"/>
        </w:rPr>
        <w:t>6</w:t>
      </w:r>
      <w:r>
        <w:rPr>
          <w:rFonts w:ascii="Times New Roman" w:hAnsi="Times New Roman" w:cs="Times New Roman"/>
          <w:szCs w:val="24"/>
        </w:rPr>
        <w:fldChar w:fldCharType="end"/>
      </w:r>
      <w:r>
        <w:rPr>
          <w:rFonts w:ascii="Times New Roman" w:hAnsi="Times New Roman" w:cs="Times New Roman"/>
          <w:szCs w:val="24"/>
        </w:rPr>
        <w:t>9</w:t>
      </w:r>
    </w:p>
    <w:p>
      <w:pPr>
        <w:pStyle w:val="31"/>
        <w:tabs>
          <w:tab w:val="right" w:leader="dot" w:pos="8306"/>
        </w:tabs>
        <w:rPr>
          <w:rFonts w:ascii="Times New Roman" w:hAnsi="Times New Roman" w:cs="Times New Roman"/>
          <w:szCs w:val="24"/>
        </w:rPr>
      </w:pPr>
      <w:r>
        <w:fldChar w:fldCharType="begin"/>
      </w:r>
      <w:r>
        <w:instrText xml:space="preserve"> HYPERLINK \l "_Toc22209" </w:instrText>
      </w:r>
      <w:r>
        <w:fldChar w:fldCharType="separate"/>
      </w:r>
      <w:r>
        <w:rPr>
          <w:rFonts w:ascii="Times New Roman" w:hAnsi="Times New Roman" w:cs="Times New Roman"/>
          <w:szCs w:val="24"/>
        </w:rPr>
        <w:t>9.10  Q</w:t>
      </w:r>
      <w:r>
        <w:rPr>
          <w:rFonts w:ascii="Times New Roman" w:hAnsi="Times New Roman" w:cs="Times New Roman"/>
          <w:smallCaps w:val="0"/>
          <w:szCs w:val="24"/>
        </w:rPr>
        <w:t>uality control</w:t>
      </w:r>
      <w:r>
        <w:rPr>
          <w:rFonts w:ascii="Times New Roman" w:hAnsi="Times New Roman" w:cs="Times New Roman"/>
          <w:szCs w:val="24"/>
        </w:rPr>
        <w:tab/>
      </w:r>
      <w:r>
        <w:rPr>
          <w:rFonts w:ascii="Times New Roman" w:hAnsi="Times New Roman" w:cs="Times New Roman"/>
          <w:szCs w:val="24"/>
        </w:rPr>
        <w:t>70</w:t>
      </w:r>
      <w:r>
        <w:rPr>
          <w:rFonts w:ascii="Times New Roman" w:hAnsi="Times New Roman" w:cs="Times New Roman"/>
          <w:szCs w:val="24"/>
        </w:rPr>
        <w:fldChar w:fldCharType="end"/>
      </w:r>
    </w:p>
    <w:p>
      <w:pPr>
        <w:pStyle w:val="27"/>
        <w:tabs>
          <w:tab w:val="right" w:leader="dot" w:pos="8306"/>
        </w:tabs>
        <w:rPr>
          <w:rFonts w:ascii="Times New Roman" w:hAnsi="Times New Roman" w:cs="Times New Roman"/>
          <w:szCs w:val="24"/>
        </w:rPr>
      </w:pPr>
      <w:r>
        <w:fldChar w:fldCharType="begin"/>
      </w:r>
      <w:r>
        <w:instrText xml:space="preserve"> HYPERLINK \l "_Toc2496" </w:instrText>
      </w:r>
      <w:r>
        <w:fldChar w:fldCharType="separate"/>
      </w:r>
      <w:r>
        <w:rPr>
          <w:rFonts w:ascii="Times New Roman" w:hAnsi="Times New Roman" w:cs="Times New Roman"/>
          <w:szCs w:val="24"/>
        </w:rPr>
        <w:t>10  E</w:t>
      </w:r>
      <w:r>
        <w:rPr>
          <w:rFonts w:ascii="Times New Roman" w:hAnsi="Times New Roman" w:cs="Times New Roman"/>
          <w:caps w:val="0"/>
          <w:szCs w:val="24"/>
        </w:rPr>
        <w:t>ngineering acceptance</w:t>
      </w:r>
      <w:r>
        <w:rPr>
          <w:rFonts w:ascii="Times New Roman" w:hAnsi="Times New Roman" w:cs="Times New Roman"/>
          <w:szCs w:val="24"/>
        </w:rPr>
        <w:tab/>
      </w:r>
      <w:r>
        <w:rPr>
          <w:rFonts w:hint="eastAsia" w:ascii="Times New Roman" w:hAnsi="Times New Roman" w:cs="Times New Roman"/>
          <w:szCs w:val="24"/>
        </w:rPr>
        <w:t>7</w:t>
      </w:r>
      <w:r>
        <w:rPr>
          <w:rFonts w:hint="eastAsia" w:ascii="Times New Roman" w:hAnsi="Times New Roman" w:cs="Times New Roman"/>
          <w:szCs w:val="24"/>
        </w:rPr>
        <w:fldChar w:fldCharType="end"/>
      </w:r>
      <w:r>
        <w:rPr>
          <w:rFonts w:ascii="Times New Roman" w:hAnsi="Times New Roman" w:cs="Times New Roman"/>
          <w:szCs w:val="24"/>
        </w:rPr>
        <w:t>3</w:t>
      </w:r>
    </w:p>
    <w:p>
      <w:pPr>
        <w:pStyle w:val="27"/>
        <w:tabs>
          <w:tab w:val="right" w:leader="dot" w:pos="8306"/>
        </w:tabs>
        <w:ind w:left="1928" w:hanging="1928" w:hangingChars="800"/>
        <w:rPr>
          <w:rFonts w:ascii="Times New Roman" w:hAnsi="Times New Roman" w:cs="Times New Roman"/>
          <w:szCs w:val="24"/>
        </w:rPr>
      </w:pPr>
      <w:r>
        <w:fldChar w:fldCharType="begin"/>
      </w:r>
      <w:r>
        <w:instrText xml:space="preserve"> HYPERLINK \l "_Toc9713" </w:instrText>
      </w:r>
      <w:r>
        <w:fldChar w:fldCharType="separate"/>
      </w:r>
      <w:r>
        <w:rPr>
          <w:rFonts w:ascii="Times New Roman" w:hAnsi="Times New Roman" w:cs="Times New Roman"/>
          <w:caps w:val="0"/>
          <w:szCs w:val="24"/>
        </w:rPr>
        <w:t xml:space="preserve">Appendix A  </w:t>
      </w:r>
      <w:r>
        <w:rPr>
          <w:rFonts w:hint="eastAsia" w:ascii="Times New Roman" w:hAnsi="Times New Roman" w:cs="Times New Roman"/>
          <w:caps w:val="0"/>
          <w:szCs w:val="24"/>
        </w:rPr>
        <w:t>D</w:t>
      </w:r>
      <w:r>
        <w:rPr>
          <w:rFonts w:ascii="Times New Roman" w:hAnsi="Times New Roman" w:cs="Times New Roman"/>
          <w:caps w:val="0"/>
          <w:szCs w:val="24"/>
        </w:rPr>
        <w:t>ivision, sub-divisional and inspection batches work table</w:t>
      </w:r>
      <w:r>
        <w:rPr>
          <w:rFonts w:hint="eastAsia" w:ascii="Times New Roman" w:hAnsi="Times New Roman" w:cs="Times New Roman"/>
          <w:caps w:val="0"/>
          <w:szCs w:val="24"/>
        </w:rPr>
        <w:t xml:space="preserve"> of rectangular pipe jacking</w:t>
      </w:r>
      <w:r>
        <w:rPr>
          <w:rFonts w:ascii="Times New Roman" w:hAnsi="Times New Roman" w:cs="Times New Roman"/>
          <w:szCs w:val="24"/>
        </w:rPr>
        <w:tab/>
      </w:r>
      <w:r>
        <w:rPr>
          <w:rFonts w:ascii="Times New Roman" w:hAnsi="Times New Roman" w:cs="Times New Roman"/>
          <w:szCs w:val="24"/>
        </w:rPr>
        <w:t>76</w:t>
      </w:r>
      <w:r>
        <w:rPr>
          <w:rFonts w:ascii="Times New Roman" w:hAnsi="Times New Roman" w:cs="Times New Roman"/>
          <w:szCs w:val="24"/>
        </w:rPr>
        <w:fldChar w:fldCharType="end"/>
      </w:r>
    </w:p>
    <w:p>
      <w:pPr>
        <w:pStyle w:val="27"/>
        <w:tabs>
          <w:tab w:val="right" w:leader="dot" w:pos="8306"/>
        </w:tabs>
        <w:rPr>
          <w:rFonts w:ascii="Times New Roman" w:hAnsi="Times New Roman" w:cs="Times New Roman"/>
          <w:szCs w:val="24"/>
        </w:rPr>
      </w:pPr>
      <w:r>
        <w:fldChar w:fldCharType="begin"/>
      </w:r>
      <w:r>
        <w:instrText xml:space="preserve"> HYPERLINK \l "_Toc9029" </w:instrText>
      </w:r>
      <w:r>
        <w:fldChar w:fldCharType="separate"/>
      </w:r>
      <w:r>
        <w:rPr>
          <w:rFonts w:ascii="Times New Roman" w:hAnsi="Times New Roman" w:cs="Times New Roman"/>
          <w:caps w:val="0"/>
          <w:szCs w:val="24"/>
        </w:rPr>
        <w:t xml:space="preserve">Appendix B  </w:t>
      </w:r>
      <w:r>
        <w:rPr>
          <w:rFonts w:hint="eastAsia" w:ascii="Times New Roman" w:hAnsi="Times New Roman" w:cs="Times New Roman"/>
          <w:caps w:val="0"/>
          <w:szCs w:val="24"/>
        </w:rPr>
        <w:t>Quality acceptance record</w:t>
      </w:r>
      <w:r>
        <w:rPr>
          <w:rFonts w:ascii="Times New Roman" w:hAnsi="Times New Roman" w:cs="Times New Roman"/>
          <w:szCs w:val="24"/>
        </w:rPr>
        <w:tab/>
      </w:r>
      <w:r>
        <w:rPr>
          <w:rFonts w:ascii="Times New Roman" w:hAnsi="Times New Roman" w:cs="Times New Roman"/>
          <w:szCs w:val="24"/>
        </w:rPr>
        <w:t>77</w:t>
      </w:r>
      <w:r>
        <w:rPr>
          <w:rFonts w:ascii="Times New Roman" w:hAnsi="Times New Roman" w:cs="Times New Roman"/>
          <w:szCs w:val="24"/>
        </w:rPr>
        <w:fldChar w:fldCharType="end"/>
      </w:r>
    </w:p>
    <w:p>
      <w:pPr>
        <w:pStyle w:val="27"/>
        <w:tabs>
          <w:tab w:val="right" w:leader="dot" w:pos="8306"/>
        </w:tabs>
        <w:rPr>
          <w:rFonts w:ascii="Times New Roman" w:hAnsi="Times New Roman" w:cs="Times New Roman"/>
          <w:szCs w:val="24"/>
        </w:rPr>
      </w:pPr>
      <w:r>
        <w:fldChar w:fldCharType="begin"/>
      </w:r>
      <w:r>
        <w:instrText xml:space="preserve"> HYPERLINK \l "_Toc9713" </w:instrText>
      </w:r>
      <w:r>
        <w:fldChar w:fldCharType="separate"/>
      </w:r>
      <w:r>
        <w:rPr>
          <w:rFonts w:ascii="Times New Roman" w:hAnsi="Times New Roman" w:cs="Times New Roman"/>
          <w:caps w:val="0"/>
          <w:szCs w:val="24"/>
        </w:rPr>
        <w:t>Explanation of wording in this specification</w:t>
      </w:r>
      <w:r>
        <w:rPr>
          <w:rFonts w:ascii="Times New Roman" w:hAnsi="Times New Roman" w:cs="Times New Roman"/>
          <w:szCs w:val="24"/>
        </w:rPr>
        <w:tab/>
      </w:r>
      <w:r>
        <w:rPr>
          <w:rFonts w:ascii="Times New Roman" w:hAnsi="Times New Roman" w:cs="Times New Roman"/>
          <w:szCs w:val="24"/>
        </w:rPr>
        <w:t>80</w:t>
      </w:r>
      <w:r>
        <w:rPr>
          <w:rFonts w:ascii="Times New Roman" w:hAnsi="Times New Roman" w:cs="Times New Roman"/>
          <w:szCs w:val="24"/>
        </w:rPr>
        <w:fldChar w:fldCharType="end"/>
      </w:r>
    </w:p>
    <w:p>
      <w:pPr>
        <w:pStyle w:val="27"/>
        <w:tabs>
          <w:tab w:val="right" w:leader="dot" w:pos="8306"/>
        </w:tabs>
        <w:rPr>
          <w:rFonts w:ascii="Times New Roman" w:hAnsi="Times New Roman" w:cs="Times New Roman"/>
          <w:szCs w:val="24"/>
        </w:rPr>
      </w:pPr>
      <w:r>
        <w:fldChar w:fldCharType="begin"/>
      </w:r>
      <w:r>
        <w:instrText xml:space="preserve"> HYPERLINK \l "_Toc9029" </w:instrText>
      </w:r>
      <w:r>
        <w:fldChar w:fldCharType="separate"/>
      </w:r>
      <w:r>
        <w:rPr>
          <w:rFonts w:ascii="Times New Roman" w:hAnsi="Times New Roman" w:cs="Times New Roman"/>
          <w:caps w:val="0"/>
          <w:szCs w:val="24"/>
        </w:rPr>
        <w:t>List of quoted standards</w:t>
      </w:r>
      <w:r>
        <w:rPr>
          <w:rFonts w:ascii="Times New Roman" w:hAnsi="Times New Roman" w:cs="Times New Roman"/>
          <w:szCs w:val="24"/>
        </w:rPr>
        <w:tab/>
      </w:r>
      <w:r>
        <w:rPr>
          <w:rFonts w:ascii="Times New Roman" w:hAnsi="Times New Roman" w:cs="Times New Roman"/>
          <w:szCs w:val="24"/>
        </w:rPr>
        <w:t>81</w:t>
      </w:r>
      <w:r>
        <w:rPr>
          <w:rFonts w:ascii="Times New Roman" w:hAnsi="Times New Roman" w:cs="Times New Roman"/>
          <w:szCs w:val="24"/>
        </w:rPr>
        <w:fldChar w:fldCharType="end"/>
      </w:r>
    </w:p>
    <w:p>
      <w:pPr>
        <w:pStyle w:val="27"/>
        <w:tabs>
          <w:tab w:val="right" w:leader="dot" w:pos="8306"/>
        </w:tabs>
        <w:rPr>
          <w:rFonts w:ascii="Times New Roman" w:hAnsi="Times New Roman" w:cs="Times New Roman"/>
          <w:szCs w:val="24"/>
        </w:rPr>
      </w:pPr>
      <w:r>
        <w:fldChar w:fldCharType="begin"/>
      </w:r>
      <w:r>
        <w:instrText xml:space="preserve"> HYPERLINK \l "_Toc8516" </w:instrText>
      </w:r>
      <w:r>
        <w:fldChar w:fldCharType="separate"/>
      </w:r>
      <w:r>
        <w:rPr>
          <w:rFonts w:ascii="Times New Roman" w:hAnsi="Times New Roman" w:cs="Times New Roman"/>
          <w:caps w:val="0"/>
          <w:szCs w:val="24"/>
        </w:rPr>
        <w:t>Addition：Explanation of provisions</w:t>
      </w:r>
      <w:r>
        <w:rPr>
          <w:rFonts w:ascii="Times New Roman" w:hAnsi="Times New Roman" w:cs="Times New Roman"/>
          <w:szCs w:val="24"/>
        </w:rPr>
        <w:tab/>
      </w:r>
      <w:r>
        <w:rPr>
          <w:rFonts w:ascii="Times New Roman" w:hAnsi="Times New Roman" w:cs="Times New Roman"/>
          <w:szCs w:val="24"/>
        </w:rPr>
        <w:fldChar w:fldCharType="end"/>
      </w:r>
      <w:r>
        <w:rPr>
          <w:rFonts w:hint="eastAsia" w:ascii="Times New Roman" w:hAnsi="Times New Roman" w:cs="Times New Roman"/>
          <w:szCs w:val="24"/>
        </w:rPr>
        <w:t>8</w:t>
      </w:r>
      <w:r>
        <w:rPr>
          <w:rFonts w:ascii="Times New Roman" w:hAnsi="Times New Roman" w:cs="Times New Roman"/>
          <w:szCs w:val="24"/>
        </w:rPr>
        <w:t>3</w:t>
      </w:r>
    </w:p>
    <w:p>
      <w:pPr>
        <w:rPr>
          <w:szCs w:val="24"/>
        </w:rPr>
      </w:pPr>
      <w:r>
        <w:rPr>
          <w:szCs w:val="24"/>
        </w:rPr>
        <w:fldChar w:fldCharType="end"/>
      </w:r>
    </w:p>
    <w:p>
      <w:pPr>
        <w:spacing w:line="240" w:lineRule="auto"/>
        <w:rPr>
          <w:szCs w:val="24"/>
        </w:rPr>
        <w:sectPr>
          <w:pgSz w:w="11906" w:h="16838"/>
          <w:pgMar w:top="1440" w:right="1800" w:bottom="1440" w:left="1800" w:header="851" w:footer="992" w:gutter="0"/>
          <w:pgNumType w:start="1"/>
          <w:cols w:space="425" w:num="1"/>
          <w:docGrid w:type="lines" w:linePitch="312" w:charSpace="0"/>
        </w:sectPr>
      </w:pPr>
    </w:p>
    <w:p>
      <w:pPr>
        <w:pStyle w:val="2"/>
        <w:rPr>
          <w:rFonts w:cs="Times New Roman"/>
        </w:rPr>
      </w:pPr>
      <w:bookmarkStart w:id="17" w:name="_Toc21714"/>
      <w:bookmarkStart w:id="18" w:name="_Toc26352"/>
      <w:bookmarkStart w:id="19" w:name="_Toc23974"/>
      <w:bookmarkStart w:id="20" w:name="_Toc60173770"/>
      <w:bookmarkStart w:id="21" w:name="_Toc47692141"/>
      <w:bookmarkStart w:id="22" w:name="_Toc3781"/>
      <w:bookmarkStart w:id="23" w:name="_Toc60172883"/>
      <w:bookmarkStart w:id="24" w:name="_Toc31866"/>
      <w:bookmarkStart w:id="25" w:name="_Toc18057021"/>
      <w:bookmarkStart w:id="26" w:name="_Toc463446168"/>
      <w:bookmarkStart w:id="27" w:name="_Toc22840"/>
      <w:bookmarkStart w:id="28" w:name="_Toc12493"/>
      <w:r>
        <w:rPr>
          <w:rFonts w:cs="Times New Roman"/>
        </w:rPr>
        <w:t>1  总    则</w:t>
      </w:r>
      <w:bookmarkEnd w:id="16"/>
      <w:bookmarkEnd w:id="17"/>
      <w:bookmarkEnd w:id="18"/>
      <w:bookmarkEnd w:id="19"/>
      <w:bookmarkEnd w:id="20"/>
      <w:bookmarkEnd w:id="21"/>
      <w:bookmarkEnd w:id="22"/>
      <w:bookmarkEnd w:id="23"/>
      <w:bookmarkEnd w:id="24"/>
      <w:bookmarkEnd w:id="25"/>
      <w:bookmarkEnd w:id="26"/>
      <w:bookmarkEnd w:id="27"/>
      <w:bookmarkEnd w:id="28"/>
    </w:p>
    <w:p>
      <w:r>
        <w:rPr>
          <w:b/>
          <w:bCs/>
        </w:rPr>
        <w:t xml:space="preserve">1.0.1 </w:t>
      </w:r>
      <w:r>
        <w:t xml:space="preserve"> 为规范</w:t>
      </w:r>
      <w:r>
        <w:rPr>
          <w:rFonts w:hint="eastAsia"/>
        </w:rPr>
        <w:t>广东省</w:t>
      </w:r>
      <w:r>
        <w:t>矩形顶管工程的技术要求，做到安全适用、技术先进、经济合理、</w:t>
      </w:r>
      <w:r>
        <w:rPr>
          <w:szCs w:val="24"/>
        </w:rPr>
        <w:t>安全可靠、节能环保</w:t>
      </w:r>
      <w:r>
        <w:t>，制订本规程。</w:t>
      </w:r>
    </w:p>
    <w:p>
      <w:r>
        <w:rPr>
          <w:b/>
        </w:rPr>
        <w:t xml:space="preserve">1.0.2  </w:t>
      </w:r>
      <w:r>
        <w:t>本规程适用于</w:t>
      </w:r>
      <w:r>
        <w:rPr>
          <w:rFonts w:hint="eastAsia"/>
        </w:rPr>
        <w:t>广东省</w:t>
      </w:r>
      <w:r>
        <w:t>矩形</w:t>
      </w:r>
      <w:r>
        <w:rPr>
          <w:rFonts w:hint="eastAsia"/>
        </w:rPr>
        <w:t>（类矩形）</w:t>
      </w:r>
      <w:r>
        <w:t>顶管工程的勘察、设计、施工及验收。</w:t>
      </w:r>
    </w:p>
    <w:p>
      <w:r>
        <w:rPr>
          <w:b/>
        </w:rPr>
        <w:t xml:space="preserve">1.0.3  </w:t>
      </w:r>
      <w:r>
        <w:t>矩形顶管工程应结合工程地质、水文地质和周边环境等条件，合理选择施工设备与工艺，精心施工，严格监控。</w:t>
      </w:r>
    </w:p>
    <w:p>
      <w:r>
        <w:rPr>
          <w:b/>
        </w:rPr>
        <w:t xml:space="preserve">1.0.4  </w:t>
      </w:r>
      <w:r>
        <w:t>矩形顶管工程</w:t>
      </w:r>
      <w:r>
        <w:rPr>
          <w:rFonts w:hint="eastAsia"/>
        </w:rPr>
        <w:t>的</w:t>
      </w:r>
      <w:r>
        <w:t>应用除应执行本规程外，尚应符合国家现行有关标准的规定。</w:t>
      </w:r>
    </w:p>
    <w:p/>
    <w:p>
      <w:pPr>
        <w:rPr>
          <w:rFonts w:eastAsiaTheme="minorEastAsia"/>
          <w:b/>
          <w:szCs w:val="22"/>
        </w:rPr>
        <w:sectPr>
          <w:pgSz w:w="11906" w:h="16838"/>
          <w:pgMar w:top="1440" w:right="1800" w:bottom="1440" w:left="1800" w:header="851" w:footer="992" w:gutter="0"/>
          <w:pgNumType w:start="1"/>
          <w:cols w:space="425" w:num="1"/>
          <w:docGrid w:type="lines" w:linePitch="312" w:charSpace="0"/>
        </w:sectPr>
      </w:pPr>
    </w:p>
    <w:p>
      <w:pPr>
        <w:keepNext/>
        <w:keepLines/>
        <w:spacing w:before="340" w:after="330"/>
        <w:jc w:val="center"/>
        <w:outlineLvl w:val="0"/>
        <w:rPr>
          <w:rFonts w:eastAsia="Times New Roman"/>
          <w:b/>
          <w:bCs/>
          <w:kern w:val="44"/>
          <w:sz w:val="32"/>
          <w:szCs w:val="44"/>
        </w:rPr>
      </w:pPr>
      <w:bookmarkStart w:id="29" w:name="_Toc22664"/>
      <w:bookmarkStart w:id="30" w:name="_Toc12695"/>
      <w:bookmarkStart w:id="31" w:name="_Toc455393070"/>
      <w:bookmarkStart w:id="32" w:name="_Toc463446169"/>
      <w:bookmarkStart w:id="33" w:name="_Toc47692142"/>
      <w:bookmarkStart w:id="34" w:name="_Toc19247"/>
      <w:bookmarkStart w:id="35" w:name="_Toc60172884"/>
      <w:bookmarkStart w:id="36" w:name="_Toc26032"/>
      <w:bookmarkStart w:id="37" w:name="_Toc3650"/>
      <w:bookmarkStart w:id="38" w:name="_Toc18057022"/>
      <w:bookmarkStart w:id="39" w:name="_Toc9825"/>
      <w:bookmarkStart w:id="40" w:name="_Toc60173771"/>
      <w:bookmarkStart w:id="41" w:name="_Toc26659"/>
      <w:r>
        <w:rPr>
          <w:rFonts w:eastAsia="Times New Roman"/>
          <w:b/>
          <w:bCs/>
          <w:kern w:val="44"/>
          <w:sz w:val="32"/>
          <w:szCs w:val="44"/>
        </w:rPr>
        <w:t xml:space="preserve">2  </w:t>
      </w:r>
      <w:r>
        <w:rPr>
          <w:b/>
          <w:bCs/>
          <w:kern w:val="44"/>
          <w:sz w:val="32"/>
          <w:szCs w:val="44"/>
        </w:rPr>
        <w:t>术语和符号</w:t>
      </w:r>
      <w:bookmarkEnd w:id="29"/>
      <w:bookmarkEnd w:id="30"/>
      <w:bookmarkEnd w:id="31"/>
      <w:bookmarkEnd w:id="32"/>
      <w:bookmarkEnd w:id="33"/>
      <w:bookmarkEnd w:id="34"/>
      <w:bookmarkEnd w:id="35"/>
      <w:bookmarkEnd w:id="36"/>
      <w:bookmarkEnd w:id="37"/>
      <w:bookmarkEnd w:id="38"/>
      <w:bookmarkEnd w:id="39"/>
      <w:bookmarkEnd w:id="40"/>
      <w:bookmarkEnd w:id="41"/>
    </w:p>
    <w:p>
      <w:pPr>
        <w:pStyle w:val="3"/>
        <w:rPr>
          <w:rFonts w:eastAsia="黑体" w:cs="Times New Roman"/>
          <w:b w:val="0"/>
        </w:rPr>
      </w:pPr>
      <w:bookmarkStart w:id="42" w:name="_Toc18057023"/>
      <w:bookmarkStart w:id="43" w:name="_Toc18772"/>
      <w:bookmarkStart w:id="44" w:name="_Toc60172885"/>
      <w:bookmarkStart w:id="45" w:name="_Toc1687"/>
      <w:bookmarkStart w:id="46" w:name="_Toc9682"/>
      <w:bookmarkStart w:id="47" w:name="_Toc60173772"/>
      <w:bookmarkStart w:id="48" w:name="_Toc463446170"/>
      <w:bookmarkStart w:id="49" w:name="_Toc455393071"/>
      <w:bookmarkStart w:id="50" w:name="_Toc15157"/>
      <w:bookmarkStart w:id="51" w:name="_Toc22708"/>
      <w:bookmarkStart w:id="52" w:name="_Toc26884"/>
      <w:bookmarkStart w:id="53" w:name="_Toc9442"/>
      <w:bookmarkStart w:id="54" w:name="_Toc47692143"/>
      <w:bookmarkStart w:id="55" w:name="_Toc422210023"/>
      <w:r>
        <w:rPr>
          <w:rFonts w:eastAsia="黑体" w:cs="Times New Roman"/>
        </w:rPr>
        <w:t>2.1</w:t>
      </w:r>
      <w:r>
        <w:rPr>
          <w:rFonts w:eastAsia="黑体" w:cs="Times New Roman"/>
          <w:b w:val="0"/>
        </w:rPr>
        <w:t xml:space="preserve">  术语</w:t>
      </w:r>
      <w:bookmarkEnd w:id="42"/>
      <w:bookmarkEnd w:id="43"/>
      <w:bookmarkEnd w:id="44"/>
      <w:bookmarkEnd w:id="45"/>
      <w:bookmarkEnd w:id="46"/>
      <w:bookmarkEnd w:id="47"/>
      <w:bookmarkEnd w:id="48"/>
      <w:bookmarkEnd w:id="49"/>
      <w:bookmarkEnd w:id="50"/>
      <w:bookmarkEnd w:id="51"/>
      <w:bookmarkEnd w:id="52"/>
      <w:bookmarkEnd w:id="53"/>
      <w:bookmarkEnd w:id="54"/>
      <w:bookmarkEnd w:id="55"/>
    </w:p>
    <w:p>
      <w:pPr>
        <w:rPr>
          <w:b/>
          <w:bCs/>
        </w:rPr>
      </w:pPr>
      <w:r>
        <w:rPr>
          <w:rFonts w:hint="eastAsia"/>
          <w:b/>
          <w:bCs/>
        </w:rPr>
        <w:t>2</w:t>
      </w:r>
      <w:r>
        <w:rPr>
          <w:b/>
          <w:bCs/>
        </w:rPr>
        <w:t xml:space="preserve">.1.1  </w:t>
      </w:r>
      <w:r>
        <w:rPr>
          <w:rFonts w:hint="eastAsia"/>
          <w:b/>
          <w:bCs/>
        </w:rPr>
        <w:t xml:space="preserve">矩形顶管 </w:t>
      </w:r>
      <w:r>
        <w:rPr>
          <w:b/>
          <w:bCs/>
        </w:rPr>
        <w:t xml:space="preserve">   rectangular pipe jacking</w:t>
      </w:r>
    </w:p>
    <w:p>
      <w:pPr>
        <w:pStyle w:val="13"/>
        <w:ind w:firstLine="480"/>
      </w:pPr>
      <w:r>
        <w:rPr>
          <w:rFonts w:hint="eastAsia"/>
        </w:rPr>
        <w:t>采用矩形顶管机边切削、边排土、边顶进，将预制钢筋混凝土管节逐段向前推进形成地下空间的一种绿色、环保、安全、高效的非开挖施工技术。</w:t>
      </w:r>
    </w:p>
    <w:p>
      <w:pPr>
        <w:rPr>
          <w:b/>
          <w:bCs/>
          <w:sz w:val="32"/>
          <w:szCs w:val="32"/>
        </w:rPr>
      </w:pPr>
      <w:r>
        <w:rPr>
          <w:b/>
          <w:bCs/>
        </w:rPr>
        <w:t xml:space="preserve">2.1.2  矩形顶管机    rectangular pipe jacking machine </w:t>
      </w:r>
    </w:p>
    <w:p>
      <w:pPr>
        <w:ind w:firstLine="480" w:firstLineChars="200"/>
        <w:rPr>
          <w:rFonts w:eastAsiaTheme="minorEastAsia"/>
          <w:szCs w:val="22"/>
        </w:rPr>
      </w:pPr>
      <w:r>
        <w:rPr>
          <w:rFonts w:eastAsiaTheme="minorEastAsia"/>
          <w:szCs w:val="22"/>
        </w:rPr>
        <w:t>采用矩形横断面的顶管掘进成套设备，根据平衡开挖面地层压力</w:t>
      </w:r>
      <w:r>
        <w:rPr>
          <w:rFonts w:hint="eastAsia" w:eastAsiaTheme="minorEastAsia"/>
          <w:szCs w:val="22"/>
        </w:rPr>
        <w:t>形式</w:t>
      </w:r>
      <w:r>
        <w:rPr>
          <w:rFonts w:eastAsiaTheme="minorEastAsia"/>
          <w:szCs w:val="22"/>
        </w:rPr>
        <w:t>的不同，可分为土压平衡矩形顶管机和泥水平衡矩形顶管机。</w:t>
      </w:r>
    </w:p>
    <w:p>
      <w:pPr>
        <w:rPr>
          <w:b/>
          <w:bCs/>
        </w:rPr>
      </w:pPr>
      <w:r>
        <w:rPr>
          <w:b/>
          <w:bCs/>
        </w:rPr>
        <w:t>2.1.3  工作井    working shaft</w:t>
      </w:r>
    </w:p>
    <w:p>
      <w:pPr>
        <w:ind w:firstLine="420"/>
        <w:rPr>
          <w:rFonts w:eastAsiaTheme="minorEastAsia"/>
          <w:szCs w:val="22"/>
        </w:rPr>
      </w:pPr>
      <w:bookmarkStart w:id="56" w:name="_Hlk27831798"/>
      <w:r>
        <w:rPr>
          <w:rFonts w:hint="eastAsia" w:eastAsiaTheme="minorEastAsia"/>
          <w:szCs w:val="22"/>
        </w:rPr>
        <w:t>工作井指用于顶管的</w:t>
      </w:r>
      <w:r>
        <w:rPr>
          <w:rFonts w:eastAsiaTheme="minorEastAsia"/>
          <w:szCs w:val="22"/>
        </w:rPr>
        <w:t>始发</w:t>
      </w:r>
      <w:r>
        <w:rPr>
          <w:rFonts w:hint="eastAsia" w:eastAsiaTheme="minorEastAsia"/>
          <w:szCs w:val="22"/>
        </w:rPr>
        <w:t>与接收的地下作业空间，包括始发井和接收井。</w:t>
      </w:r>
    </w:p>
    <w:p>
      <w:pPr>
        <w:ind w:firstLine="420"/>
        <w:rPr>
          <w:rFonts w:eastAsiaTheme="minorEastAsia"/>
          <w:szCs w:val="22"/>
        </w:rPr>
      </w:pPr>
      <w:r>
        <w:rPr>
          <w:rFonts w:hint="eastAsia" w:eastAsiaTheme="minorEastAsia"/>
          <w:szCs w:val="22"/>
        </w:rPr>
        <w:t>始发井</w:t>
      </w:r>
      <w:r>
        <w:rPr>
          <w:rFonts w:eastAsiaTheme="minorEastAsia"/>
          <w:szCs w:val="22"/>
        </w:rPr>
        <w:t>用于顶管</w:t>
      </w:r>
      <w:r>
        <w:rPr>
          <w:rFonts w:hint="eastAsia" w:eastAsiaTheme="minorEastAsia"/>
          <w:szCs w:val="22"/>
        </w:rPr>
        <w:t>机始发、</w:t>
      </w:r>
      <w:r>
        <w:rPr>
          <w:rFonts w:eastAsiaTheme="minorEastAsia"/>
          <w:szCs w:val="22"/>
        </w:rPr>
        <w:t>设备安装调试、管节拼装及顶进施工</w:t>
      </w:r>
      <w:r>
        <w:rPr>
          <w:rFonts w:hint="eastAsia" w:eastAsiaTheme="minorEastAsia"/>
          <w:szCs w:val="22"/>
        </w:rPr>
        <w:t>。</w:t>
      </w:r>
    </w:p>
    <w:p>
      <w:pPr>
        <w:ind w:firstLine="420"/>
        <w:rPr>
          <w:rFonts w:eastAsiaTheme="minorEastAsia"/>
          <w:szCs w:val="22"/>
        </w:rPr>
      </w:pPr>
      <w:r>
        <w:rPr>
          <w:rFonts w:hint="eastAsia" w:eastAsiaTheme="minorEastAsia"/>
          <w:szCs w:val="22"/>
        </w:rPr>
        <w:t>接收井用于顶管机接收、</w:t>
      </w:r>
      <w:r>
        <w:rPr>
          <w:rFonts w:eastAsiaTheme="minorEastAsia"/>
          <w:szCs w:val="22"/>
        </w:rPr>
        <w:t>设备拆解和吊出</w:t>
      </w:r>
      <w:bookmarkEnd w:id="56"/>
      <w:r>
        <w:rPr>
          <w:rFonts w:eastAsiaTheme="minorEastAsia"/>
          <w:szCs w:val="22"/>
        </w:rPr>
        <w:t>。</w:t>
      </w:r>
    </w:p>
    <w:p>
      <w:pPr>
        <w:rPr>
          <w:b/>
          <w:bCs/>
        </w:rPr>
      </w:pPr>
      <w:r>
        <w:rPr>
          <w:b/>
          <w:bCs/>
        </w:rPr>
        <w:t>2.1.4  大断面矩形顶管    pipe jacking engineering with large rectangular cross section</w:t>
      </w:r>
    </w:p>
    <w:p>
      <w:pPr>
        <w:ind w:firstLine="420"/>
        <w:rPr>
          <w:rFonts w:eastAsiaTheme="minorEastAsia"/>
          <w:szCs w:val="22"/>
        </w:rPr>
      </w:pPr>
      <w:r>
        <w:rPr>
          <w:rFonts w:eastAsiaTheme="minorEastAsia"/>
          <w:szCs w:val="22"/>
        </w:rPr>
        <w:t>横断面面积不小于40m</w:t>
      </w:r>
      <w:r>
        <w:rPr>
          <w:rFonts w:eastAsiaTheme="minorEastAsia"/>
          <w:szCs w:val="22"/>
          <w:vertAlign w:val="superscript"/>
        </w:rPr>
        <w:t>2</w:t>
      </w:r>
      <w:r>
        <w:rPr>
          <w:rFonts w:eastAsiaTheme="minorEastAsia"/>
          <w:szCs w:val="22"/>
        </w:rPr>
        <w:t>的矩形顶管。</w:t>
      </w:r>
    </w:p>
    <w:p>
      <w:pPr>
        <w:rPr>
          <w:rFonts w:eastAsiaTheme="minorEastAsia"/>
          <w:szCs w:val="22"/>
        </w:rPr>
      </w:pPr>
      <w:r>
        <w:rPr>
          <w:rFonts w:eastAsiaTheme="minorEastAsia"/>
          <w:b/>
          <w:szCs w:val="22"/>
        </w:rPr>
        <w:t>2.1.5  长距离矩形顶管    long distance pipe jacking with rectangular cross section</w:t>
      </w:r>
    </w:p>
    <w:p>
      <w:pPr>
        <w:ind w:firstLine="420"/>
        <w:rPr>
          <w:rFonts w:eastAsiaTheme="minorEastAsia"/>
          <w:szCs w:val="22"/>
        </w:rPr>
      </w:pPr>
      <w:r>
        <w:rPr>
          <w:rFonts w:eastAsiaTheme="minorEastAsia"/>
          <w:szCs w:val="22"/>
        </w:rPr>
        <w:t>一次顶进长度大于200m的矩形顶管。</w:t>
      </w:r>
    </w:p>
    <w:p>
      <w:pPr>
        <w:rPr>
          <w:rFonts w:eastAsiaTheme="minorEastAsia"/>
          <w:b/>
          <w:szCs w:val="22"/>
        </w:rPr>
      </w:pPr>
      <w:r>
        <w:rPr>
          <w:rFonts w:eastAsiaTheme="minorEastAsia"/>
          <w:b/>
          <w:szCs w:val="22"/>
        </w:rPr>
        <w:t>2.1.6</w:t>
      </w:r>
      <w:r>
        <w:rPr>
          <w:rFonts w:eastAsiaTheme="minorEastAsia"/>
          <w:szCs w:val="22"/>
        </w:rPr>
        <w:t xml:space="preserve">  </w:t>
      </w:r>
      <w:r>
        <w:rPr>
          <w:rFonts w:eastAsiaTheme="minorEastAsia"/>
          <w:b/>
          <w:szCs w:val="22"/>
        </w:rPr>
        <w:t xml:space="preserve">穿墙洞   </w:t>
      </w:r>
      <w:r>
        <w:rPr>
          <w:rFonts w:eastAsiaTheme="minorEastAsia"/>
          <w:szCs w:val="22"/>
        </w:rPr>
        <w:t xml:space="preserve"> </w:t>
      </w:r>
      <w:r>
        <w:rPr>
          <w:rFonts w:eastAsiaTheme="minorEastAsia"/>
          <w:b/>
          <w:szCs w:val="22"/>
        </w:rPr>
        <w:t xml:space="preserve">portal for pipe jacking </w:t>
      </w:r>
    </w:p>
    <w:p>
      <w:pPr>
        <w:ind w:firstLine="420"/>
        <w:rPr>
          <w:rFonts w:eastAsiaTheme="minorEastAsia"/>
          <w:szCs w:val="22"/>
        </w:rPr>
      </w:pPr>
      <w:r>
        <w:rPr>
          <w:rFonts w:eastAsiaTheme="minorEastAsia"/>
          <w:szCs w:val="22"/>
        </w:rPr>
        <w:t>顶管机进出始发井和接收井的洞门。</w:t>
      </w:r>
    </w:p>
    <w:p>
      <w:pPr>
        <w:rPr>
          <w:rFonts w:eastAsiaTheme="minorEastAsia"/>
          <w:b/>
          <w:szCs w:val="22"/>
        </w:rPr>
      </w:pPr>
      <w:r>
        <w:rPr>
          <w:rFonts w:eastAsiaTheme="minorEastAsia"/>
          <w:b/>
          <w:szCs w:val="22"/>
        </w:rPr>
        <w:t>2.1.7  始发</w:t>
      </w:r>
      <w:r>
        <w:rPr>
          <w:rFonts w:eastAsiaTheme="minorEastAsia"/>
          <w:szCs w:val="22"/>
        </w:rPr>
        <w:t xml:space="preserve">    </w:t>
      </w:r>
      <w:r>
        <w:rPr>
          <w:rFonts w:eastAsiaTheme="minorEastAsia"/>
          <w:b/>
          <w:szCs w:val="22"/>
        </w:rPr>
        <w:t>launching</w:t>
      </w:r>
    </w:p>
    <w:p>
      <w:pPr>
        <w:ind w:firstLine="480" w:firstLineChars="200"/>
        <w:rPr>
          <w:rFonts w:eastAsiaTheme="minorEastAsia"/>
          <w:szCs w:val="22"/>
        </w:rPr>
      </w:pPr>
      <w:r>
        <w:rPr>
          <w:rFonts w:eastAsiaTheme="minorEastAsia"/>
          <w:szCs w:val="22"/>
        </w:rPr>
        <w:t>顶管机由</w:t>
      </w:r>
      <w:r>
        <w:rPr>
          <w:rFonts w:hint="eastAsia" w:eastAsiaTheme="minorEastAsia"/>
          <w:szCs w:val="22"/>
        </w:rPr>
        <w:t>始发</w:t>
      </w:r>
      <w:r>
        <w:rPr>
          <w:rFonts w:eastAsiaTheme="minorEastAsia"/>
          <w:szCs w:val="22"/>
        </w:rPr>
        <w:t>井进入地层开始顶进的过程。</w:t>
      </w:r>
    </w:p>
    <w:p>
      <w:pPr>
        <w:rPr>
          <w:rFonts w:eastAsiaTheme="minorEastAsia"/>
          <w:b/>
          <w:szCs w:val="22"/>
        </w:rPr>
      </w:pPr>
      <w:r>
        <w:rPr>
          <w:rFonts w:eastAsiaTheme="minorEastAsia"/>
          <w:b/>
          <w:szCs w:val="22"/>
        </w:rPr>
        <w:t xml:space="preserve">2.1.8  接收 </w:t>
      </w:r>
      <w:r>
        <w:rPr>
          <w:rFonts w:eastAsiaTheme="minorEastAsia"/>
          <w:szCs w:val="22"/>
        </w:rPr>
        <w:t xml:space="preserve">   </w:t>
      </w:r>
      <w:r>
        <w:rPr>
          <w:rFonts w:eastAsiaTheme="minorEastAsia"/>
          <w:b/>
          <w:szCs w:val="22"/>
        </w:rPr>
        <w:t>receiving</w:t>
      </w:r>
    </w:p>
    <w:p>
      <w:pPr>
        <w:ind w:firstLine="480" w:firstLineChars="200"/>
        <w:rPr>
          <w:rFonts w:eastAsiaTheme="minorEastAsia"/>
          <w:szCs w:val="22"/>
        </w:rPr>
      </w:pPr>
      <w:r>
        <w:rPr>
          <w:rFonts w:eastAsiaTheme="minorEastAsia"/>
          <w:szCs w:val="22"/>
        </w:rPr>
        <w:t>顶管机由地层进入接收井完成顶进的过程。</w:t>
      </w:r>
    </w:p>
    <w:p>
      <w:pPr>
        <w:tabs>
          <w:tab w:val="left" w:pos="720"/>
        </w:tabs>
        <w:autoSpaceDE w:val="0"/>
        <w:autoSpaceDN w:val="0"/>
        <w:adjustRightInd w:val="0"/>
        <w:ind w:right="18"/>
        <w:jc w:val="left"/>
        <w:rPr>
          <w:rFonts w:eastAsiaTheme="minorEastAsia"/>
          <w:szCs w:val="22"/>
        </w:rPr>
      </w:pPr>
      <w:r>
        <w:rPr>
          <w:rFonts w:eastAsiaTheme="minorEastAsia"/>
          <w:b/>
          <w:szCs w:val="22"/>
        </w:rPr>
        <w:t>2.1.9  反力墙    reacting-force wall</w:t>
      </w:r>
    </w:p>
    <w:p>
      <w:pPr>
        <w:ind w:firstLine="480" w:firstLineChars="200"/>
        <w:rPr>
          <w:rFonts w:eastAsiaTheme="minorEastAsia"/>
          <w:szCs w:val="22"/>
        </w:rPr>
      </w:pPr>
      <w:r>
        <w:rPr>
          <w:rFonts w:hint="eastAsia" w:eastAsiaTheme="minorEastAsia"/>
          <w:szCs w:val="22"/>
        </w:rPr>
        <w:t>始发</w:t>
      </w:r>
      <w:r>
        <w:rPr>
          <w:rFonts w:eastAsiaTheme="minorEastAsia"/>
          <w:szCs w:val="22"/>
        </w:rPr>
        <w:t>井内承受顶推反力的结构墙体。</w:t>
      </w:r>
    </w:p>
    <w:p>
      <w:pPr>
        <w:rPr>
          <w:rFonts w:eastAsiaTheme="minorEastAsia"/>
          <w:b/>
          <w:szCs w:val="22"/>
        </w:rPr>
      </w:pPr>
      <w:r>
        <w:rPr>
          <w:rFonts w:eastAsiaTheme="minorEastAsia"/>
          <w:b/>
          <w:szCs w:val="22"/>
        </w:rPr>
        <w:t>2.1.10  后靠    jacking base</w:t>
      </w:r>
    </w:p>
    <w:p>
      <w:pPr>
        <w:ind w:firstLine="480" w:firstLineChars="200"/>
      </w:pPr>
      <w:r>
        <w:t>安装在顶推液压缸与反力墙之间，使反力均匀的施加在反力墙上的装置。</w:t>
      </w:r>
    </w:p>
    <w:p>
      <w:pPr>
        <w:rPr>
          <w:rFonts w:eastAsiaTheme="minorEastAsia"/>
          <w:b/>
          <w:szCs w:val="22"/>
        </w:rPr>
      </w:pPr>
      <w:r>
        <w:rPr>
          <w:rFonts w:eastAsiaTheme="minorEastAsia"/>
          <w:b/>
          <w:szCs w:val="22"/>
        </w:rPr>
        <w:t>2.1.11  中继间    intermediate jacking station</w:t>
      </w:r>
    </w:p>
    <w:p>
      <w:pPr>
        <w:ind w:firstLine="420"/>
        <w:rPr>
          <w:rFonts w:eastAsiaTheme="minorEastAsia"/>
          <w:szCs w:val="22"/>
        </w:rPr>
      </w:pPr>
      <w:r>
        <w:rPr>
          <w:rFonts w:eastAsiaTheme="minorEastAsia"/>
          <w:szCs w:val="22"/>
        </w:rPr>
        <w:t>顶管机顶推系统能力不足时，随管节一同前进的接力顶进装置。</w:t>
      </w:r>
    </w:p>
    <w:p>
      <w:pPr>
        <w:rPr>
          <w:rFonts w:eastAsiaTheme="minorEastAsia"/>
          <w:b/>
          <w:szCs w:val="22"/>
        </w:rPr>
      </w:pPr>
      <w:r>
        <w:rPr>
          <w:rFonts w:eastAsiaTheme="minorEastAsia"/>
          <w:b/>
          <w:szCs w:val="22"/>
        </w:rPr>
        <w:t>2.1.12  触变泥浆    thixotropic slurry</w:t>
      </w:r>
    </w:p>
    <w:p>
      <w:pPr>
        <w:ind w:firstLine="480" w:firstLineChars="200"/>
        <w:rPr>
          <w:rFonts w:eastAsiaTheme="minorEastAsia"/>
          <w:szCs w:val="22"/>
        </w:rPr>
      </w:pPr>
      <w:r>
        <w:rPr>
          <w:rFonts w:eastAsiaTheme="minorEastAsia"/>
          <w:szCs w:val="22"/>
        </w:rPr>
        <w:t>填充</w:t>
      </w:r>
      <w:r>
        <w:rPr>
          <w:rFonts w:hint="eastAsia" w:eastAsiaTheme="minorEastAsia"/>
          <w:szCs w:val="22"/>
        </w:rPr>
        <w:t>在管节</w:t>
      </w:r>
      <w:r>
        <w:rPr>
          <w:rFonts w:eastAsiaTheme="minorEastAsia"/>
          <w:szCs w:val="22"/>
        </w:rPr>
        <w:t>外壁与土体之间</w:t>
      </w:r>
      <w:r>
        <w:rPr>
          <w:rFonts w:hint="eastAsia" w:eastAsiaTheme="minorEastAsia"/>
          <w:szCs w:val="22"/>
        </w:rPr>
        <w:t>，</w:t>
      </w:r>
      <w:r>
        <w:rPr>
          <w:rFonts w:eastAsiaTheme="minorEastAsia"/>
          <w:szCs w:val="22"/>
        </w:rPr>
        <w:t>用于</w:t>
      </w:r>
      <w:r>
        <w:rPr>
          <w:rFonts w:hint="eastAsia" w:eastAsiaTheme="minorEastAsia"/>
          <w:szCs w:val="22"/>
        </w:rPr>
        <w:t>顶进</w:t>
      </w:r>
      <w:r>
        <w:rPr>
          <w:rFonts w:eastAsiaTheme="minorEastAsia"/>
          <w:szCs w:val="22"/>
        </w:rPr>
        <w:t>减阻的泥浆。</w:t>
      </w:r>
    </w:p>
    <w:p>
      <w:pPr>
        <w:rPr>
          <w:rFonts w:eastAsiaTheme="minorEastAsia"/>
          <w:b/>
          <w:szCs w:val="22"/>
        </w:rPr>
      </w:pPr>
      <w:r>
        <w:rPr>
          <w:rFonts w:eastAsiaTheme="minorEastAsia"/>
          <w:b/>
          <w:szCs w:val="22"/>
        </w:rPr>
        <w:t>2.1.13  管节    segment</w:t>
      </w:r>
    </w:p>
    <w:p>
      <w:pPr>
        <w:ind w:firstLine="480" w:firstLineChars="200"/>
        <w:rPr>
          <w:rFonts w:eastAsiaTheme="minorEastAsia"/>
          <w:szCs w:val="22"/>
        </w:rPr>
      </w:pPr>
      <w:r>
        <w:rPr>
          <w:rFonts w:eastAsiaTheme="minorEastAsia"/>
          <w:szCs w:val="22"/>
        </w:rPr>
        <w:t>分节浇筑或拼装成型的用于矩形顶管顶进的结构单元。</w:t>
      </w:r>
    </w:p>
    <w:p>
      <w:pPr>
        <w:pStyle w:val="3"/>
        <w:rPr>
          <w:rFonts w:eastAsia="黑体" w:cs="Times New Roman"/>
          <w:b w:val="0"/>
        </w:rPr>
      </w:pPr>
      <w:bookmarkStart w:id="57" w:name="_Toc5546"/>
      <w:bookmarkStart w:id="58" w:name="_Toc18432"/>
      <w:bookmarkStart w:id="59" w:name="_Toc5662"/>
      <w:bookmarkStart w:id="60" w:name="_Toc27780"/>
      <w:bookmarkStart w:id="61" w:name="_Toc4789"/>
      <w:bookmarkStart w:id="62" w:name="_Toc525221299"/>
      <w:bookmarkStart w:id="63" w:name="_Toc60173773"/>
      <w:bookmarkStart w:id="64" w:name="_Toc12507"/>
      <w:bookmarkStart w:id="65" w:name="_Toc525220316"/>
      <w:bookmarkStart w:id="66" w:name="_Toc47692144"/>
      <w:bookmarkStart w:id="67" w:name="_Toc525219682"/>
      <w:bookmarkStart w:id="68" w:name="_Toc18057024"/>
      <w:bookmarkStart w:id="69" w:name="_Toc60172886"/>
      <w:bookmarkStart w:id="70" w:name="_Toc9847"/>
      <w:r>
        <w:rPr>
          <w:rFonts w:eastAsia="黑体" w:cs="Times New Roman"/>
        </w:rPr>
        <w:t>2.2</w:t>
      </w:r>
      <w:r>
        <w:rPr>
          <w:rFonts w:eastAsia="黑体" w:cs="Times New Roman"/>
          <w:b w:val="0"/>
        </w:rPr>
        <w:t xml:space="preserve">  符号</w:t>
      </w:r>
      <w:bookmarkEnd w:id="57"/>
      <w:bookmarkEnd w:id="58"/>
      <w:bookmarkEnd w:id="59"/>
      <w:bookmarkEnd w:id="60"/>
      <w:bookmarkEnd w:id="61"/>
      <w:bookmarkEnd w:id="62"/>
      <w:bookmarkEnd w:id="63"/>
      <w:bookmarkEnd w:id="64"/>
      <w:bookmarkEnd w:id="65"/>
      <w:bookmarkEnd w:id="66"/>
      <w:bookmarkEnd w:id="67"/>
      <w:bookmarkEnd w:id="68"/>
      <w:bookmarkEnd w:id="69"/>
      <w:bookmarkEnd w:id="70"/>
    </w:p>
    <w:p>
      <w:pPr>
        <w:rPr>
          <w:b/>
        </w:rPr>
      </w:pPr>
      <w:r>
        <w:rPr>
          <w:b/>
        </w:rPr>
        <w:t>2.2.</w:t>
      </w:r>
      <w:r>
        <w:rPr>
          <w:rFonts w:hint="eastAsia"/>
          <w:b/>
        </w:rPr>
        <w:t>1</w:t>
      </w:r>
      <w:r>
        <w:rPr>
          <w:b/>
        </w:rPr>
        <w:t xml:space="preserve">  几何参数：</w:t>
      </w:r>
    </w:p>
    <w:p>
      <w:pPr>
        <w:ind w:firstLine="480" w:firstLineChars="200"/>
        <w:rPr>
          <w:rFonts w:eastAsiaTheme="minorEastAsia"/>
        </w:rPr>
      </w:pPr>
      <w:r>
        <w:rPr>
          <w:position w:val="-14"/>
        </w:rPr>
        <w:object>
          <v:shape id="_x0000_i1025" o:spt="75" type="#_x0000_t75" style="height:19.5pt;width:14.2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lang w:bidi="ar"/>
        </w:rPr>
        <w:t>——</w:t>
      </w:r>
      <w:r>
        <w:rPr>
          <w:rFonts w:eastAsiaTheme="minorEastAsia"/>
        </w:rPr>
        <w:t>管节的有效传力面积；</w:t>
      </w:r>
    </w:p>
    <w:p>
      <w:pPr>
        <w:ind w:firstLine="571" w:firstLineChars="238"/>
      </w:pPr>
      <w:r>
        <w:rPr>
          <w:i/>
        </w:rPr>
        <w:t>b</w:t>
      </w:r>
      <w:r>
        <w:rPr>
          <w:iCs/>
          <w:vertAlign w:val="subscript"/>
        </w:rPr>
        <w:t>2</w:t>
      </w:r>
      <w:r>
        <w:t>——施工操作空间；</w:t>
      </w:r>
    </w:p>
    <w:p>
      <w:pPr>
        <w:ind w:firstLine="528" w:firstLineChars="220"/>
      </w:pPr>
      <w:r>
        <w:rPr>
          <w:position w:val="-4"/>
        </w:rPr>
        <w:object>
          <v:shape id="_x0000_i1026" o:spt="75" type="#_x0000_t75" style="height:13.5pt;width:12pt;" o:ole="t" filled="f" o:preferrelative="t" stroked="f" coordsize="21600,21600">
            <v:path/>
            <v:fill on="f" focussize="0,0"/>
            <v:stroke on="f" joinstyle="miter"/>
            <v:imagedata r:id="rId12" o:title=""/>
            <o:lock v:ext="edit" aspectratio="t"/>
            <w10:wrap type="none"/>
            <w10:anchorlock/>
          </v:shape>
          <o:OLEObject Type="Embed" ProgID="Equation.DSMT4" ShapeID="_x0000_i1026" DrawAspect="Content" ObjectID="_1468075726" r:id="rId11">
            <o:LockedField>false</o:LockedField>
          </o:OLEObject>
        </w:object>
      </w:r>
      <w:r>
        <w:t>——始发井的最小净宽度；</w:t>
      </w:r>
    </w:p>
    <w:p>
      <w:pPr>
        <w:ind w:firstLine="528" w:firstLineChars="220"/>
        <w:rPr>
          <w:rFonts w:eastAsiaTheme="minorEastAsia"/>
          <w:sz w:val="21"/>
        </w:rPr>
      </w:pPr>
      <w:r>
        <w:rPr>
          <w:position w:val="-12"/>
        </w:rPr>
        <w:object>
          <v:shape id="_x0000_i1027" o:spt="75" type="#_x0000_t75" style="height:19.5pt;width:12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lang w:bidi="ar"/>
        </w:rPr>
        <w:t>——</w:t>
      </w:r>
      <w:r>
        <w:t>矩形管节外边宽；</w:t>
      </w:r>
    </w:p>
    <w:p>
      <w:pPr>
        <w:ind w:firstLine="405" w:firstLineChars="169"/>
      </w:pPr>
      <w:r>
        <w:rPr>
          <w:position w:val="-12"/>
        </w:rPr>
        <w:object>
          <v:shape id="_x0000_i1028" o:spt="75" type="#_x0000_t75" style="height:19.5pt;width:19.5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r>
        <w:t>——始发井的穿墙洞宽度；</w:t>
      </w:r>
    </w:p>
    <w:p>
      <w:pPr>
        <w:ind w:firstLine="429" w:firstLineChars="179"/>
        <w:rPr>
          <w:rFonts w:eastAsiaTheme="minorEastAsia"/>
        </w:rPr>
      </w:pPr>
      <w:r>
        <w:rPr>
          <w:position w:val="-16"/>
        </w:rPr>
        <w:object>
          <v:shape id="_x0000_i1029" o:spt="75" type="#_x0000_t75" style="height:20.25pt;width:15.7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eastAsiaTheme="minorEastAsia"/>
        </w:rPr>
        <w:t>——接收井的穿墙洞宽度；</w:t>
      </w:r>
    </w:p>
    <w:p>
      <w:pPr>
        <w:ind w:firstLine="429" w:firstLineChars="179"/>
      </w:pPr>
      <w:r>
        <w:rPr>
          <w:position w:val="-12"/>
        </w:rPr>
        <w:object>
          <v:shape id="_x0000_i1030" o:spt="75" type="#_x0000_t75" style="height:19.5pt;width:13.5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t>——卸力拱的高度；</w:t>
      </w:r>
    </w:p>
    <w:p>
      <w:pPr>
        <w:ind w:firstLine="375" w:firstLineChars="179"/>
        <w:rPr>
          <w:rFonts w:eastAsiaTheme="minorEastAsia"/>
          <w:bCs/>
          <w:sz w:val="21"/>
          <w:szCs w:val="22"/>
        </w:rPr>
      </w:pPr>
      <w:r>
        <w:rPr>
          <w:rFonts w:eastAsiaTheme="minorEastAsia"/>
          <w:bCs/>
          <w:position w:val="-12"/>
          <w:sz w:val="21"/>
          <w:szCs w:val="22"/>
        </w:rPr>
        <w:object>
          <v:shape id="_x0000_i1031"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t>——总顶力距刃脚底的距离</w:t>
      </w:r>
      <w:r>
        <w:rPr>
          <w:rFonts w:eastAsiaTheme="minorEastAsia"/>
          <w:bCs/>
          <w:sz w:val="21"/>
          <w:szCs w:val="22"/>
        </w:rPr>
        <w:t>；</w:t>
      </w:r>
    </w:p>
    <w:p>
      <w:pPr>
        <w:ind w:firstLine="429" w:firstLineChars="179"/>
        <w:rPr>
          <w:rFonts w:eastAsiaTheme="minorEastAsia"/>
          <w:bCs/>
          <w:sz w:val="21"/>
          <w:szCs w:val="22"/>
        </w:rPr>
      </w:pPr>
      <w:r>
        <w:rPr>
          <w:position w:val="-14"/>
        </w:rPr>
        <w:object>
          <v:shape id="_x0000_i1032"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t>——被动土压力距刃脚底的距离</w:t>
      </w:r>
      <w:r>
        <w:rPr>
          <w:rFonts w:eastAsiaTheme="minorEastAsia"/>
          <w:bCs/>
          <w:sz w:val="21"/>
          <w:szCs w:val="22"/>
        </w:rPr>
        <w:t xml:space="preserve">； </w:t>
      </w:r>
    </w:p>
    <w:p>
      <w:pPr>
        <w:ind w:firstLine="429" w:firstLineChars="179"/>
      </w:pPr>
      <w:r>
        <w:rPr>
          <w:position w:val="-4"/>
        </w:rPr>
        <w:object>
          <v:shape id="_x0000_i1033" o:spt="75" type="#_x0000_t75" style="height:12pt;width:14.2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t>——始发井最小深度；</w:t>
      </w:r>
    </w:p>
    <w:p>
      <w:pPr>
        <w:ind w:firstLine="384" w:firstLineChars="160"/>
        <w:rPr>
          <w:kern w:val="24"/>
        </w:rPr>
      </w:pPr>
      <w:r>
        <w:rPr>
          <w:position w:val="-12"/>
        </w:rPr>
        <w:object>
          <v:shape id="_x0000_i1034" o:spt="75" type="#_x0000_t75" style="height:15pt;width:15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r>
        <w:rPr>
          <w:lang w:bidi="ar"/>
        </w:rPr>
        <w:t>——</w:t>
      </w:r>
      <w:r>
        <w:t>管顶至原状土地面覆土层厚度；</w:t>
      </w:r>
    </w:p>
    <w:p>
      <w:pPr>
        <w:ind w:firstLine="405" w:firstLineChars="169"/>
        <w:rPr>
          <w:rFonts w:eastAsiaTheme="minorEastAsia"/>
          <w:sz w:val="21"/>
        </w:rPr>
      </w:pPr>
      <w:r>
        <w:rPr>
          <w:position w:val="-12"/>
        </w:rPr>
        <w:object>
          <v:shape id="_x0000_i1035" o:spt="75" type="#_x0000_t75" style="height:21.75pt;width:15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lang w:bidi="ar"/>
        </w:rPr>
        <w:t>——</w:t>
      </w:r>
      <w:r>
        <w:t>矩形管节外边高；</w:t>
      </w:r>
    </w:p>
    <w:p>
      <w:pPr>
        <w:ind w:firstLine="480" w:firstLineChars="200"/>
      </w:pPr>
      <w:r>
        <w:rPr>
          <w:i/>
        </w:rPr>
        <w:t>h</w:t>
      </w:r>
      <w:r>
        <w:rPr>
          <w:iCs/>
          <w:vertAlign w:val="subscript"/>
        </w:rPr>
        <w:t>1</w:t>
      </w:r>
      <w:r>
        <w:t>——管节底下的操作空间；</w:t>
      </w:r>
    </w:p>
    <w:p>
      <w:pPr>
        <w:ind w:firstLine="288" w:firstLineChars="120"/>
      </w:pPr>
      <w:r>
        <w:rPr>
          <w:position w:val="-12"/>
        </w:rPr>
        <w:object>
          <v:shape id="_x0000_i1036" o:spt="75" type="#_x0000_t75" style="height:19.5pt;width:21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t>——始发井的穿墙洞高度；</w:t>
      </w:r>
    </w:p>
    <w:p>
      <w:pPr>
        <w:ind w:firstLine="333" w:firstLineChars="139"/>
        <w:rPr>
          <w:rFonts w:eastAsiaTheme="minorEastAsia"/>
        </w:rPr>
      </w:pPr>
      <w:r>
        <w:rPr>
          <w:position w:val="-16"/>
        </w:rPr>
        <w:object>
          <v:shape id="_x0000_i1037" o:spt="75" type="#_x0000_t75" style="height:20.25pt;width:20.25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rFonts w:eastAsiaTheme="minorEastAsia"/>
        </w:rPr>
        <w:t>——接收井的穿墙洞高度；</w:t>
      </w:r>
    </w:p>
    <w:p>
      <w:pPr>
        <w:ind w:firstLine="333" w:firstLineChars="139"/>
      </w:pPr>
      <w:r>
        <w:rPr>
          <w:position w:val="-12"/>
        </w:rPr>
        <w:object>
          <v:shape id="_x0000_i1038" o:spt="75" type="#_x0000_t75" style="height:19.5pt;width:20.25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t>——工作面或卸力拱以上的水柱高度；</w:t>
      </w:r>
    </w:p>
    <w:p>
      <w:pPr>
        <w:ind w:firstLine="571" w:firstLineChars="238"/>
      </w:pPr>
      <w:r>
        <w:rPr>
          <w:i/>
        </w:rPr>
        <w:t>L</w:t>
      </w:r>
      <w:r>
        <w:t>——始发井最小净长度；</w:t>
      </w:r>
    </w:p>
    <w:p>
      <w:pPr>
        <w:ind w:firstLine="528" w:firstLineChars="220"/>
      </w:pPr>
      <w:r>
        <w:rPr>
          <w:i/>
        </w:rPr>
        <w:t>L</w:t>
      </w:r>
      <w:r>
        <w:rPr>
          <w:vertAlign w:val="subscript"/>
        </w:rPr>
        <w:t>1</w:t>
      </w:r>
      <w:r>
        <w:rPr>
          <w:i/>
        </w:rPr>
        <w:t>——</w:t>
      </w:r>
      <w:r>
        <w:t>顶管机长度；</w:t>
      </w:r>
    </w:p>
    <w:p>
      <w:pPr>
        <w:ind w:firstLine="480" w:firstLineChars="200"/>
      </w:pPr>
      <w:r>
        <w:rPr>
          <w:i/>
        </w:rPr>
        <w:t>L</w:t>
      </w:r>
      <w:r>
        <w:rPr>
          <w:vertAlign w:val="subscript"/>
        </w:rPr>
        <w:t>2</w:t>
      </w:r>
      <w:r>
        <w:t>——管节安装长度；</w:t>
      </w:r>
    </w:p>
    <w:p>
      <w:pPr>
        <w:ind w:firstLine="480" w:firstLineChars="200"/>
      </w:pPr>
      <w:r>
        <w:rPr>
          <w:i/>
        </w:rPr>
        <w:t>L</w:t>
      </w:r>
      <w:r>
        <w:rPr>
          <w:vertAlign w:val="subscript"/>
        </w:rPr>
        <w:t>3</w:t>
      </w:r>
      <w:r>
        <w:t>——液压缸长度；</w:t>
      </w:r>
    </w:p>
    <w:p>
      <w:pPr>
        <w:ind w:firstLine="480" w:firstLineChars="200"/>
      </w:pPr>
      <w:r>
        <w:rPr>
          <w:i/>
        </w:rPr>
        <w:t>L</w:t>
      </w:r>
      <w:r>
        <w:rPr>
          <w:vertAlign w:val="subscript"/>
        </w:rPr>
        <w:t>4</w:t>
      </w:r>
      <w:r>
        <w:t>——后座及扩散段厚度；</w:t>
      </w:r>
    </w:p>
    <w:p>
      <w:pPr>
        <w:ind w:firstLine="429" w:firstLineChars="179"/>
        <w:rPr>
          <w:rFonts w:eastAsiaTheme="minorEastAsia"/>
        </w:rPr>
      </w:pPr>
      <w:r>
        <w:rPr>
          <w:position w:val="-12"/>
        </w:rPr>
        <w:object>
          <v:shape id="_x0000_i1039"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r>
        <w:rPr>
          <w:lang w:bidi="ar"/>
        </w:rPr>
        <w:t>——</w:t>
      </w:r>
      <w:r>
        <w:rPr>
          <w:rFonts w:eastAsiaTheme="minorEastAsia"/>
        </w:rPr>
        <w:t>矩形顶管顶进长度</w:t>
      </w:r>
      <w:r>
        <w:rPr>
          <w:kern w:val="24"/>
        </w:rPr>
        <w:t>；</w:t>
      </w:r>
    </w:p>
    <w:p>
      <w:pPr>
        <w:ind w:firstLine="451" w:firstLineChars="188"/>
      </w:pPr>
      <w:r>
        <w:rPr>
          <w:i/>
          <w:iCs/>
        </w:rPr>
        <w:t>L</w:t>
      </w:r>
      <w:r>
        <w:rPr>
          <w:vertAlign w:val="subscript"/>
        </w:rPr>
        <w:t>m</w:t>
      </w:r>
      <w:r>
        <w:t>——补浆孔间距；</w:t>
      </w:r>
    </w:p>
    <w:p>
      <w:pPr>
        <w:ind w:firstLine="451" w:firstLineChars="188"/>
        <w:textAlignment w:val="center"/>
      </w:pPr>
      <w:r>
        <w:object>
          <v:shape id="_x0000_i1040" o:spt="75" type="#_x0000_t75" style="height:12pt;width:12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t>——顶管外轮廓周长；</w:t>
      </w:r>
    </w:p>
    <w:p>
      <w:pPr>
        <w:ind w:firstLine="528" w:firstLineChars="220"/>
      </w:pPr>
      <w:r>
        <w:t>S——中继间间距；</w:t>
      </w:r>
    </w:p>
    <w:p>
      <w:pPr>
        <w:ind w:firstLine="451" w:firstLineChars="188"/>
      </w:pPr>
      <w:r>
        <w:rPr>
          <w:i/>
        </w:rPr>
        <w:t>S</w:t>
      </w:r>
      <w:r>
        <w:rPr>
          <w:vertAlign w:val="subscript"/>
        </w:rPr>
        <w:t>1</w:t>
      </w:r>
      <w:r>
        <w:t>——顶入管节留在导轨上的最小长度；</w:t>
      </w:r>
    </w:p>
    <w:p>
      <w:pPr>
        <w:ind w:firstLine="451" w:firstLineChars="188"/>
      </w:pPr>
      <w:r>
        <w:rPr>
          <w:i/>
        </w:rPr>
        <w:t>S</w:t>
      </w:r>
      <w:r>
        <w:rPr>
          <w:vertAlign w:val="subscript"/>
        </w:rPr>
        <w:t>2</w:t>
      </w:r>
      <w:r>
        <w:t>——顶铁厚度；</w:t>
      </w:r>
    </w:p>
    <w:p>
      <w:pPr>
        <w:ind w:firstLine="451" w:firstLineChars="188"/>
      </w:pPr>
      <w:r>
        <w:rPr>
          <w:i/>
        </w:rPr>
        <w:t>S</w:t>
      </w:r>
      <w:r>
        <w:rPr>
          <w:vertAlign w:val="subscript"/>
        </w:rPr>
        <w:t>3</w:t>
      </w:r>
      <w:r>
        <w:t>——顶进管节</w:t>
      </w:r>
      <w:r>
        <w:rPr>
          <w:rFonts w:hint="eastAsia"/>
        </w:rPr>
        <w:t>液压</w:t>
      </w:r>
      <w:r>
        <w:t>缸回缩及便于安装管节所留附加间隙。</w:t>
      </w:r>
    </w:p>
    <w:p>
      <w:pPr>
        <w:rPr>
          <w:b/>
          <w:bCs/>
        </w:rPr>
      </w:pPr>
      <w:r>
        <w:rPr>
          <w:b/>
          <w:bCs/>
        </w:rPr>
        <w:t>2.2.</w:t>
      </w:r>
      <w:r>
        <w:rPr>
          <w:rFonts w:hint="eastAsia"/>
          <w:b/>
          <w:bCs/>
        </w:rPr>
        <w:t>2</w:t>
      </w:r>
      <w:r>
        <w:rPr>
          <w:b/>
          <w:bCs/>
        </w:rPr>
        <w:t xml:space="preserve">  作用和作用效应：</w:t>
      </w:r>
    </w:p>
    <w:p>
      <w:pPr>
        <w:ind w:firstLine="480" w:firstLineChars="200"/>
        <w:textAlignment w:val="center"/>
        <w:rPr>
          <w:rFonts w:eastAsiaTheme="minorEastAsia"/>
          <w:bCs/>
          <w:szCs w:val="28"/>
        </w:rPr>
      </w:pPr>
      <w:r>
        <w:rPr>
          <w:position w:val="-14"/>
        </w:rPr>
        <w:object>
          <v:shape id="_x0000_i1041" o:spt="75" type="#_x0000_t75" style="height:18.75pt;width:23.25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r>
        <w:t>——</w:t>
      </w:r>
      <w:r>
        <w:rPr>
          <w:rFonts w:eastAsiaTheme="minorEastAsia"/>
          <w:bCs/>
          <w:szCs w:val="28"/>
        </w:rPr>
        <w:t>始发井前壁上主动土压力合力标准值；</w:t>
      </w:r>
    </w:p>
    <w:p>
      <w:pPr>
        <w:ind w:firstLine="600" w:firstLineChars="250"/>
        <w:rPr>
          <w:rFonts w:eastAsiaTheme="minorEastAsia"/>
          <w:bCs/>
          <w:szCs w:val="28"/>
        </w:rPr>
      </w:pPr>
      <w:r>
        <w:rPr>
          <w:rFonts w:eastAsiaTheme="minorEastAsia"/>
          <w:bCs/>
          <w:position w:val="-14"/>
          <w:szCs w:val="28"/>
        </w:rPr>
        <w:object>
          <v:shape id="_x0000_i1042" o:spt="75" type="#_x0000_t75" style="height:18.75pt;width:17.25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2" r:id="rId43">
            <o:LockedField>false</o:LockedField>
          </o:OLEObject>
        </w:object>
      </w:r>
      <w:r>
        <w:rPr>
          <w:rFonts w:eastAsiaTheme="minorEastAsia"/>
          <w:bCs/>
          <w:szCs w:val="28"/>
        </w:rPr>
        <w:t>——</w:t>
      </w:r>
      <w:r>
        <w:t>始发井后壁上被动土压力合力标准值；</w:t>
      </w:r>
    </w:p>
    <w:p>
      <w:pPr>
        <w:ind w:firstLine="720" w:firstLineChars="300"/>
      </w:pPr>
      <w:r>
        <w:rPr>
          <w:position w:val="-10"/>
        </w:rPr>
        <w:object>
          <v:shape id="_x0000_i1043" o:spt="75" type="#_x0000_t75" style="height:15pt;width:12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r>
        <w:rPr>
          <w:lang w:bidi="ar"/>
        </w:rPr>
        <w:t>——</w:t>
      </w:r>
      <w:r>
        <w:t>管节与土体接触面的摩阻力；</w:t>
      </w:r>
    </w:p>
    <w:p>
      <w:pPr>
        <w:ind w:firstLine="621" w:firstLineChars="259"/>
        <w:textAlignment w:val="center"/>
      </w:pPr>
      <w:r>
        <w:rPr>
          <w:position w:val="-12"/>
        </w:rPr>
        <w:object>
          <v:shape id="_x0000_i1044" o:spt="75" type="#_x0000_t75" style="height:19.5pt;width:18.75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r>
        <w:t>——管节允许顶力设计值；</w:t>
      </w:r>
    </w:p>
    <w:p>
      <w:pPr>
        <w:ind w:firstLine="696" w:firstLineChars="290"/>
        <w:textAlignment w:val="center"/>
      </w:pPr>
      <w:r>
        <w:object>
          <v:shape id="_x0000_i1045" o:spt="75" type="#_x0000_t75" style="height:19.5pt;width:14.25pt;" o:ole="t" filled="f" o:preferrelative="t" stroked="f" coordsize="21600,21600">
            <v:path/>
            <v:fill on="f" focussize="0,0"/>
            <v:stroke on="f" joinstyle="miter"/>
            <v:imagedata r:id="rId50" o:title=""/>
            <o:lock v:ext="edit" aspectratio="t"/>
            <w10:wrap type="none"/>
            <w10:anchorlock/>
          </v:shape>
          <o:OLEObject Type="Embed" ProgID="Equation.3" ShapeID="_x0000_i1045" DrawAspect="Content" ObjectID="_1468075745" r:id="rId49">
            <o:LockedField>false</o:LockedField>
          </o:OLEObject>
        </w:object>
      </w:r>
      <w:r>
        <w:t>——矩形管节在某点处所受侧向土压力标准值；</w:t>
      </w:r>
    </w:p>
    <w:p>
      <w:pPr>
        <w:ind w:firstLine="696" w:firstLineChars="290"/>
        <w:jc w:val="left"/>
      </w:pPr>
      <w:r>
        <w:rPr>
          <w:position w:val="-12"/>
        </w:rPr>
        <w:object>
          <v:shape id="_x0000_i1046" o:spt="75" type="#_x0000_t75" style="height:16.5pt;width:13.5pt;" o:ole="t" filled="f" o:preferrelative="t" stroked="f" coordsize="21600,21600">
            <v:path/>
            <v:fill on="f" focussize="0,0"/>
            <v:stroke on="f" joinstyle="miter"/>
            <v:imagedata r:id="rId52" o:title=""/>
            <o:lock v:ext="edit" aspectratio="t"/>
            <w10:wrap type="none"/>
            <w10:anchorlock/>
          </v:shape>
          <o:OLEObject Type="Embed" ProgID="Equation.DSMT4" ShapeID="_x0000_i1046" DrawAspect="Content" ObjectID="_1468075746" r:id="rId51">
            <o:LockedField>false</o:LockedField>
          </o:OLEObject>
        </w:object>
      </w:r>
      <w:r>
        <w:rPr>
          <w:lang w:bidi="ar"/>
        </w:rPr>
        <w:t>——</w:t>
      </w:r>
      <w:r>
        <w:t>矩形顶管总摩阻力；</w:t>
      </w:r>
    </w:p>
    <w:p>
      <w:pPr>
        <w:ind w:firstLine="669" w:firstLineChars="279"/>
        <w:textAlignment w:val="center"/>
      </w:pPr>
      <w:r>
        <w:object>
          <v:shape id="_x0000_i1047" o:spt="75" type="#_x0000_t75" style="height:16.5pt;width:19.5pt;" o:ole="t" filled="f" o:preferrelative="t" stroked="f" coordsize="21600,21600">
            <v:path/>
            <v:fill on="f" focussize="0,0"/>
            <v:stroke on="f" joinstyle="miter"/>
            <v:imagedata r:id="rId54" o:title=""/>
            <o:lock v:ext="edit" aspectratio="t"/>
            <w10:wrap type="none"/>
            <w10:anchorlock/>
          </v:shape>
          <o:OLEObject Type="Embed" ProgID="Equation.3" ShapeID="_x0000_i1047" DrawAspect="Content" ObjectID="_1468075747" r:id="rId53">
            <o:LockedField>false</o:LockedField>
          </o:OLEObject>
        </w:object>
      </w:r>
      <w:r>
        <w:t>——第i个永久作用的标准值；</w:t>
      </w:r>
    </w:p>
    <w:p>
      <w:pPr>
        <w:ind w:firstLine="768" w:firstLineChars="320"/>
      </w:pPr>
      <w:r>
        <w:rPr>
          <w:position w:val="-4"/>
        </w:rPr>
        <w:object>
          <v:shape id="_x0000_i1048" o:spt="75" type="#_x0000_t75" style="height:13.5pt;width:13.5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r>
        <w:t>——控制土压力；</w:t>
      </w:r>
    </w:p>
    <w:p>
      <w:pPr>
        <w:ind w:firstLine="768" w:firstLineChars="320"/>
      </w:pPr>
      <w:r>
        <w:rPr>
          <w:position w:val="-12"/>
        </w:rPr>
        <w:object>
          <v:shape id="_x0000_i1049" o:spt="75" type="#_x0000_t75" style="height:19.5pt;width:14.25pt;" o:ole="t" filled="f" o:preferrelative="t" stroked="f" coordsize="21600,21600">
            <v:path/>
            <v:fill on="f" focussize="0,0"/>
            <v:stroke on="f" joinstyle="miter"/>
            <v:imagedata r:id="rId58" o:title=""/>
            <o:lock v:ext="edit" aspectratio="t"/>
            <w10:wrap type="none"/>
            <w10:anchorlock/>
          </v:shape>
          <o:OLEObject Type="Embed" ProgID="Equation.DSMT4" ShapeID="_x0000_i1049" DrawAspect="Content" ObjectID="_1468075749" r:id="rId57">
            <o:LockedField>false</o:LockedField>
          </o:OLEObject>
        </w:object>
      </w:r>
      <w:r>
        <w:t>——静止土压力；</w:t>
      </w:r>
    </w:p>
    <w:p>
      <w:pPr>
        <w:ind w:firstLine="768" w:firstLineChars="320"/>
      </w:pPr>
      <w:r>
        <w:rPr>
          <w:position w:val="-12"/>
        </w:rPr>
        <w:object>
          <v:shape id="_x0000_i1050" o:spt="75" type="#_x0000_t75" style="height:19.5pt;width:14.25pt;" o:ole="t" filled="f" o:preferrelative="t" stroked="f" coordsize="21600,21600">
            <v:path/>
            <v:fill on="f" focussize="0,0"/>
            <v:stroke on="f" joinstyle="miter"/>
            <v:imagedata r:id="rId60" o:title=""/>
            <o:lock v:ext="edit" aspectratio="t"/>
            <w10:wrap type="none"/>
            <w10:anchorlock/>
          </v:shape>
          <o:OLEObject Type="Embed" ProgID="Equation.DSMT4" ShapeID="_x0000_i1050" DrawAspect="Content" ObjectID="_1468075750" r:id="rId59">
            <o:LockedField>false</o:LockedField>
          </o:OLEObject>
        </w:object>
      </w:r>
      <w:r>
        <w:t>——主动土压力；</w:t>
      </w:r>
    </w:p>
    <w:p>
      <w:pPr>
        <w:ind w:firstLine="768" w:firstLineChars="320"/>
        <w:textAlignment w:val="center"/>
      </w:pPr>
      <w:r>
        <w:rPr>
          <w:position w:val="-12"/>
        </w:rPr>
        <w:object>
          <v:shape id="_x0000_i1051" o:spt="75" type="#_x0000_t75" style="height:19.5pt;width:13.5pt;" o:ole="t" filled="f" o:preferrelative="t" stroked="f" coordsize="21600,21600">
            <v:path/>
            <v:fill on="f" focussize="0,0"/>
            <v:stroke on="f" joinstyle="miter"/>
            <v:imagedata r:id="rId62" o:title=""/>
            <o:lock v:ext="edit" aspectratio="t"/>
            <w10:wrap type="none"/>
            <w10:anchorlock/>
          </v:shape>
          <o:OLEObject Type="Embed" ProgID="Equation.DSMT4" ShapeID="_x0000_i1051" DrawAspect="Content" ObjectID="_1468075751" r:id="rId61">
            <o:LockedField>false</o:LockedField>
          </o:OLEObject>
        </w:object>
      </w:r>
      <w:r>
        <w:t>——</w:t>
      </w:r>
      <w:r>
        <w:rPr>
          <w:rFonts w:hint="eastAsia"/>
        </w:rPr>
        <w:t>中继间设计允许顶力</w:t>
      </w:r>
      <w:r>
        <w:t>；</w:t>
      </w:r>
    </w:p>
    <w:p>
      <w:pPr>
        <w:ind w:firstLine="600" w:firstLineChars="250"/>
        <w:textAlignment w:val="center"/>
        <w:rPr>
          <w:bCs/>
          <w:sz w:val="21"/>
          <w:szCs w:val="22"/>
        </w:rPr>
      </w:pPr>
      <w:r>
        <w:rPr>
          <w:position w:val="-4"/>
        </w:rPr>
        <w:object>
          <v:shape id="_x0000_i1052" o:spt="75" type="#_x0000_t75" style="height:19.5pt;width:21.75pt;" o:ole="t" filled="f" o:preferrelative="t" stroked="f" coordsize="21600,21600">
            <v:path/>
            <v:fill on="f" focussize="0,0"/>
            <v:stroke on="f" joinstyle="miter"/>
            <v:imagedata r:id="rId64" o:title=""/>
            <o:lock v:ext="edit" aspectratio="t"/>
            <w10:wrap type="none"/>
            <w10:anchorlock/>
          </v:shape>
          <o:OLEObject Type="Embed" ProgID="Equation.3" ShapeID="_x0000_i1052" DrawAspect="Content" ObjectID="_1468075752" r:id="rId63">
            <o:LockedField>false</o:LockedField>
          </o:OLEObject>
        </w:object>
      </w:r>
      <w:r>
        <w:rPr>
          <w:position w:val="-4"/>
        </w:rPr>
        <w:t>——后背土体允许的最大顶力</w:t>
      </w:r>
      <w:r>
        <w:t>；</w:t>
      </w:r>
    </w:p>
    <w:p>
      <w:pPr>
        <w:ind w:firstLine="768" w:firstLineChars="320"/>
      </w:pPr>
      <w:r>
        <w:rPr>
          <w:position w:val="-14"/>
        </w:rPr>
        <w:object>
          <v:shape id="_x0000_i1053" o:spt="75" type="#_x0000_t75" style="height:19.5pt;width:14.25pt;" o:ole="t" filled="f" o:preferrelative="t" stroked="f" coordsize="21600,21600">
            <v:path/>
            <v:fill on="f" focussize="0,0"/>
            <v:stroke on="f" joinstyle="miter"/>
            <v:imagedata r:id="rId66" o:title=""/>
            <o:lock v:ext="edit" aspectratio="t"/>
            <w10:wrap type="none"/>
            <w10:anchorlock/>
          </v:shape>
          <o:OLEObject Type="Embed" ProgID="Equation.DSMT4" ShapeID="_x0000_i1053" DrawAspect="Content" ObjectID="_1468075753" r:id="rId65">
            <o:LockedField>false</o:LockedField>
          </o:OLEObject>
        </w:object>
      </w:r>
      <w:r>
        <w:t>——被动土压力；</w:t>
      </w:r>
    </w:p>
    <w:p>
      <w:pPr>
        <w:autoSpaceDE w:val="0"/>
        <w:autoSpaceDN w:val="0"/>
        <w:ind w:firstLine="720" w:firstLineChars="300"/>
        <w:rPr>
          <w:kern w:val="24"/>
        </w:rPr>
      </w:pPr>
      <w:r>
        <w:rPr>
          <w:position w:val="-14"/>
        </w:rPr>
        <w:object>
          <v:shape id="_x0000_i1054" o:spt="75" type="#_x0000_t75" style="height:19.5pt;width:15pt;" o:ole="t" filled="f" o:preferrelative="t" stroked="f" coordsize="21600,21600">
            <v:path/>
            <v:fill on="f" focussize="0,0"/>
            <v:stroke on="f" joinstyle="miter"/>
            <v:imagedata r:id="rId68" o:title=""/>
            <o:lock v:ext="edit" aspectratio="t"/>
            <w10:wrap type="none"/>
            <w10:anchorlock/>
          </v:shape>
          <o:OLEObject Type="Embed" ProgID="Equation.DSMT4" ShapeID="_x0000_i1054" DrawAspect="Content" ObjectID="_1468075754" r:id="rId67">
            <o:LockedField>false</o:LockedField>
          </o:OLEObject>
        </w:object>
      </w:r>
      <w:r>
        <w:rPr>
          <w:lang w:bidi="ar"/>
        </w:rPr>
        <w:t>——</w:t>
      </w:r>
      <w:r>
        <w:rPr>
          <w:kern w:val="24"/>
        </w:rPr>
        <w:t>顶管机的迎面阻力；</w:t>
      </w:r>
    </w:p>
    <w:p>
      <w:pPr>
        <w:ind w:firstLine="720" w:firstLineChars="300"/>
      </w:pPr>
      <w:r>
        <w:rPr>
          <w:position w:val="-12"/>
        </w:rPr>
        <w:object>
          <v:shape id="_x0000_i1055" o:spt="75" type="#_x0000_t75" style="height:19.5pt;width:14.25pt;" o:ole="t" filled="f" o:preferrelative="t" stroked="f" coordsize="21600,21600">
            <v:path/>
            <v:fill on="f" focussize="0,0"/>
            <v:stroke on="f" joinstyle="miter"/>
            <v:imagedata r:id="rId70" o:title=""/>
            <o:lock v:ext="edit" aspectratio="t"/>
            <w10:wrap type="none"/>
            <w10:anchorlock/>
          </v:shape>
          <o:OLEObject Type="Embed" ProgID="Equation.DSMT4" ShapeID="_x0000_i1055" DrawAspect="Content" ObjectID="_1468075755" r:id="rId69">
            <o:LockedField>false</o:LockedField>
          </o:OLEObject>
        </w:object>
      </w:r>
      <w:r>
        <w:t>——泥浆套顶部的水压力和主动土压力；</w:t>
      </w:r>
    </w:p>
    <w:p>
      <w:pPr>
        <w:rPr>
          <w:b/>
        </w:rPr>
      </w:pPr>
      <w:r>
        <w:rPr>
          <w:b/>
        </w:rPr>
        <w:t>2.2.3  计算参数及其他</w:t>
      </w:r>
    </w:p>
    <w:p>
      <w:pPr>
        <w:ind w:firstLine="451" w:firstLineChars="188"/>
      </w:pPr>
      <w:r>
        <w:rPr>
          <w:position w:val="-14"/>
        </w:rPr>
        <w:object>
          <v:shape id="_x0000_i1056" o:spt="75" type="#_x0000_t75" style="height:19.5pt;width:13.5pt;" o:ole="t" filled="f" o:preferrelative="t" stroked="f" coordsize="21600,21600">
            <v:path/>
            <v:fill on="f" focussize="0,0"/>
            <v:stroke on="f" joinstyle="miter"/>
            <v:imagedata r:id="rId72" o:title=""/>
            <o:lock v:ext="edit" aspectratio="t"/>
            <w10:wrap type="none"/>
            <w10:anchorlock/>
          </v:shape>
          <o:OLEObject Type="Embed" ProgID="Equation.DSMT4" ShapeID="_x0000_i1056" DrawAspect="Content" ObjectID="_1468075756" r:id="rId71">
            <o:LockedField>false</o:LockedField>
          </o:OLEObject>
        </w:object>
      </w:r>
      <w:r>
        <w:rPr>
          <w:lang w:bidi="ar"/>
        </w:rPr>
        <w:t>——</w:t>
      </w:r>
      <w:r>
        <w:t>管顶竖向土压力系数；</w:t>
      </w:r>
    </w:p>
    <w:p>
      <w:pPr>
        <w:ind w:firstLine="528" w:firstLineChars="220"/>
      </w:pPr>
      <w:r>
        <w:t>K——顶力系数；</w:t>
      </w:r>
    </w:p>
    <w:p>
      <w:pPr>
        <w:ind w:firstLine="360" w:firstLineChars="150"/>
      </w:pPr>
      <w:r>
        <w:rPr>
          <w:position w:val="-12"/>
        </w:rPr>
        <w:object>
          <v:shape id="_x0000_i1057" o:spt="75" type="#_x0000_t75" style="height:19.5pt;width:15.75pt;" o:ole="t" filled="f" o:preferrelative="t" stroked="f" coordsize="21600,21600">
            <v:path/>
            <v:fill on="f" focussize="0,0"/>
            <v:stroke on="f" joinstyle="miter"/>
            <v:imagedata r:id="rId74" o:title=""/>
            <o:lock v:ext="edit" aspectratio="t"/>
            <w10:wrap type="none"/>
            <w10:anchorlock/>
          </v:shape>
          <o:OLEObject Type="Embed" ProgID="Equation.DSMT4" ShapeID="_x0000_i1057" DrawAspect="Content" ObjectID="_1468075757" r:id="rId73">
            <o:LockedField>false</o:LockedField>
          </o:OLEObject>
        </w:object>
      </w:r>
      <w:r>
        <w:t>——静止土压力系数；</w:t>
      </w:r>
    </w:p>
    <w:p>
      <w:pPr>
        <w:ind w:firstLine="360" w:firstLineChars="150"/>
        <w:textAlignment w:val="center"/>
      </w:pPr>
      <w:r>
        <w:rPr>
          <w:position w:val="-12"/>
        </w:rPr>
        <w:object>
          <v:shape id="_x0000_i1058" o:spt="75" type="#_x0000_t75" style="height:19.5pt;width:15.75pt;" o:ole="t" filled="f" o:preferrelative="t" stroked="f" coordsize="21600,21600">
            <v:path/>
            <v:fill on="f" focussize="0,0"/>
            <v:stroke on="f" joinstyle="miter"/>
            <v:imagedata r:id="rId76" o:title=""/>
            <o:lock v:ext="edit" aspectratio="t"/>
            <w10:wrap type="none"/>
            <w10:anchorlock/>
          </v:shape>
          <o:OLEObject Type="Embed" ProgID="Equation.DSMT4" ShapeID="_x0000_i1058" DrawAspect="Content" ObjectID="_1468075758" r:id="rId75">
            <o:LockedField>false</o:LockedField>
          </o:OLEObject>
        </w:object>
      </w:r>
      <w:r>
        <w:t>——主动土压力系数；</w:t>
      </w:r>
    </w:p>
    <w:p>
      <w:pPr>
        <w:ind w:firstLine="360" w:firstLineChars="150"/>
        <w:textAlignment w:val="center"/>
      </w:pPr>
      <w:r>
        <w:rPr>
          <w:position w:val="-12"/>
        </w:rPr>
        <w:object>
          <v:shape id="_x0000_i1059" o:spt="75" type="#_x0000_t75" style="height:17.25pt;width:16.5pt;" o:ole="t" filled="f" o:preferrelative="t" stroked="f" coordsize="21600,21600">
            <v:path/>
            <v:fill on="f" focussize="0,0"/>
            <v:stroke on="f" joinstyle="miter"/>
            <v:imagedata r:id="rId78" o:title=""/>
            <o:lock v:ext="edit" aspectratio="t"/>
            <w10:wrap type="none"/>
            <w10:anchorlock/>
          </v:shape>
          <o:OLEObject Type="Embed" ProgID="Equation.DSMT4" ShapeID="_x0000_i1059" DrawAspect="Content" ObjectID="_1468075759" r:id="rId77">
            <o:LockedField>false</o:LockedField>
          </o:OLEObject>
        </w:object>
      </w:r>
      <w:r>
        <w:t>——安全系数；</w:t>
      </w:r>
    </w:p>
    <w:p>
      <w:pPr>
        <w:ind w:firstLine="600" w:firstLineChars="250"/>
      </w:pPr>
      <w:r>
        <w:rPr>
          <w:i/>
          <w:iCs/>
        </w:rPr>
        <w:t>T</w:t>
      </w:r>
      <w:r>
        <w:t>——</w:t>
      </w:r>
      <w:r>
        <w:rPr>
          <w:rFonts w:hint="eastAsia"/>
        </w:rPr>
        <w:t>触变</w:t>
      </w:r>
      <w:r>
        <w:t>泥浆失效期；</w:t>
      </w:r>
    </w:p>
    <w:p>
      <w:pPr>
        <w:ind w:firstLine="600" w:firstLineChars="250"/>
        <w:rPr>
          <w:rFonts w:eastAsiaTheme="minorEastAsia"/>
        </w:rPr>
      </w:pPr>
      <w:r>
        <w:rPr>
          <w:i/>
          <w:iCs/>
        </w:rPr>
        <w:t>V</w:t>
      </w:r>
      <w:r>
        <w:t>——每天平均掘进速度；</w:t>
      </w:r>
    </w:p>
    <w:p>
      <w:pPr>
        <w:ind w:firstLine="360" w:firstLineChars="150"/>
        <w:textAlignment w:val="center"/>
        <w:rPr>
          <w:rFonts w:eastAsiaTheme="minorEastAsia"/>
        </w:rPr>
      </w:pPr>
    </w:p>
    <w:p>
      <w:pPr>
        <w:ind w:firstLine="424" w:firstLineChars="177"/>
        <w:rPr>
          <w:i/>
        </w:rPr>
        <w:sectPr>
          <w:pgSz w:w="11906" w:h="16838"/>
          <w:pgMar w:top="1440" w:right="1800" w:bottom="1440" w:left="1800" w:header="851" w:footer="992" w:gutter="0"/>
          <w:cols w:space="425" w:num="1"/>
          <w:docGrid w:type="lines" w:linePitch="312" w:charSpace="0"/>
        </w:sectPr>
      </w:pPr>
    </w:p>
    <w:p>
      <w:pPr>
        <w:pStyle w:val="2"/>
        <w:rPr>
          <w:rFonts w:cs="Times New Roman"/>
        </w:rPr>
      </w:pPr>
      <w:bookmarkStart w:id="71" w:name="_Toc29637"/>
      <w:bookmarkStart w:id="72" w:name="_Toc463446172"/>
      <w:bookmarkStart w:id="73" w:name="_Toc18057025"/>
      <w:bookmarkStart w:id="74" w:name="_Toc12308"/>
      <w:bookmarkStart w:id="75" w:name="_Toc16017"/>
      <w:bookmarkStart w:id="76" w:name="_Toc27261"/>
      <w:bookmarkStart w:id="77" w:name="_Toc60173774"/>
      <w:bookmarkStart w:id="78" w:name="_Toc60172887"/>
      <w:bookmarkStart w:id="79" w:name="_Toc47692145"/>
      <w:bookmarkStart w:id="80" w:name="_Toc13595"/>
      <w:bookmarkStart w:id="81" w:name="_Toc31110"/>
      <w:bookmarkStart w:id="82" w:name="_Toc13867"/>
      <w:bookmarkStart w:id="83" w:name="_Toc455393073"/>
      <w:r>
        <w:rPr>
          <w:rFonts w:cs="Times New Roman" w:eastAsiaTheme="minorEastAsia"/>
        </w:rPr>
        <w:t xml:space="preserve">3  </w:t>
      </w:r>
      <w:r>
        <w:rPr>
          <w:rFonts w:cs="Times New Roman"/>
        </w:rPr>
        <w:t>基本规定</w:t>
      </w:r>
      <w:bookmarkEnd w:id="71"/>
      <w:bookmarkEnd w:id="72"/>
      <w:bookmarkEnd w:id="73"/>
      <w:bookmarkEnd w:id="74"/>
      <w:bookmarkEnd w:id="75"/>
      <w:bookmarkEnd w:id="76"/>
      <w:bookmarkEnd w:id="77"/>
      <w:bookmarkEnd w:id="78"/>
      <w:bookmarkEnd w:id="79"/>
      <w:bookmarkEnd w:id="80"/>
      <w:bookmarkEnd w:id="81"/>
      <w:bookmarkEnd w:id="82"/>
      <w:bookmarkEnd w:id="83"/>
    </w:p>
    <w:p>
      <w:r>
        <w:rPr>
          <w:b/>
          <w:bCs/>
        </w:rPr>
        <w:t>3.0.1</w:t>
      </w:r>
      <w:r>
        <w:t xml:space="preserve">  </w:t>
      </w:r>
      <w:r>
        <w:rPr>
          <w:rFonts w:hint="eastAsia"/>
        </w:rPr>
        <w:t>工程建设</w:t>
      </w:r>
      <w:r>
        <w:t>前应查明顶管沿线有关工程地质、水文地质、地上与地下管线、建筑物或构筑物、障碍物及其他设施等周边环境情况。</w:t>
      </w:r>
    </w:p>
    <w:p>
      <w:pPr>
        <w:rPr>
          <w:bCs/>
        </w:rPr>
      </w:pPr>
      <w:r>
        <w:rPr>
          <w:rFonts w:hint="eastAsia"/>
          <w:b/>
        </w:rPr>
        <w:t xml:space="preserve">3.0.2 </w:t>
      </w:r>
      <w:r>
        <w:rPr>
          <w:bCs/>
        </w:rPr>
        <w:t xml:space="preserve"> </w:t>
      </w:r>
      <w:r>
        <w:rPr>
          <w:rFonts w:hint="eastAsia"/>
          <w:bCs/>
        </w:rPr>
        <w:t>采用矩形顶管应依据工程地质、水文地质条件进行适用性论证。</w:t>
      </w:r>
    </w:p>
    <w:p>
      <w:r>
        <w:rPr>
          <w:b/>
        </w:rPr>
        <w:t xml:space="preserve">3.0.3  </w:t>
      </w:r>
      <w:r>
        <w:t>顶管结构设计应满足在规定设计使用年限内结构的安全性、适用性及耐久性等基本要求，并</w:t>
      </w:r>
      <w:r>
        <w:rPr>
          <w:rFonts w:hint="eastAsia"/>
        </w:rPr>
        <w:t>应</w:t>
      </w:r>
      <w:r>
        <w:t>在此基础上做到经济合理。</w:t>
      </w:r>
    </w:p>
    <w:p>
      <w:r>
        <w:rPr>
          <w:b/>
          <w:bCs/>
        </w:rPr>
        <w:t>3.0.4</w:t>
      </w:r>
      <w:r>
        <w:t xml:space="preserve">  顶管结构设计应根据地质和周边环境条件，通过计算合理选择管材、管道埋深、井间距、工作井结构形式等技术参数。</w:t>
      </w:r>
    </w:p>
    <w:p>
      <w:r>
        <w:rPr>
          <w:b/>
          <w:bCs/>
        </w:rPr>
        <w:t>3.0.5</w:t>
      </w:r>
      <w:r>
        <w:t xml:space="preserve">  顶管结构防水等级应符合现行国家标准《地下工程防水技术规范》GB 50108的有关规定</w:t>
      </w:r>
      <w:r>
        <w:rPr>
          <w:rFonts w:hint="eastAsia"/>
        </w:rPr>
        <w:t>。</w:t>
      </w:r>
    </w:p>
    <w:p>
      <w:r>
        <w:rPr>
          <w:b/>
        </w:rPr>
        <w:t xml:space="preserve">3.0.6  </w:t>
      </w:r>
      <w:r>
        <w:t>顶管工程所用的管材、构配件和主要原材料等产品应做进场复验。管节应按现行行业标准《预制混凝土箱涵》JC∕T 2456的有关规定进行验收。</w:t>
      </w:r>
    </w:p>
    <w:p>
      <w:r>
        <w:rPr>
          <w:b/>
          <w:bCs/>
        </w:rPr>
        <w:t>3.0.7</w:t>
      </w:r>
      <w:r>
        <w:t xml:space="preserve">  矩形顶管机选型和设计应满足工程水文地质条件、周边环境、线路条件、结构设计和环境保护等要求。</w:t>
      </w:r>
    </w:p>
    <w:p/>
    <w:p>
      <w:pPr>
        <w:rPr>
          <w:rFonts w:eastAsia="仿宋"/>
          <w:b/>
          <w:bCs/>
        </w:rPr>
        <w:sectPr>
          <w:pgSz w:w="11906" w:h="16838"/>
          <w:pgMar w:top="1440" w:right="1800" w:bottom="1440" w:left="1800" w:header="851" w:footer="992" w:gutter="0"/>
          <w:cols w:space="425" w:num="1"/>
          <w:docGrid w:type="lines" w:linePitch="312" w:charSpace="0"/>
        </w:sectPr>
      </w:pPr>
    </w:p>
    <w:p>
      <w:pPr>
        <w:pStyle w:val="2"/>
        <w:rPr>
          <w:rFonts w:cs="Times New Roman"/>
        </w:rPr>
      </w:pPr>
      <w:bookmarkStart w:id="84" w:name="_Toc18373"/>
      <w:bookmarkStart w:id="85" w:name="_Toc18057026"/>
      <w:bookmarkStart w:id="86" w:name="_Toc47692146"/>
      <w:bookmarkStart w:id="87" w:name="_Toc23493"/>
      <w:bookmarkStart w:id="88" w:name="_Toc3069"/>
      <w:bookmarkStart w:id="89" w:name="_Toc29119"/>
      <w:bookmarkStart w:id="90" w:name="_Toc26877"/>
      <w:bookmarkStart w:id="91" w:name="_Toc19787"/>
      <w:bookmarkStart w:id="92" w:name="_Toc25269"/>
      <w:bookmarkStart w:id="93" w:name="_Toc60173775"/>
      <w:bookmarkStart w:id="94" w:name="_Toc60172888"/>
      <w:r>
        <w:rPr>
          <w:rFonts w:cs="Times New Roman"/>
        </w:rPr>
        <w:t xml:space="preserve">4 </w:t>
      </w:r>
      <w:bookmarkStart w:id="95" w:name="_Toc484503829"/>
      <w:bookmarkStart w:id="96" w:name="_Toc439103358"/>
      <w:r>
        <w:rPr>
          <w:rFonts w:cs="Times New Roman"/>
        </w:rPr>
        <w:t xml:space="preserve"> 工程勘察</w:t>
      </w:r>
      <w:bookmarkEnd w:id="84"/>
      <w:bookmarkEnd w:id="85"/>
      <w:bookmarkEnd w:id="86"/>
      <w:bookmarkEnd w:id="87"/>
      <w:bookmarkEnd w:id="88"/>
      <w:bookmarkEnd w:id="89"/>
      <w:bookmarkEnd w:id="90"/>
      <w:bookmarkEnd w:id="91"/>
      <w:bookmarkEnd w:id="92"/>
      <w:bookmarkEnd w:id="93"/>
      <w:bookmarkEnd w:id="94"/>
      <w:bookmarkEnd w:id="95"/>
      <w:bookmarkEnd w:id="96"/>
    </w:p>
    <w:p>
      <w:pPr>
        <w:pStyle w:val="3"/>
        <w:rPr>
          <w:rFonts w:eastAsia="黑体" w:cs="Times New Roman"/>
          <w:b w:val="0"/>
        </w:rPr>
      </w:pPr>
      <w:bookmarkStart w:id="97" w:name="_Toc22966"/>
      <w:bookmarkStart w:id="98" w:name="_Toc60172889"/>
      <w:bookmarkStart w:id="99" w:name="_Toc47692147"/>
      <w:bookmarkStart w:id="100" w:name="_Toc60173776"/>
      <w:bookmarkStart w:id="101" w:name="_Toc12068"/>
      <w:bookmarkStart w:id="102" w:name="_Toc3298"/>
      <w:bookmarkStart w:id="103" w:name="_Toc11527"/>
      <w:bookmarkStart w:id="104" w:name="_Toc25526"/>
      <w:bookmarkStart w:id="105" w:name="_Toc12890"/>
      <w:bookmarkStart w:id="106" w:name="_Toc4674"/>
      <w:bookmarkStart w:id="107" w:name="_Toc18057027"/>
      <w:r>
        <w:rPr>
          <w:rFonts w:eastAsia="黑体" w:cs="Times New Roman"/>
        </w:rPr>
        <w:t>4.1</w:t>
      </w:r>
      <w:r>
        <w:rPr>
          <w:rFonts w:eastAsia="黑体" w:cs="Times New Roman"/>
          <w:b w:val="0"/>
        </w:rPr>
        <w:t xml:space="preserve">  一般规定</w:t>
      </w:r>
      <w:bookmarkEnd w:id="97"/>
      <w:bookmarkEnd w:id="98"/>
      <w:bookmarkEnd w:id="99"/>
      <w:bookmarkEnd w:id="100"/>
      <w:bookmarkEnd w:id="101"/>
      <w:bookmarkEnd w:id="102"/>
      <w:bookmarkEnd w:id="103"/>
      <w:bookmarkEnd w:id="104"/>
      <w:bookmarkEnd w:id="105"/>
      <w:bookmarkEnd w:id="106"/>
      <w:bookmarkEnd w:id="107"/>
    </w:p>
    <w:p>
      <w:r>
        <w:rPr>
          <w:b/>
          <w:bCs/>
        </w:rPr>
        <w:t xml:space="preserve">4.1.1  </w:t>
      </w:r>
      <w:r>
        <w:t>工程勘察应查明顶管工程范围沿线各地段的工程地质、水文地质等特征，包括地形、地貌、岩土类型、分布范围、</w:t>
      </w:r>
      <w:r>
        <w:rPr>
          <w:rFonts w:hint="eastAsia"/>
        </w:rPr>
        <w:t>物理力学及工程特性指标</w:t>
      </w:r>
      <w:r>
        <w:t>、地下水的特性和有关参数、分析和评价地基的稳定性</w:t>
      </w:r>
      <w:r>
        <w:rPr>
          <w:rFonts w:hint="eastAsia"/>
          <w:kern w:val="0"/>
        </w:rPr>
        <w:t>、</w:t>
      </w:r>
      <w:r>
        <w:rPr>
          <w:kern w:val="0"/>
        </w:rPr>
        <w:t>承载力</w:t>
      </w:r>
      <w:r>
        <w:rPr>
          <w:rFonts w:hint="eastAsia"/>
          <w:kern w:val="0"/>
        </w:rPr>
        <w:t>、</w:t>
      </w:r>
      <w:r>
        <w:rPr>
          <w:color w:val="000000"/>
          <w:kern w:val="0"/>
          <w:lang w:bidi="ar"/>
        </w:rPr>
        <w:t>抗变形特性与渗透性</w:t>
      </w:r>
      <w:r>
        <w:t>等。</w:t>
      </w:r>
    </w:p>
    <w:p>
      <w:r>
        <w:rPr>
          <w:b/>
          <w:bCs/>
        </w:rPr>
        <w:t xml:space="preserve">4.1.2  </w:t>
      </w:r>
      <w:r>
        <w:t>工程勘察应根据工程重要性、场地复杂程度和地层复杂程度等条件划分岩土工程勘察等级。</w:t>
      </w:r>
      <w:r>
        <w:rPr>
          <w:rFonts w:hint="eastAsia"/>
        </w:rPr>
        <w:t>工程</w:t>
      </w:r>
      <w:r>
        <w:t>勘察宜分为初步勘察、详细勘察两个阶段。线路长、沿线情况复杂的工程可增加选线勘察阶段，进行线路比选。</w:t>
      </w:r>
    </w:p>
    <w:p>
      <w:r>
        <w:rPr>
          <w:b/>
          <w:bCs/>
        </w:rPr>
        <w:t xml:space="preserve">4.1.3  </w:t>
      </w:r>
      <w:r>
        <w:t>当顶管穿越铁路、公路、河流地段时，应查明微地貌特征、穿越断面的地层结构、工程地质</w:t>
      </w:r>
      <w:r>
        <w:rPr>
          <w:rFonts w:hint="eastAsia"/>
        </w:rPr>
        <w:t>、水文地质</w:t>
      </w:r>
      <w:r>
        <w:t>特性，并</w:t>
      </w:r>
      <w:r>
        <w:rPr>
          <w:rFonts w:hint="eastAsia"/>
        </w:rPr>
        <w:t>应</w:t>
      </w:r>
      <w:r>
        <w:t>对穿越河流的</w:t>
      </w:r>
      <w:r>
        <w:rPr>
          <w:rFonts w:hint="eastAsia"/>
        </w:rPr>
        <w:t>河</w:t>
      </w:r>
      <w:r>
        <w:t>水淹没范围</w:t>
      </w:r>
      <w:r>
        <w:rPr>
          <w:rFonts w:hint="eastAsia"/>
        </w:rPr>
        <w:t>、</w:t>
      </w:r>
      <w:r>
        <w:t>河床</w:t>
      </w:r>
      <w:r>
        <w:rPr>
          <w:rFonts w:hint="eastAsia"/>
        </w:rPr>
        <w:t>的最大冲刷线</w:t>
      </w:r>
      <w:r>
        <w:t>及岸坡的稳定性作出评价。</w:t>
      </w:r>
    </w:p>
    <w:p>
      <w:r>
        <w:rPr>
          <w:b/>
          <w:bCs/>
        </w:rPr>
        <w:t xml:space="preserve">4.1.4  </w:t>
      </w:r>
      <w:r>
        <w:rPr>
          <w:rFonts w:hint="eastAsia"/>
          <w:bCs/>
        </w:rPr>
        <w:t>工程勘察</w:t>
      </w:r>
      <w:r>
        <w:t>应查明顶管沿线地表及地下暗埋的河、湖、塘、沟、洞、坑、井的分布范围、赋存状态、埋置深度和特性，并</w:t>
      </w:r>
      <w:r>
        <w:rPr>
          <w:rFonts w:hint="eastAsia"/>
        </w:rPr>
        <w:t>应</w:t>
      </w:r>
      <w:r>
        <w:t>提供覆盖层的工程地质特性。</w:t>
      </w:r>
    </w:p>
    <w:p>
      <w:r>
        <w:rPr>
          <w:b/>
          <w:bCs/>
        </w:rPr>
        <w:t xml:space="preserve">4.1.5  </w:t>
      </w:r>
      <w:r>
        <w:rPr>
          <w:rFonts w:hint="eastAsia"/>
          <w:bCs/>
        </w:rPr>
        <w:t>工程勘察</w:t>
      </w:r>
      <w:r>
        <w:t>应查明顶管沿线的不良地质作用发育和地质灾害发生的可能性，包括岩溶、滑坡、危岩和崩塌、泥石流、采空区、管涌流沙、地面沉降等。</w:t>
      </w:r>
    </w:p>
    <w:p>
      <w:r>
        <w:rPr>
          <w:b/>
          <w:bCs/>
        </w:rPr>
        <w:t xml:space="preserve">4.1.6  </w:t>
      </w:r>
      <w:r>
        <w:t>工程建设前应对顶管区域地下管线、建筑物或构筑物及其他障碍物进行工程探测，并应满足工程建设的技术要求。</w:t>
      </w:r>
    </w:p>
    <w:p>
      <w:r>
        <w:rPr>
          <w:b/>
          <w:bCs/>
        </w:rPr>
        <w:t xml:space="preserve">4.1.7  </w:t>
      </w:r>
      <w:r>
        <w:rPr>
          <w:szCs w:val="24"/>
        </w:rPr>
        <w:t>勘探孔工作完成后，应采用水泥浆或水泥砂浆封堵勘探孔</w:t>
      </w:r>
      <w:r>
        <w:t>。</w:t>
      </w:r>
    </w:p>
    <w:p>
      <w:r>
        <w:rPr>
          <w:b/>
          <w:bCs/>
        </w:rPr>
        <w:t xml:space="preserve">4.1.8  </w:t>
      </w:r>
      <w:r>
        <w:t>抗震设防烈度大于或等于6度的地段，应判定场地和地基的地震效应。</w:t>
      </w:r>
    </w:p>
    <w:p>
      <w:pPr>
        <w:pStyle w:val="3"/>
        <w:rPr>
          <w:rFonts w:eastAsia="黑体" w:cs="Times New Roman"/>
          <w:b w:val="0"/>
        </w:rPr>
      </w:pPr>
      <w:bookmarkStart w:id="108" w:name="_Toc10530"/>
      <w:bookmarkStart w:id="109" w:name="_Toc47692148"/>
      <w:bookmarkStart w:id="110" w:name="_Toc60172890"/>
      <w:bookmarkStart w:id="111" w:name="_Toc781"/>
      <w:bookmarkStart w:id="112" w:name="_Toc60173777"/>
      <w:bookmarkStart w:id="113" w:name="_Toc2096"/>
      <w:bookmarkStart w:id="114" w:name="_Toc21250"/>
      <w:bookmarkStart w:id="115" w:name="_Toc9945"/>
      <w:bookmarkStart w:id="116" w:name="_Toc18057028"/>
      <w:bookmarkStart w:id="117" w:name="_Toc3617"/>
      <w:bookmarkStart w:id="118" w:name="_Toc26901"/>
      <w:r>
        <w:rPr>
          <w:rFonts w:eastAsia="黑体" w:cs="Times New Roman"/>
        </w:rPr>
        <w:t>4.2</w:t>
      </w:r>
      <w:r>
        <w:rPr>
          <w:rFonts w:eastAsia="黑体" w:cs="Times New Roman"/>
          <w:b w:val="0"/>
        </w:rPr>
        <w:t xml:space="preserve">  勘察布孔</w:t>
      </w:r>
      <w:bookmarkEnd w:id="108"/>
      <w:bookmarkEnd w:id="109"/>
      <w:bookmarkEnd w:id="110"/>
      <w:bookmarkEnd w:id="111"/>
      <w:bookmarkEnd w:id="112"/>
      <w:bookmarkEnd w:id="113"/>
      <w:bookmarkEnd w:id="114"/>
      <w:bookmarkEnd w:id="115"/>
      <w:bookmarkEnd w:id="116"/>
      <w:bookmarkEnd w:id="117"/>
      <w:bookmarkEnd w:id="118"/>
    </w:p>
    <w:p>
      <w:r>
        <w:rPr>
          <w:b/>
          <w:bCs/>
        </w:rPr>
        <w:t xml:space="preserve">4.2.1  </w:t>
      </w:r>
      <w:r>
        <w:t>顶管勘探孔宜在顶管管节外壁两侧5m范围内布置，两侧勘探孔</w:t>
      </w:r>
      <w:r>
        <w:rPr>
          <w:rFonts w:hint="eastAsia"/>
        </w:rPr>
        <w:t>应</w:t>
      </w:r>
      <w:r>
        <w:t>呈</w:t>
      </w:r>
      <w:r>
        <w:rPr>
          <w:rFonts w:hint="eastAsia"/>
        </w:rPr>
        <w:t>“Z”</w:t>
      </w:r>
      <w:r>
        <w:t>字形交错布置。</w:t>
      </w:r>
    </w:p>
    <w:p>
      <w:r>
        <w:rPr>
          <w:b/>
          <w:bCs/>
        </w:rPr>
        <w:t>4.2.2</w:t>
      </w:r>
      <w:r>
        <w:t xml:space="preserve">  勘探孔的间距应满足表4.2.2的要求，并应符合现行</w:t>
      </w:r>
      <w:bookmarkStart w:id="119" w:name="_Hlk17378905"/>
      <w:r>
        <w:t>国家标准《岩土工程勘察设计规范》GB 50021</w:t>
      </w:r>
      <w:bookmarkEnd w:id="119"/>
      <w:r>
        <w:t>的有关规定。</w:t>
      </w:r>
    </w:p>
    <w:p>
      <w:pPr>
        <w:widowControl/>
        <w:adjustRightInd w:val="0"/>
        <w:snapToGrid w:val="0"/>
        <w:ind w:firstLine="316" w:firstLineChars="150"/>
        <w:jc w:val="center"/>
        <w:rPr>
          <w:b/>
          <w:sz w:val="21"/>
          <w:szCs w:val="18"/>
        </w:rPr>
      </w:pPr>
      <w:r>
        <w:rPr>
          <w:b/>
          <w:sz w:val="21"/>
          <w:szCs w:val="18"/>
        </w:rPr>
        <w:t>表4.2.2  勘探孔</w:t>
      </w:r>
      <w:r>
        <w:rPr>
          <w:rFonts w:hint="eastAsia"/>
          <w:b/>
          <w:sz w:val="21"/>
          <w:szCs w:val="18"/>
        </w:rPr>
        <w:t>的</w:t>
      </w:r>
      <w:r>
        <w:rPr>
          <w:b/>
          <w:sz w:val="21"/>
          <w:szCs w:val="18"/>
        </w:rPr>
        <w:t>间距（m）</w:t>
      </w:r>
    </w:p>
    <w:tbl>
      <w:tblPr>
        <w:tblStyle w:val="47"/>
        <w:tblW w:w="7705"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43"/>
        <w:gridCol w:w="1843"/>
        <w:gridCol w:w="2126"/>
        <w:gridCol w:w="18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843" w:type="dxa"/>
            <w:vAlign w:val="center"/>
          </w:tcPr>
          <w:p>
            <w:pPr>
              <w:widowControl/>
              <w:adjustRightInd w:val="0"/>
              <w:snapToGrid w:val="0"/>
              <w:spacing w:line="276" w:lineRule="auto"/>
              <w:jc w:val="center"/>
              <w:rPr>
                <w:sz w:val="21"/>
              </w:rPr>
            </w:pPr>
            <w:r>
              <w:rPr>
                <w:sz w:val="21"/>
              </w:rPr>
              <w:t>场地类别</w:t>
            </w:r>
          </w:p>
        </w:tc>
        <w:tc>
          <w:tcPr>
            <w:tcW w:w="1843" w:type="dxa"/>
            <w:vAlign w:val="center"/>
          </w:tcPr>
          <w:p>
            <w:pPr>
              <w:widowControl/>
              <w:adjustRightInd w:val="0"/>
              <w:snapToGrid w:val="0"/>
              <w:spacing w:line="276" w:lineRule="auto"/>
              <w:jc w:val="center"/>
              <w:rPr>
                <w:sz w:val="21"/>
              </w:rPr>
            </w:pPr>
            <w:r>
              <w:rPr>
                <w:sz w:val="21"/>
              </w:rPr>
              <w:t>复杂场地</w:t>
            </w:r>
          </w:p>
        </w:tc>
        <w:tc>
          <w:tcPr>
            <w:tcW w:w="2126" w:type="dxa"/>
            <w:vAlign w:val="center"/>
          </w:tcPr>
          <w:p>
            <w:pPr>
              <w:widowControl/>
              <w:adjustRightInd w:val="0"/>
              <w:snapToGrid w:val="0"/>
              <w:spacing w:line="276" w:lineRule="auto"/>
              <w:jc w:val="center"/>
              <w:rPr>
                <w:sz w:val="21"/>
              </w:rPr>
            </w:pPr>
            <w:r>
              <w:rPr>
                <w:sz w:val="21"/>
              </w:rPr>
              <w:t>中等复杂场地</w:t>
            </w:r>
          </w:p>
        </w:tc>
        <w:tc>
          <w:tcPr>
            <w:tcW w:w="1893" w:type="dxa"/>
            <w:vAlign w:val="center"/>
          </w:tcPr>
          <w:p>
            <w:pPr>
              <w:widowControl/>
              <w:adjustRightInd w:val="0"/>
              <w:snapToGrid w:val="0"/>
              <w:spacing w:line="276" w:lineRule="auto"/>
              <w:jc w:val="center"/>
              <w:rPr>
                <w:sz w:val="21"/>
              </w:rPr>
            </w:pPr>
            <w:r>
              <w:rPr>
                <w:sz w:val="21"/>
              </w:rPr>
              <w:t>简单场地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843" w:type="dxa"/>
            <w:vAlign w:val="center"/>
          </w:tcPr>
          <w:p>
            <w:pPr>
              <w:widowControl/>
              <w:adjustRightInd w:val="0"/>
              <w:snapToGrid w:val="0"/>
              <w:spacing w:line="276" w:lineRule="auto"/>
              <w:jc w:val="center"/>
              <w:rPr>
                <w:sz w:val="21"/>
              </w:rPr>
            </w:pPr>
            <w:r>
              <w:rPr>
                <w:sz w:val="21"/>
              </w:rPr>
              <w:t>初步勘察</w:t>
            </w:r>
          </w:p>
        </w:tc>
        <w:tc>
          <w:tcPr>
            <w:tcW w:w="1843" w:type="dxa"/>
            <w:vAlign w:val="center"/>
          </w:tcPr>
          <w:p>
            <w:pPr>
              <w:widowControl/>
              <w:adjustRightInd w:val="0"/>
              <w:snapToGrid w:val="0"/>
              <w:spacing w:line="276" w:lineRule="auto"/>
              <w:jc w:val="center"/>
              <w:rPr>
                <w:sz w:val="21"/>
              </w:rPr>
            </w:pPr>
            <w:r>
              <w:rPr>
                <w:sz w:val="21"/>
              </w:rPr>
              <w:t>30～60</w:t>
            </w:r>
          </w:p>
        </w:tc>
        <w:tc>
          <w:tcPr>
            <w:tcW w:w="2126" w:type="dxa"/>
            <w:vAlign w:val="center"/>
          </w:tcPr>
          <w:p>
            <w:pPr>
              <w:widowControl/>
              <w:adjustRightInd w:val="0"/>
              <w:snapToGrid w:val="0"/>
              <w:spacing w:line="276" w:lineRule="auto"/>
              <w:jc w:val="center"/>
              <w:rPr>
                <w:sz w:val="21"/>
              </w:rPr>
            </w:pPr>
            <w:r>
              <w:rPr>
                <w:sz w:val="21"/>
              </w:rPr>
              <w:t>60～100</w:t>
            </w:r>
          </w:p>
        </w:tc>
        <w:tc>
          <w:tcPr>
            <w:tcW w:w="1893" w:type="dxa"/>
            <w:vAlign w:val="center"/>
          </w:tcPr>
          <w:p>
            <w:pPr>
              <w:widowControl/>
              <w:adjustRightInd w:val="0"/>
              <w:snapToGrid w:val="0"/>
              <w:spacing w:line="276" w:lineRule="auto"/>
              <w:jc w:val="center"/>
              <w:rPr>
                <w:sz w:val="21"/>
              </w:rPr>
            </w:pPr>
            <w:r>
              <w:rPr>
                <w:sz w:val="21"/>
              </w:rPr>
              <w:t>100～200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843" w:type="dxa"/>
            <w:vAlign w:val="center"/>
          </w:tcPr>
          <w:p>
            <w:pPr>
              <w:widowControl/>
              <w:adjustRightInd w:val="0"/>
              <w:snapToGrid w:val="0"/>
              <w:spacing w:line="276" w:lineRule="auto"/>
              <w:jc w:val="center"/>
              <w:rPr>
                <w:sz w:val="21"/>
              </w:rPr>
            </w:pPr>
            <w:r>
              <w:rPr>
                <w:sz w:val="21"/>
              </w:rPr>
              <w:t>详细勘察</w:t>
            </w:r>
          </w:p>
        </w:tc>
        <w:tc>
          <w:tcPr>
            <w:tcW w:w="1843" w:type="dxa"/>
            <w:vAlign w:val="center"/>
          </w:tcPr>
          <w:p>
            <w:pPr>
              <w:widowControl/>
              <w:adjustRightInd w:val="0"/>
              <w:snapToGrid w:val="0"/>
              <w:spacing w:line="276" w:lineRule="auto"/>
              <w:jc w:val="center"/>
              <w:rPr>
                <w:sz w:val="21"/>
              </w:rPr>
            </w:pPr>
            <w:r>
              <w:rPr>
                <w:sz w:val="21"/>
              </w:rPr>
              <w:t>10～30</w:t>
            </w:r>
          </w:p>
        </w:tc>
        <w:tc>
          <w:tcPr>
            <w:tcW w:w="2126" w:type="dxa"/>
            <w:vAlign w:val="center"/>
          </w:tcPr>
          <w:p>
            <w:pPr>
              <w:widowControl/>
              <w:adjustRightInd w:val="0"/>
              <w:snapToGrid w:val="0"/>
              <w:spacing w:line="276" w:lineRule="auto"/>
              <w:jc w:val="center"/>
              <w:rPr>
                <w:sz w:val="21"/>
              </w:rPr>
            </w:pPr>
            <w:r>
              <w:rPr>
                <w:sz w:val="21"/>
              </w:rPr>
              <w:t>20～50</w:t>
            </w:r>
          </w:p>
        </w:tc>
        <w:tc>
          <w:tcPr>
            <w:tcW w:w="1893" w:type="dxa"/>
            <w:vAlign w:val="center"/>
          </w:tcPr>
          <w:p>
            <w:pPr>
              <w:widowControl/>
              <w:adjustRightInd w:val="0"/>
              <w:snapToGrid w:val="0"/>
              <w:spacing w:line="276" w:lineRule="auto"/>
              <w:jc w:val="center"/>
              <w:rPr>
                <w:sz w:val="21"/>
              </w:rPr>
            </w:pPr>
            <w:r>
              <w:rPr>
                <w:sz w:val="21"/>
              </w:rPr>
              <w:t>40～100</w:t>
            </w:r>
          </w:p>
        </w:tc>
      </w:tr>
    </w:tbl>
    <w:p>
      <w:r>
        <w:rPr>
          <w:b/>
          <w:bCs/>
        </w:rPr>
        <w:t>4.2.3</w:t>
      </w:r>
      <w:r>
        <w:t xml:space="preserve">  勘探孔的布置应符合下列规定：</w:t>
      </w:r>
    </w:p>
    <w:p>
      <w:pPr>
        <w:ind w:firstLine="482" w:firstLineChars="200"/>
      </w:pPr>
      <w:r>
        <w:rPr>
          <w:b/>
          <w:bCs/>
        </w:rPr>
        <w:t>1</w:t>
      </w:r>
      <w:r>
        <w:t xml:space="preserve">  管道穿越铁道、公路地段时，勘探孔移位不宜偏离管线边线超过5m，勘探孔间距</w:t>
      </w:r>
      <w:r>
        <w:rPr>
          <w:rFonts w:hint="eastAsia"/>
        </w:rPr>
        <w:t>应</w:t>
      </w:r>
      <w:r>
        <w:t>以能控制地层土质变化为原则，且不得少于2个勘探孔；</w:t>
      </w:r>
    </w:p>
    <w:p>
      <w:pPr>
        <w:ind w:firstLine="482" w:firstLineChars="200"/>
      </w:pPr>
      <w:r>
        <w:rPr>
          <w:b/>
          <w:bCs/>
        </w:rPr>
        <w:t>2</w:t>
      </w:r>
      <w:r>
        <w:t xml:space="preserve">  在每个地貌单元、地貌单元交界部位、管线转角处、穿越铁路或公路的地段等复杂条件下，应根据场地复杂程度适当增加勘探孔数量；</w:t>
      </w:r>
    </w:p>
    <w:p>
      <w:pPr>
        <w:ind w:firstLine="482" w:firstLineChars="200"/>
      </w:pPr>
      <w:r>
        <w:rPr>
          <w:b/>
          <w:bCs/>
        </w:rPr>
        <w:t>3</w:t>
      </w:r>
      <w:r>
        <w:t xml:space="preserve">  穿越暗河、暗湖、暗坑、溶洞或可能产生流砂和液化等地质条件复杂的地段时，勘探孔数量应适当增加；</w:t>
      </w:r>
    </w:p>
    <w:p>
      <w:pPr>
        <w:ind w:firstLine="482" w:firstLineChars="200"/>
      </w:pPr>
      <w:r>
        <w:rPr>
          <w:b/>
          <w:bCs/>
        </w:rPr>
        <w:t>4</w:t>
      </w:r>
      <w:r>
        <w:t xml:space="preserve">  穿越河流时，河流两岸及河床上应布置勘探孔，数量不应</w:t>
      </w:r>
      <w:r>
        <w:rPr>
          <w:rFonts w:hint="eastAsia"/>
        </w:rPr>
        <w:t>少</w:t>
      </w:r>
      <w:r>
        <w:t>于3个；</w:t>
      </w:r>
    </w:p>
    <w:p>
      <w:pPr>
        <w:ind w:firstLine="482" w:firstLineChars="200"/>
      </w:pPr>
      <w:r>
        <w:rPr>
          <w:b/>
          <w:bCs/>
        </w:rPr>
        <w:t>5</w:t>
      </w:r>
      <w:r>
        <w:t xml:space="preserve">  每个工作井不得少于2个勘探孔，复杂地质条件下</w:t>
      </w:r>
      <w:r>
        <w:rPr>
          <w:rFonts w:hint="eastAsia"/>
        </w:rPr>
        <w:t>，</w:t>
      </w:r>
      <w:r>
        <w:t>宜在矩形工作井的四角或圆形工作井的周边布置勘探孔并增加勘探孔数。</w:t>
      </w:r>
    </w:p>
    <w:p>
      <w:pPr>
        <w:rPr>
          <w:bCs/>
        </w:rPr>
      </w:pPr>
      <w:r>
        <w:rPr>
          <w:b/>
          <w:bCs/>
        </w:rPr>
        <w:t xml:space="preserve">4.2.4  </w:t>
      </w:r>
      <w:r>
        <w:rPr>
          <w:bCs/>
        </w:rPr>
        <w:t>一般性</w:t>
      </w:r>
      <w:r>
        <w:t>勘探孔的深度应达到管底设计标高以下3m～5m，控制性勘探孔的深度宜达到管底设计标高以下5m～10m，并应符合下列规定：</w:t>
      </w:r>
    </w:p>
    <w:p>
      <w:pPr>
        <w:ind w:firstLine="482" w:firstLineChars="200"/>
      </w:pPr>
      <w:r>
        <w:rPr>
          <w:b/>
          <w:bCs/>
        </w:rPr>
        <w:t>1</w:t>
      </w:r>
      <w:r>
        <w:t xml:space="preserve">  当管线穿越河流时，勘探孔深度应达到河床最大冲刷深度以下5m～10m；</w:t>
      </w:r>
    </w:p>
    <w:p>
      <w:pPr>
        <w:ind w:firstLine="482" w:firstLineChars="200"/>
      </w:pPr>
      <w:r>
        <w:rPr>
          <w:b/>
          <w:bCs/>
        </w:rPr>
        <w:t xml:space="preserve">2 </w:t>
      </w:r>
      <w:r>
        <w:t xml:space="preserve"> 当管线基底下存在松软土层、湿陷性土及可能产生流砂、潜蚀或液化地层时，勘探孔深度应加深或钻穿；</w:t>
      </w:r>
    </w:p>
    <w:p>
      <w:pPr>
        <w:ind w:firstLine="482" w:firstLineChars="200"/>
      </w:pPr>
      <w:r>
        <w:rPr>
          <w:b/>
          <w:bCs/>
        </w:rPr>
        <w:t>3</w:t>
      </w:r>
      <w:r>
        <w:t xml:space="preserve">  采取降低地下水位来进行管线施工的地段，勘探孔孔深应在管底以下5m～10m，且应穿透主要含水层；</w:t>
      </w:r>
    </w:p>
    <w:p>
      <w:pPr>
        <w:ind w:firstLine="482" w:firstLineChars="200"/>
      </w:pPr>
      <w:r>
        <w:rPr>
          <w:b/>
          <w:bCs/>
        </w:rPr>
        <w:t>4</w:t>
      </w:r>
      <w:r>
        <w:t xml:space="preserve">  </w:t>
      </w:r>
      <w:r>
        <w:rPr>
          <w:szCs w:val="24"/>
        </w:rPr>
        <w:t>当管线下部有承压强透水层时，勘探孔宜钻穿承压水层，并应量测和评估承压水位</w:t>
      </w:r>
      <w:r>
        <w:t>；</w:t>
      </w:r>
    </w:p>
    <w:p>
      <w:pPr>
        <w:widowControl/>
        <w:adjustRightInd w:val="0"/>
        <w:snapToGrid w:val="0"/>
        <w:ind w:firstLine="482" w:firstLineChars="200"/>
      </w:pPr>
      <w:r>
        <w:rPr>
          <w:b/>
          <w:bCs/>
        </w:rPr>
        <w:t xml:space="preserve">5 </w:t>
      </w:r>
      <w:r>
        <w:t xml:space="preserve"> 始发井和接收井的勘探孔深度不应小于井底以下5m，对深厚软土、强透水层等地层应适当加深并应穿透。</w:t>
      </w:r>
    </w:p>
    <w:p>
      <w:pPr>
        <w:widowControl/>
        <w:adjustRightInd w:val="0"/>
        <w:snapToGrid w:val="0"/>
        <w:ind w:firstLine="480" w:firstLineChars="200"/>
      </w:pPr>
    </w:p>
    <w:p>
      <w:pPr>
        <w:pStyle w:val="3"/>
        <w:rPr>
          <w:rFonts w:eastAsia="黑体" w:cs="Times New Roman"/>
          <w:b w:val="0"/>
        </w:rPr>
      </w:pPr>
      <w:bookmarkStart w:id="120" w:name="_Toc47692149"/>
      <w:bookmarkStart w:id="121" w:name="_Toc12673"/>
      <w:bookmarkStart w:id="122" w:name="_Toc28836"/>
      <w:bookmarkStart w:id="123" w:name="_Toc17930"/>
      <w:bookmarkStart w:id="124" w:name="_Toc14915"/>
      <w:bookmarkStart w:id="125" w:name="_Toc60173778"/>
      <w:bookmarkStart w:id="126" w:name="_Toc18057029"/>
      <w:bookmarkStart w:id="127" w:name="_Toc14871"/>
      <w:bookmarkStart w:id="128" w:name="_Toc12311"/>
      <w:bookmarkStart w:id="129" w:name="_Toc15953"/>
      <w:bookmarkStart w:id="130" w:name="_Toc60172891"/>
      <w:r>
        <w:rPr>
          <w:rFonts w:eastAsia="黑体" w:cs="Times New Roman"/>
        </w:rPr>
        <w:t>4.</w:t>
      </w:r>
      <w:bookmarkStart w:id="131" w:name="_Toc178586070"/>
      <w:r>
        <w:rPr>
          <w:rFonts w:eastAsia="黑体" w:cs="Times New Roman"/>
        </w:rPr>
        <w:t>3</w:t>
      </w:r>
      <w:r>
        <w:rPr>
          <w:rFonts w:eastAsia="黑体" w:cs="Times New Roman"/>
          <w:b w:val="0"/>
        </w:rPr>
        <w:t xml:space="preserve">  地下水勘察</w:t>
      </w:r>
      <w:bookmarkEnd w:id="120"/>
      <w:bookmarkEnd w:id="121"/>
      <w:bookmarkEnd w:id="122"/>
      <w:bookmarkEnd w:id="123"/>
      <w:bookmarkEnd w:id="124"/>
      <w:bookmarkEnd w:id="125"/>
      <w:bookmarkEnd w:id="126"/>
      <w:bookmarkEnd w:id="127"/>
      <w:bookmarkEnd w:id="128"/>
      <w:bookmarkEnd w:id="129"/>
      <w:bookmarkEnd w:id="130"/>
    </w:p>
    <w:p>
      <w:r>
        <w:rPr>
          <w:b/>
          <w:bCs/>
        </w:rPr>
        <w:t>4.3.1</w:t>
      </w:r>
      <w:r>
        <w:t xml:space="preserve">  应调查地下水类型、含水层、地下水埋藏条件、补给与排泄条件、分布特征。</w:t>
      </w:r>
    </w:p>
    <w:p>
      <w:r>
        <w:rPr>
          <w:b/>
          <w:bCs/>
        </w:rPr>
        <w:t xml:space="preserve">4.3.2  </w:t>
      </w:r>
      <w:r>
        <w:t>应调查历史上地下水的最高水位、最低水位、水位变化幅度。</w:t>
      </w:r>
    </w:p>
    <w:p>
      <w:r>
        <w:rPr>
          <w:b/>
          <w:bCs/>
        </w:rPr>
        <w:t xml:space="preserve">4.3.3  </w:t>
      </w:r>
      <w:r>
        <w:t>应测定地下水的pH值</w:t>
      </w:r>
      <w:r>
        <w:rPr>
          <w:rFonts w:hint="eastAsia"/>
        </w:rPr>
        <w:t>和</w:t>
      </w:r>
      <w:r>
        <w:t>氯离子、钙离子和硫酸根离子等的含量。</w:t>
      </w:r>
    </w:p>
    <w:p>
      <w:r>
        <w:rPr>
          <w:b/>
          <w:bCs/>
        </w:rPr>
        <w:t xml:space="preserve">4.3.4  </w:t>
      </w:r>
      <w:r>
        <w:t>当地下有承压水分布时，应量测承压水的压力，。</w:t>
      </w:r>
    </w:p>
    <w:bookmarkEnd w:id="131"/>
    <w:p>
      <w:bookmarkStart w:id="132" w:name="_Toc18302"/>
      <w:bookmarkStart w:id="133" w:name="_Toc30331"/>
      <w:bookmarkStart w:id="134" w:name="_Toc14394"/>
      <w:bookmarkStart w:id="135" w:name="_Toc13081"/>
      <w:bookmarkStart w:id="136" w:name="_Toc18057030"/>
      <w:bookmarkStart w:id="137" w:name="_Toc13861"/>
      <w:bookmarkStart w:id="138" w:name="_Toc16111"/>
      <w:bookmarkStart w:id="139" w:name="_Toc484503831"/>
    </w:p>
    <w:p>
      <w:pPr>
        <w:pStyle w:val="3"/>
        <w:rPr>
          <w:rFonts w:eastAsia="黑体" w:cs="Times New Roman"/>
          <w:b w:val="0"/>
        </w:rPr>
      </w:pPr>
      <w:bookmarkStart w:id="140" w:name="_Toc19742"/>
      <w:bookmarkStart w:id="141" w:name="_Toc60172892"/>
      <w:bookmarkStart w:id="142" w:name="_Toc60173779"/>
      <w:bookmarkStart w:id="143" w:name="_Toc47692150"/>
      <w:r>
        <w:rPr>
          <w:rFonts w:hint="eastAsia" w:eastAsia="黑体" w:cs="Times New Roman"/>
        </w:rPr>
        <w:t>4.4</w:t>
      </w:r>
      <w:r>
        <w:rPr>
          <w:rFonts w:hint="eastAsia" w:eastAsia="黑体" w:cs="Times New Roman"/>
          <w:b w:val="0"/>
        </w:rPr>
        <w:t xml:space="preserve">  </w:t>
      </w:r>
      <w:r>
        <w:rPr>
          <w:rFonts w:eastAsia="黑体" w:cs="Times New Roman"/>
          <w:b w:val="0"/>
        </w:rPr>
        <w:t>勘察报告</w:t>
      </w:r>
      <w:bookmarkEnd w:id="132"/>
      <w:bookmarkEnd w:id="133"/>
      <w:bookmarkEnd w:id="134"/>
      <w:bookmarkEnd w:id="135"/>
      <w:bookmarkEnd w:id="136"/>
      <w:bookmarkEnd w:id="137"/>
      <w:bookmarkEnd w:id="138"/>
      <w:bookmarkEnd w:id="139"/>
      <w:bookmarkEnd w:id="140"/>
      <w:bookmarkEnd w:id="141"/>
      <w:bookmarkEnd w:id="142"/>
      <w:bookmarkEnd w:id="143"/>
    </w:p>
    <w:p>
      <w:r>
        <w:rPr>
          <w:b/>
          <w:bCs/>
        </w:rPr>
        <w:t>4.4.</w:t>
      </w:r>
      <w:r>
        <w:rPr>
          <w:rFonts w:hint="eastAsia"/>
          <w:b/>
          <w:bCs/>
        </w:rPr>
        <w:t>1</w:t>
      </w:r>
      <w:r>
        <w:rPr>
          <w:b/>
          <w:bCs/>
        </w:rPr>
        <w:t xml:space="preserve">  </w:t>
      </w:r>
      <w:r>
        <w:rPr>
          <w:szCs w:val="24"/>
        </w:rPr>
        <w:t>勘</w:t>
      </w:r>
      <w:r>
        <w:rPr>
          <w:rFonts w:hint="eastAsia"/>
          <w:szCs w:val="24"/>
        </w:rPr>
        <w:t>察</w:t>
      </w:r>
      <w:r>
        <w:rPr>
          <w:szCs w:val="24"/>
        </w:rPr>
        <w:t>报告应提供各土层物理力学性质参数，以及地下水和环境资料，并做出针对性的分析评价、结论和建议</w:t>
      </w:r>
      <w:r>
        <w:rPr>
          <w:rFonts w:hint="eastAsia"/>
        </w:rPr>
        <w:t>，包括下列内容：</w:t>
      </w:r>
    </w:p>
    <w:p>
      <w:pPr>
        <w:pStyle w:val="13"/>
        <w:ind w:firstLine="480"/>
      </w:pPr>
      <w:r>
        <w:rPr>
          <w:rFonts w:hint="eastAsia"/>
        </w:rPr>
        <w:t>1应</w:t>
      </w:r>
      <w:r>
        <w:t>评价地下水对混凝土、钢、铸铁及橡胶的腐蚀程度</w:t>
      </w:r>
      <w:r>
        <w:rPr>
          <w:rFonts w:hint="eastAsia"/>
        </w:rPr>
        <w:t>；</w:t>
      </w:r>
    </w:p>
    <w:p>
      <w:pPr>
        <w:pStyle w:val="13"/>
        <w:ind w:firstLine="480"/>
      </w:pPr>
      <w:r>
        <w:rPr>
          <w:rFonts w:hint="eastAsia"/>
        </w:rPr>
        <w:t>2当地下有承压水分布时，应评价对顶管工程施工的影响；</w:t>
      </w:r>
    </w:p>
    <w:p>
      <w:pPr>
        <w:pStyle w:val="13"/>
        <w:ind w:firstLine="480"/>
      </w:pPr>
      <w:r>
        <w:rPr>
          <w:rFonts w:hint="eastAsia"/>
        </w:rPr>
        <w:t>3</w:t>
      </w:r>
      <w:r>
        <w:t>当地下水位受潮汐水位影响时，应评价对顶管工程施工的影响</w:t>
      </w:r>
      <w:r>
        <w:rPr>
          <w:rFonts w:hint="eastAsia"/>
        </w:rPr>
        <w:t>。</w:t>
      </w:r>
    </w:p>
    <w:p>
      <w:r>
        <w:rPr>
          <w:b/>
          <w:bCs/>
        </w:rPr>
        <w:t>4.4.</w:t>
      </w:r>
      <w:r>
        <w:rPr>
          <w:rFonts w:hint="eastAsia"/>
          <w:b/>
          <w:bCs/>
        </w:rPr>
        <w:t>2</w:t>
      </w:r>
      <w:r>
        <w:rPr>
          <w:b/>
          <w:bCs/>
        </w:rPr>
        <w:t xml:space="preserve">  </w:t>
      </w:r>
      <w:r>
        <w:t>勘察报告应满足设计、施工的具体要求，提供相应的资料，并做出分析、结论和建议。</w:t>
      </w:r>
    </w:p>
    <w:p>
      <w:r>
        <w:rPr>
          <w:b/>
          <w:bCs/>
        </w:rPr>
        <w:t>4.4.</w:t>
      </w:r>
      <w:r>
        <w:rPr>
          <w:rFonts w:hint="eastAsia"/>
          <w:b/>
          <w:bCs/>
        </w:rPr>
        <w:t>3</w:t>
      </w:r>
      <w:r>
        <w:rPr>
          <w:b/>
          <w:bCs/>
        </w:rPr>
        <w:t xml:space="preserve">  </w:t>
      </w:r>
      <w:r>
        <w:t>不同阶段的勘察报告应分别满足工程规划、设计、施工阶段的技术要求，并应符合下列规定：</w:t>
      </w:r>
    </w:p>
    <w:p>
      <w:pPr>
        <w:ind w:firstLine="482" w:firstLineChars="200"/>
      </w:pPr>
      <w:r>
        <w:rPr>
          <w:b/>
          <w:bCs/>
        </w:rPr>
        <w:t xml:space="preserve">1  </w:t>
      </w:r>
      <w:r>
        <w:t>初步勘察报告应阐述场地工程地质条件、评价场地稳定性和适应性，推荐管道最优线路方案；</w:t>
      </w:r>
    </w:p>
    <w:p>
      <w:pPr>
        <w:ind w:firstLine="482" w:firstLineChars="200"/>
      </w:pPr>
      <w:r>
        <w:rPr>
          <w:b/>
          <w:bCs/>
        </w:rPr>
        <w:t xml:space="preserve">2  </w:t>
      </w:r>
      <w:r>
        <w:t>详细勘察报告应分段评价岩土工程条件，应提供顶管和工作井设计、施工所需的各土层物理力学性质指标，以及地下水资料，</w:t>
      </w:r>
      <w:r>
        <w:rPr>
          <w:rFonts w:hint="eastAsia"/>
        </w:rPr>
        <w:t>并应</w:t>
      </w:r>
      <w:r>
        <w:t>对工作井和顶管设计、施工方案提出建议</w:t>
      </w:r>
      <w:r>
        <w:rPr>
          <w:rFonts w:hint="eastAsia"/>
        </w:rPr>
        <w:t>和</w:t>
      </w:r>
      <w:r>
        <w:t>针对性的分析评价。</w:t>
      </w:r>
    </w:p>
    <w:p>
      <w:r>
        <w:rPr>
          <w:b/>
          <w:bCs/>
        </w:rPr>
        <w:t>4.4.</w:t>
      </w:r>
      <w:r>
        <w:rPr>
          <w:rFonts w:hint="eastAsia"/>
          <w:b/>
          <w:bCs/>
        </w:rPr>
        <w:t>4</w:t>
      </w:r>
      <w:r>
        <w:t xml:space="preserve">  工程地质条件简单和勘察工程量小的工程，可适当简化勘察报告的内容。</w:t>
      </w:r>
    </w:p>
    <w:p>
      <w:r>
        <w:rPr>
          <w:b/>
          <w:bCs/>
        </w:rPr>
        <w:t>4.4.</w:t>
      </w:r>
      <w:r>
        <w:rPr>
          <w:rFonts w:hint="eastAsia"/>
          <w:b/>
          <w:bCs/>
        </w:rPr>
        <w:t>5</w:t>
      </w:r>
      <w:r>
        <w:rPr>
          <w:b/>
          <w:bCs/>
        </w:rPr>
        <w:t xml:space="preserve">  </w:t>
      </w:r>
      <w:r>
        <w:t>勘察报告应由文字和图表两部分内容构成，并应符合下列规定：</w:t>
      </w:r>
    </w:p>
    <w:p>
      <w:pPr>
        <w:ind w:firstLine="482" w:firstLineChars="200"/>
      </w:pPr>
      <w:r>
        <w:rPr>
          <w:b/>
        </w:rPr>
        <w:t>1</w:t>
      </w:r>
      <w:r>
        <w:t xml:space="preserve">  勘察报告文字部分应包</w:t>
      </w:r>
      <w:r>
        <w:rPr>
          <w:rFonts w:hint="eastAsia"/>
        </w:rPr>
        <w:t>括</w:t>
      </w:r>
      <w:r>
        <w:t>下列内容：</w:t>
      </w:r>
    </w:p>
    <w:p>
      <w:pPr>
        <w:ind w:left="1134" w:leftChars="355" w:hanging="282" w:hangingChars="117"/>
      </w:pPr>
      <w:r>
        <w:rPr>
          <w:b/>
          <w:bCs/>
        </w:rPr>
        <w:t>1）</w:t>
      </w:r>
      <w:r>
        <w:t>勘察目的和任务要求；</w:t>
      </w:r>
    </w:p>
    <w:p>
      <w:pPr>
        <w:ind w:left="1134" w:leftChars="355" w:hanging="282" w:hangingChars="117"/>
      </w:pPr>
      <w:r>
        <w:rPr>
          <w:b/>
          <w:bCs/>
        </w:rPr>
        <w:t>2）</w:t>
      </w:r>
      <w:r>
        <w:t>勘察方法和工作布置；</w:t>
      </w:r>
    </w:p>
    <w:p>
      <w:pPr>
        <w:ind w:left="1134" w:leftChars="355" w:hanging="282" w:hangingChars="117"/>
      </w:pPr>
      <w:r>
        <w:rPr>
          <w:b/>
          <w:bCs/>
        </w:rPr>
        <w:t>3</w:t>
      </w:r>
      <w:r>
        <w:t>）拟建顶管工程的基本特性；</w:t>
      </w:r>
    </w:p>
    <w:p>
      <w:pPr>
        <w:ind w:left="1134" w:leftChars="355" w:hanging="282" w:hangingChars="117"/>
      </w:pPr>
      <w:r>
        <w:rPr>
          <w:b/>
          <w:bCs/>
        </w:rPr>
        <w:t>4</w:t>
      </w:r>
      <w:r>
        <w:t>）场地地形、地质（地层、地质构造）、地貌、岩土性质、地下水及不良地质现象的阐述和评价；</w:t>
      </w:r>
    </w:p>
    <w:p>
      <w:pPr>
        <w:ind w:left="1134" w:leftChars="355" w:hanging="282" w:hangingChars="117"/>
      </w:pPr>
      <w:r>
        <w:rPr>
          <w:b/>
          <w:bCs/>
        </w:rPr>
        <w:t>5</w:t>
      </w:r>
      <w:r>
        <w:t>）地基稳定性评价及建议地基处理方案；</w:t>
      </w:r>
    </w:p>
    <w:p>
      <w:pPr>
        <w:ind w:left="1134" w:leftChars="355" w:hanging="282" w:hangingChars="117"/>
      </w:pPr>
      <w:r>
        <w:rPr>
          <w:b/>
          <w:bCs/>
        </w:rPr>
        <w:t>6</w:t>
      </w:r>
      <w:r>
        <w:t>）岩土参数的搜集、分析和选用；</w:t>
      </w:r>
    </w:p>
    <w:p>
      <w:pPr>
        <w:ind w:left="1134" w:leftChars="355" w:hanging="282" w:hangingChars="117"/>
      </w:pPr>
      <w:r>
        <w:rPr>
          <w:b/>
          <w:bCs/>
        </w:rPr>
        <w:t>7</w:t>
      </w:r>
      <w:r>
        <w:t>）工程施工期间可能发生的岩土工程问题的预测及监控、防治措施的建议；</w:t>
      </w:r>
    </w:p>
    <w:p>
      <w:pPr>
        <w:ind w:left="1134" w:leftChars="355" w:hanging="282" w:hangingChars="117"/>
      </w:pPr>
      <w:r>
        <w:rPr>
          <w:b/>
          <w:bCs/>
        </w:rPr>
        <w:t>8</w:t>
      </w:r>
      <w:r>
        <w:rPr>
          <w:bCs/>
        </w:rPr>
        <w:t>）</w:t>
      </w:r>
      <w:r>
        <w:t>顶管施工中有无易燃易爆和有毒气体评价；</w:t>
      </w:r>
    </w:p>
    <w:p>
      <w:pPr>
        <w:ind w:left="1134" w:leftChars="355" w:hanging="282" w:hangingChars="117"/>
      </w:pPr>
      <w:r>
        <w:rPr>
          <w:b/>
          <w:bCs/>
        </w:rPr>
        <w:t>9）</w:t>
      </w:r>
      <w:r>
        <w:t>顶管施工对周边环境影响的分析和评价；</w:t>
      </w:r>
    </w:p>
    <w:p>
      <w:pPr>
        <w:ind w:left="1134" w:leftChars="355" w:hanging="282" w:hangingChars="117"/>
      </w:pPr>
      <w:r>
        <w:rPr>
          <w:b/>
          <w:bCs/>
        </w:rPr>
        <w:t>10）</w:t>
      </w:r>
      <w:r>
        <w:t>有关顶管工程设计和施工措施的建议。</w:t>
      </w:r>
    </w:p>
    <w:p>
      <w:pPr>
        <w:ind w:firstLine="482" w:firstLineChars="200"/>
      </w:pPr>
      <w:r>
        <w:rPr>
          <w:b/>
          <w:bCs/>
        </w:rPr>
        <w:t xml:space="preserve">2  </w:t>
      </w:r>
      <w:r>
        <w:t>勘察报告图表部分应包括下列内容：</w:t>
      </w:r>
    </w:p>
    <w:p>
      <w:pPr>
        <w:ind w:firstLine="851" w:firstLineChars="353"/>
      </w:pPr>
      <w:r>
        <w:rPr>
          <w:b/>
          <w:bCs/>
        </w:rPr>
        <w:t>1</w:t>
      </w:r>
      <w:r>
        <w:t>）勘探点平面布置图；</w:t>
      </w:r>
    </w:p>
    <w:p>
      <w:pPr>
        <w:ind w:firstLine="851" w:firstLineChars="353"/>
      </w:pPr>
      <w:r>
        <w:rPr>
          <w:b/>
          <w:bCs/>
        </w:rPr>
        <w:t>2</w:t>
      </w:r>
      <w:r>
        <w:t>）工程地质柱状图；</w:t>
      </w:r>
    </w:p>
    <w:p>
      <w:pPr>
        <w:ind w:firstLine="851" w:firstLineChars="353"/>
      </w:pPr>
      <w:r>
        <w:rPr>
          <w:b/>
          <w:bCs/>
        </w:rPr>
        <w:t>3</w:t>
      </w:r>
      <w:r>
        <w:t>）工程地质剖面图；</w:t>
      </w:r>
    </w:p>
    <w:p>
      <w:pPr>
        <w:ind w:firstLine="851" w:firstLineChars="353"/>
      </w:pPr>
      <w:r>
        <w:rPr>
          <w:b/>
          <w:bCs/>
        </w:rPr>
        <w:t>4</w:t>
      </w:r>
      <w:r>
        <w:t>）原位测试成果图表；</w:t>
      </w:r>
    </w:p>
    <w:p>
      <w:pPr>
        <w:ind w:firstLine="851" w:firstLineChars="353"/>
      </w:pPr>
      <w:r>
        <w:rPr>
          <w:b/>
          <w:bCs/>
        </w:rPr>
        <w:t>5</w:t>
      </w:r>
      <w:r>
        <w:t>）室内试验成果图表。</w:t>
      </w:r>
    </w:p>
    <w:p>
      <w:pPr>
        <w:pStyle w:val="3"/>
        <w:rPr>
          <w:rFonts w:eastAsia="黑体" w:cs="Times New Roman"/>
          <w:b w:val="0"/>
        </w:rPr>
      </w:pPr>
      <w:bookmarkStart w:id="144" w:name="_Toc484503832"/>
      <w:bookmarkStart w:id="145" w:name="_Toc60172893"/>
      <w:bookmarkStart w:id="146" w:name="_Toc24851"/>
      <w:bookmarkStart w:id="147" w:name="_Toc6513"/>
      <w:bookmarkStart w:id="148" w:name="_Toc23615"/>
      <w:bookmarkStart w:id="149" w:name="_Toc47692151"/>
      <w:bookmarkStart w:id="150" w:name="_Toc18057031"/>
      <w:bookmarkStart w:id="151" w:name="_Toc3365"/>
      <w:bookmarkStart w:id="152" w:name="_Toc13447"/>
      <w:bookmarkStart w:id="153" w:name="_Toc6698"/>
      <w:bookmarkStart w:id="154" w:name="_Toc60173780"/>
      <w:bookmarkStart w:id="155" w:name="_Toc14242"/>
      <w:r>
        <w:rPr>
          <w:rFonts w:eastAsia="黑体" w:cs="Times New Roman"/>
        </w:rPr>
        <w:t>4.5</w:t>
      </w:r>
      <w:r>
        <w:rPr>
          <w:rFonts w:eastAsia="黑体" w:cs="Times New Roman"/>
          <w:b w:val="0"/>
        </w:rPr>
        <w:t xml:space="preserve">  地下管线和障碍物的探测</w:t>
      </w:r>
      <w:bookmarkEnd w:id="144"/>
      <w:bookmarkEnd w:id="145"/>
      <w:bookmarkEnd w:id="146"/>
      <w:bookmarkEnd w:id="147"/>
      <w:bookmarkEnd w:id="148"/>
      <w:bookmarkEnd w:id="149"/>
      <w:bookmarkEnd w:id="150"/>
      <w:bookmarkEnd w:id="151"/>
      <w:bookmarkEnd w:id="152"/>
      <w:bookmarkEnd w:id="153"/>
      <w:bookmarkEnd w:id="154"/>
      <w:bookmarkEnd w:id="155"/>
    </w:p>
    <w:p>
      <w:r>
        <w:rPr>
          <w:b/>
        </w:rPr>
        <w:t xml:space="preserve">4.5.1  </w:t>
      </w:r>
      <w:r>
        <w:t>物探工作应遵循下列原则：</w:t>
      </w:r>
    </w:p>
    <w:p>
      <w:pPr>
        <w:ind w:firstLine="482" w:firstLineChars="200"/>
      </w:pPr>
      <w:r>
        <w:rPr>
          <w:b/>
          <w:bCs/>
        </w:rPr>
        <w:t>1</w:t>
      </w:r>
      <w:r>
        <w:t xml:space="preserve">  工作前应通过方法</w:t>
      </w:r>
      <w:r>
        <w:rPr>
          <w:rFonts w:hint="eastAsia"/>
        </w:rPr>
        <w:t>比</w:t>
      </w:r>
      <w:r>
        <w:t>选</w:t>
      </w:r>
      <w:r>
        <w:rPr>
          <w:rFonts w:hint="eastAsia"/>
        </w:rPr>
        <w:t>采用</w:t>
      </w:r>
      <w:r>
        <w:t>探测技术和数据采集参数；</w:t>
      </w:r>
    </w:p>
    <w:p>
      <w:pPr>
        <w:ind w:firstLine="482" w:firstLineChars="200"/>
      </w:pPr>
      <w:r>
        <w:rPr>
          <w:b/>
          <w:bCs/>
        </w:rPr>
        <w:t>2</w:t>
      </w:r>
      <w:r>
        <w:t xml:space="preserve">  工作时宜从已知到未知，从简单到复杂；单一方法多解时，宜采用多种方法进行综合探测；</w:t>
      </w:r>
    </w:p>
    <w:p>
      <w:pPr>
        <w:ind w:firstLine="482" w:firstLineChars="200"/>
      </w:pPr>
      <w:r>
        <w:rPr>
          <w:b/>
          <w:bCs/>
        </w:rPr>
        <w:t>3</w:t>
      </w:r>
      <w:r>
        <w:t xml:space="preserve">  工作时应充分收集和利用</w:t>
      </w:r>
      <w:r>
        <w:rPr>
          <w:rFonts w:hint="eastAsia"/>
        </w:rPr>
        <w:t>周边</w:t>
      </w:r>
      <w:r>
        <w:t>已有的</w:t>
      </w:r>
      <w:r>
        <w:rPr>
          <w:rFonts w:hint="eastAsia"/>
        </w:rPr>
        <w:t>工程</w:t>
      </w:r>
      <w:r>
        <w:t>地质、水文地质、地球物理、勘察、设计、施工及运营等资料。</w:t>
      </w:r>
    </w:p>
    <w:p>
      <w:r>
        <w:rPr>
          <w:b/>
        </w:rPr>
        <w:t xml:space="preserve">4.5.2  </w:t>
      </w:r>
      <w:r>
        <w:t>地下管线探测应符合下列规定：</w:t>
      </w:r>
    </w:p>
    <w:p>
      <w:pPr>
        <w:ind w:firstLine="482" w:firstLineChars="200"/>
      </w:pPr>
      <w:r>
        <w:rPr>
          <w:b/>
          <w:bCs/>
        </w:rPr>
        <w:t>1</w:t>
      </w:r>
      <w:r>
        <w:t xml:space="preserve">  地下管线探测应在现有地下管线资料调绘工作的基础上，采用实地调查与仪器探测相结合的方法，实地查明各种地下管线的敷设状况，绘制探测草图，并</w:t>
      </w:r>
      <w:r>
        <w:rPr>
          <w:rFonts w:hint="eastAsia"/>
        </w:rPr>
        <w:t>应</w:t>
      </w:r>
      <w:r>
        <w:t>在地面上设置管线点标志；</w:t>
      </w:r>
    </w:p>
    <w:p>
      <w:pPr>
        <w:ind w:firstLine="482" w:firstLineChars="200"/>
      </w:pPr>
      <w:r>
        <w:rPr>
          <w:b/>
          <w:bCs/>
        </w:rPr>
        <w:t xml:space="preserve">2 </w:t>
      </w:r>
      <w:r>
        <w:t xml:space="preserve"> 地下管线探测点的点位应设置在管线特征点或附属设施中心点上，在无特征点的直线段上应设置地下管线探测点，探测点在地形图上的间距不应大于0.15m；</w:t>
      </w:r>
    </w:p>
    <w:p>
      <w:pPr>
        <w:ind w:firstLine="482" w:firstLineChars="200"/>
      </w:pPr>
      <w:r>
        <w:rPr>
          <w:b/>
          <w:bCs/>
        </w:rPr>
        <w:t xml:space="preserve">3 </w:t>
      </w:r>
      <w:r>
        <w:t xml:space="preserve"> </w:t>
      </w:r>
      <w:r>
        <w:rPr>
          <w:rFonts w:hint="eastAsia"/>
        </w:rPr>
        <w:t>遇弯曲的</w:t>
      </w:r>
      <w:r>
        <w:t>地下管线时，应在圆弧起讫点和中点设置地下管线探测点</w:t>
      </w:r>
      <w:r>
        <w:rPr>
          <w:rFonts w:hint="eastAsia"/>
        </w:rPr>
        <w:t>，</w:t>
      </w:r>
      <w:r>
        <w:t>圆弧较大时，设置的地下管线探测点应能反映地下管线的弯曲特征；</w:t>
      </w:r>
    </w:p>
    <w:p>
      <w:pPr>
        <w:ind w:firstLine="482" w:firstLineChars="200"/>
      </w:pPr>
      <w:r>
        <w:rPr>
          <w:b/>
          <w:bCs/>
        </w:rPr>
        <w:t>4</w:t>
      </w:r>
      <w:r>
        <w:t xml:space="preserve">  当采用现有的探测技术手段不能查明地下管线的空间位置时，宜进行开挖或钎探探查。现场条件不允许开挖或钎探时，应将问题记录在案。</w:t>
      </w:r>
    </w:p>
    <w:p>
      <w:r>
        <w:rPr>
          <w:b/>
        </w:rPr>
        <w:t xml:space="preserve">4.5.3  </w:t>
      </w:r>
      <w:r>
        <w:t>基岩埋深的探测方法可按下列规定选择：</w:t>
      </w:r>
    </w:p>
    <w:p>
      <w:pPr>
        <w:ind w:firstLine="482" w:firstLineChars="200"/>
      </w:pPr>
      <w:r>
        <w:rPr>
          <w:b/>
          <w:bCs/>
        </w:rPr>
        <w:t>1</w:t>
      </w:r>
      <w:r>
        <w:t xml:space="preserve">  探测基岩埋深，划分松散沉积岩层和基岩风化带，可选用电法、电磁法、地震波法和声波法等；</w:t>
      </w:r>
    </w:p>
    <w:p>
      <w:pPr>
        <w:ind w:firstLine="482" w:firstLineChars="200"/>
      </w:pPr>
      <w:r>
        <w:rPr>
          <w:b/>
          <w:bCs/>
        </w:rPr>
        <w:t xml:space="preserve">2 </w:t>
      </w:r>
      <w:r>
        <w:t xml:space="preserve"> 采用电磁法探测基岩埋深时，可采用频率测深、电磁感应法、地质雷达法等；</w:t>
      </w:r>
    </w:p>
    <w:p>
      <w:pPr>
        <w:ind w:firstLine="482" w:firstLineChars="200"/>
      </w:pPr>
      <w:r>
        <w:rPr>
          <w:b/>
          <w:bCs/>
        </w:rPr>
        <w:t>3</w:t>
      </w:r>
      <w:r>
        <w:t xml:space="preserve">  采用地震波和声波法探测基岩埋深时，可采用折射波法、反射波法、瑞雷波法、声波法等。</w:t>
      </w:r>
    </w:p>
    <w:p>
      <w:r>
        <w:rPr>
          <w:b/>
        </w:rPr>
        <w:t xml:space="preserve">4.5.4  </w:t>
      </w:r>
      <w:r>
        <w:t>孤石探测可按下列规定执行：</w:t>
      </w:r>
    </w:p>
    <w:p>
      <w:pPr>
        <w:ind w:firstLine="482" w:firstLineChars="200"/>
      </w:pPr>
      <w:r>
        <w:rPr>
          <w:b/>
          <w:bCs/>
        </w:rPr>
        <w:t>1</w:t>
      </w:r>
      <w:r>
        <w:t xml:space="preserve">  当孤石性质与周边介质相差明显时，可通过弹性波速度特征推断孤石的位置和大小；</w:t>
      </w:r>
    </w:p>
    <w:p>
      <w:pPr>
        <w:ind w:firstLine="482" w:firstLineChars="200"/>
      </w:pPr>
      <w:r>
        <w:rPr>
          <w:b/>
          <w:bCs/>
        </w:rPr>
        <w:t>2</w:t>
      </w:r>
      <w:r>
        <w:t xml:space="preserve">  当孤石与周边介质密度相差较大、粒径较大时，可通过重力探测判定；</w:t>
      </w:r>
    </w:p>
    <w:p>
      <w:pPr>
        <w:ind w:firstLine="482" w:firstLineChars="200"/>
      </w:pPr>
      <w:r>
        <w:rPr>
          <w:b/>
          <w:bCs/>
        </w:rPr>
        <w:t>3</w:t>
      </w:r>
      <w:r>
        <w:t xml:space="preserve">  当孤石的电阻率与周边介质相差较大时，可采用电法探测、电磁法探测、地震波法和声波法探测。</w:t>
      </w:r>
    </w:p>
    <w:p>
      <w:r>
        <w:rPr>
          <w:b/>
        </w:rPr>
        <w:t xml:space="preserve">4.5.5  </w:t>
      </w:r>
      <w:r>
        <w:t>物探工作的质量检查应符合下列规定：</w:t>
      </w:r>
    </w:p>
    <w:p>
      <w:pPr>
        <w:ind w:firstLine="482" w:firstLineChars="200"/>
      </w:pPr>
      <w:r>
        <w:rPr>
          <w:b/>
          <w:bCs/>
        </w:rPr>
        <w:t>1</w:t>
      </w:r>
      <w:r>
        <w:t xml:space="preserve">  质量检查应根据具体探测方法选择检查方式；</w:t>
      </w:r>
    </w:p>
    <w:p>
      <w:pPr>
        <w:ind w:firstLine="482" w:firstLineChars="200"/>
      </w:pPr>
      <w:r>
        <w:rPr>
          <w:b/>
          <w:bCs/>
        </w:rPr>
        <w:t>2</w:t>
      </w:r>
      <w:r>
        <w:t xml:space="preserve">  检查点应均衡分布、随机选取，异常和可疑地段应重点检查；</w:t>
      </w:r>
    </w:p>
    <w:p>
      <w:pPr>
        <w:ind w:firstLine="482" w:firstLineChars="200"/>
      </w:pPr>
      <w:r>
        <w:rPr>
          <w:b/>
          <w:bCs/>
        </w:rPr>
        <w:t>3</w:t>
      </w:r>
      <w:r>
        <w:t xml:space="preserve">  在资料审核时应提交质量检查资料。</w:t>
      </w:r>
    </w:p>
    <w:p>
      <w:pPr>
        <w:ind w:firstLine="480" w:firstLineChars="200"/>
      </w:pPr>
    </w:p>
    <w:p>
      <w:pPr>
        <w:rPr>
          <w:rFonts w:eastAsia="华文仿宋"/>
        </w:rPr>
        <w:sectPr>
          <w:pgSz w:w="11906" w:h="16838"/>
          <w:pgMar w:top="1440" w:right="1800" w:bottom="1440" w:left="1800" w:header="851" w:footer="992" w:gutter="0"/>
          <w:cols w:space="425" w:num="1"/>
          <w:docGrid w:type="lines" w:linePitch="312" w:charSpace="0"/>
        </w:sectPr>
      </w:pPr>
    </w:p>
    <w:p>
      <w:pPr>
        <w:keepNext/>
        <w:keepLines/>
        <w:spacing w:before="100" w:after="100"/>
        <w:jc w:val="center"/>
        <w:outlineLvl w:val="0"/>
        <w:rPr>
          <w:b/>
          <w:bCs/>
          <w:kern w:val="44"/>
          <w:sz w:val="32"/>
          <w:szCs w:val="44"/>
        </w:rPr>
      </w:pPr>
      <w:bookmarkStart w:id="156" w:name="_Toc24848"/>
      <w:bookmarkStart w:id="157" w:name="_Toc11092"/>
      <w:bookmarkStart w:id="158" w:name="_Toc29316"/>
      <w:bookmarkStart w:id="159" w:name="_Toc26465"/>
      <w:bookmarkStart w:id="160" w:name="_Toc11526"/>
      <w:bookmarkStart w:id="161" w:name="_Toc1617"/>
      <w:bookmarkStart w:id="162" w:name="_Toc14484"/>
      <w:r>
        <w:rPr>
          <w:b/>
          <w:bCs/>
          <w:kern w:val="44"/>
          <w:sz w:val="32"/>
          <w:szCs w:val="44"/>
        </w:rPr>
        <w:fldChar w:fldCharType="begin"/>
      </w:r>
      <w:r>
        <w:rPr>
          <w:b/>
          <w:bCs/>
          <w:kern w:val="44"/>
          <w:sz w:val="32"/>
          <w:szCs w:val="44"/>
        </w:rPr>
        <w:instrText xml:space="preserve"> HYPERLINK \l "_Toc31145" </w:instrText>
      </w:r>
      <w:r>
        <w:rPr>
          <w:b/>
          <w:bCs/>
          <w:kern w:val="44"/>
          <w:sz w:val="32"/>
          <w:szCs w:val="44"/>
        </w:rPr>
        <w:fldChar w:fldCharType="separate"/>
      </w:r>
      <w:bookmarkStart w:id="163" w:name="_Toc60173781"/>
      <w:bookmarkStart w:id="164" w:name="_Toc60172894"/>
      <w:bookmarkStart w:id="165" w:name="_Toc18057032"/>
      <w:bookmarkStart w:id="166" w:name="_Toc47692152"/>
      <w:r>
        <w:rPr>
          <w:b/>
          <w:bCs/>
          <w:kern w:val="44"/>
          <w:sz w:val="32"/>
          <w:szCs w:val="44"/>
        </w:rPr>
        <w:t>5  顶管设计</w:t>
      </w:r>
      <w:bookmarkEnd w:id="163"/>
      <w:bookmarkEnd w:id="164"/>
      <w:bookmarkEnd w:id="165"/>
      <w:bookmarkEnd w:id="166"/>
      <w:r>
        <w:rPr>
          <w:b/>
          <w:bCs/>
          <w:kern w:val="44"/>
          <w:sz w:val="32"/>
          <w:szCs w:val="44"/>
        </w:rPr>
        <w:fldChar w:fldCharType="end"/>
      </w:r>
      <w:bookmarkEnd w:id="156"/>
      <w:bookmarkEnd w:id="157"/>
      <w:bookmarkEnd w:id="158"/>
      <w:bookmarkEnd w:id="159"/>
      <w:bookmarkEnd w:id="160"/>
      <w:bookmarkEnd w:id="161"/>
      <w:bookmarkEnd w:id="162"/>
    </w:p>
    <w:p>
      <w:pPr>
        <w:keepNext/>
        <w:keepLines/>
        <w:jc w:val="center"/>
        <w:outlineLvl w:val="1"/>
        <w:rPr>
          <w:rFonts w:eastAsia="黑体"/>
          <w:bCs/>
          <w:sz w:val="28"/>
          <w:szCs w:val="32"/>
        </w:rPr>
      </w:pPr>
      <w:bookmarkStart w:id="167" w:name="_Toc18547"/>
      <w:bookmarkStart w:id="168" w:name="_Toc278"/>
      <w:bookmarkStart w:id="169" w:name="_Toc9171"/>
      <w:bookmarkStart w:id="170" w:name="_Toc26475"/>
      <w:bookmarkStart w:id="171" w:name="_Toc20196"/>
      <w:bookmarkStart w:id="172" w:name="_Toc6942"/>
      <w:bookmarkStart w:id="173" w:name="_Toc60172895"/>
      <w:bookmarkStart w:id="174" w:name="_Toc60173782"/>
      <w:bookmarkStart w:id="175" w:name="_Toc47692153"/>
      <w:bookmarkStart w:id="176" w:name="_Toc18057033"/>
      <w:bookmarkStart w:id="177" w:name="_Toc24330"/>
      <w:r>
        <w:rPr>
          <w:rFonts w:eastAsia="黑体"/>
          <w:b/>
          <w:bCs/>
          <w:sz w:val="28"/>
          <w:szCs w:val="32"/>
        </w:rPr>
        <w:t>5.1</w:t>
      </w:r>
      <w:r>
        <w:rPr>
          <w:rFonts w:eastAsia="黑体"/>
          <w:bCs/>
          <w:sz w:val="28"/>
          <w:szCs w:val="32"/>
        </w:rPr>
        <w:t xml:space="preserve">  一般规定</w:t>
      </w:r>
      <w:bookmarkEnd w:id="167"/>
      <w:bookmarkEnd w:id="168"/>
      <w:bookmarkEnd w:id="169"/>
      <w:bookmarkEnd w:id="170"/>
      <w:bookmarkEnd w:id="171"/>
      <w:bookmarkEnd w:id="172"/>
      <w:bookmarkEnd w:id="173"/>
      <w:bookmarkEnd w:id="174"/>
      <w:bookmarkEnd w:id="175"/>
      <w:bookmarkEnd w:id="176"/>
      <w:bookmarkEnd w:id="177"/>
    </w:p>
    <w:p>
      <w:pPr>
        <w:rPr>
          <w:b/>
        </w:rPr>
      </w:pPr>
      <w:r>
        <w:rPr>
          <w:b/>
        </w:rPr>
        <w:t xml:space="preserve">5.1.1  </w:t>
      </w:r>
      <w:r>
        <w:t>顶管设计应包括下列内容：</w:t>
      </w:r>
    </w:p>
    <w:p>
      <w:pPr>
        <w:ind w:left="480" w:leftChars="200"/>
      </w:pPr>
      <w:r>
        <w:rPr>
          <w:b/>
          <w:bCs/>
        </w:rPr>
        <w:t>1</w:t>
      </w:r>
      <w:r>
        <w:t xml:space="preserve">  顶管管位设计；</w:t>
      </w:r>
    </w:p>
    <w:p>
      <w:pPr>
        <w:ind w:left="480" w:leftChars="200"/>
      </w:pPr>
      <w:r>
        <w:rPr>
          <w:b/>
          <w:bCs/>
        </w:rPr>
        <w:t>2</w:t>
      </w:r>
      <w:r>
        <w:t xml:space="preserve">  作用；</w:t>
      </w:r>
    </w:p>
    <w:p>
      <w:pPr>
        <w:ind w:firstLine="482" w:firstLineChars="200"/>
      </w:pPr>
      <w:r>
        <w:rPr>
          <w:b/>
          <w:bCs/>
        </w:rPr>
        <w:t>3</w:t>
      </w:r>
      <w:r>
        <w:t xml:space="preserve">  管节结构设计；</w:t>
      </w:r>
    </w:p>
    <w:p>
      <w:pPr>
        <w:ind w:left="480" w:leftChars="200"/>
      </w:pPr>
      <w:r>
        <w:rPr>
          <w:b/>
          <w:bCs/>
        </w:rPr>
        <w:t>4</w:t>
      </w:r>
      <w:r>
        <w:t xml:space="preserve">  管节构造设计；</w:t>
      </w:r>
    </w:p>
    <w:p>
      <w:pPr>
        <w:ind w:left="480" w:leftChars="200"/>
      </w:pPr>
      <w:r>
        <w:rPr>
          <w:b/>
          <w:bCs/>
        </w:rPr>
        <w:t>5</w:t>
      </w:r>
      <w:r>
        <w:t xml:space="preserve">  </w:t>
      </w:r>
      <w:r>
        <w:rPr>
          <w:rFonts w:hint="eastAsia"/>
        </w:rPr>
        <w:t>顶管总顶力与中继间设置；</w:t>
      </w:r>
    </w:p>
    <w:p>
      <w:pPr>
        <w:ind w:left="480" w:leftChars="200"/>
      </w:pPr>
      <w:r>
        <w:rPr>
          <w:rFonts w:hint="eastAsia"/>
          <w:b/>
          <w:bCs/>
        </w:rPr>
        <w:t>6</w:t>
      </w:r>
      <w:r>
        <w:t xml:space="preserve">  工作井设计</w:t>
      </w:r>
      <w:r>
        <w:rPr>
          <w:rFonts w:hint="eastAsia"/>
        </w:rPr>
        <w:t>。</w:t>
      </w:r>
    </w:p>
    <w:p>
      <w:r>
        <w:rPr>
          <w:b/>
        </w:rPr>
        <w:t xml:space="preserve">5.1.2  </w:t>
      </w:r>
      <w:r>
        <w:rPr>
          <w:bCs/>
        </w:rPr>
        <w:t>顶管工程</w:t>
      </w:r>
      <w:r>
        <w:t>结构的极限状态设计应包括承载能力极限状态计算和正常使用极限状态验算。</w:t>
      </w:r>
    </w:p>
    <w:p>
      <w:pPr>
        <w:rPr>
          <w:bCs/>
        </w:rPr>
      </w:pPr>
      <w:r>
        <w:rPr>
          <w:b/>
        </w:rPr>
        <w:t xml:space="preserve">5.1.3  </w:t>
      </w:r>
      <w:r>
        <w:rPr>
          <w:rFonts w:hint="eastAsia"/>
          <w:bCs/>
        </w:rPr>
        <w:t>顶管工程结构使用阶段的设计与计算应按工程所属行业现行相关国家标准的规定执行并应符合下列规定：</w:t>
      </w:r>
    </w:p>
    <w:p>
      <w:pPr>
        <w:ind w:firstLine="480" w:firstLineChars="200"/>
      </w:pPr>
      <w:r>
        <w:rPr>
          <w:bCs/>
        </w:rPr>
        <w:t>1</w:t>
      </w:r>
      <w:r>
        <w:rPr>
          <w:rFonts w:hint="eastAsia"/>
          <w:bCs/>
        </w:rPr>
        <w:t>公路顶管工程设计与计算应符合现行行业标准</w:t>
      </w:r>
      <w:r>
        <w:rPr>
          <w:rFonts w:hint="eastAsia"/>
        </w:rPr>
        <w:t>《公路隧道设计规范</w:t>
      </w:r>
      <w:r>
        <w:t xml:space="preserve"> </w:t>
      </w:r>
      <w:r>
        <w:rPr>
          <w:rFonts w:hint="eastAsia"/>
        </w:rPr>
        <w:t>第一册</w:t>
      </w:r>
      <w:r>
        <w:t xml:space="preserve"> </w:t>
      </w:r>
      <w:r>
        <w:rPr>
          <w:rFonts w:hint="eastAsia"/>
        </w:rPr>
        <w:t>土建工程》</w:t>
      </w:r>
      <w:r>
        <w:t>JTG 3370.1</w:t>
      </w:r>
      <w:r>
        <w:rPr>
          <w:rFonts w:hint="eastAsia"/>
        </w:rPr>
        <w:t>的有关规定；</w:t>
      </w:r>
    </w:p>
    <w:p>
      <w:pPr>
        <w:ind w:left="240" w:leftChars="100" w:firstLine="240" w:firstLineChars="100"/>
      </w:pPr>
      <w:r>
        <w:t>2</w:t>
      </w:r>
      <w:r>
        <w:rPr>
          <w:rFonts w:hint="eastAsia"/>
          <w:bCs/>
        </w:rPr>
        <w:t>铁路顶管工程设计与计算应符合现行行业标准</w:t>
      </w:r>
      <w:r>
        <w:rPr>
          <w:rFonts w:hint="eastAsia"/>
        </w:rPr>
        <w:t>《铁路桥涵设计规范》</w:t>
      </w:r>
      <w:r>
        <w:t>TB1000</w:t>
      </w:r>
      <w:r>
        <w:rPr>
          <w:rFonts w:hint="eastAsia"/>
        </w:rPr>
        <w:t>、《铁路隧道设计规范》</w:t>
      </w:r>
      <w:r>
        <w:t>TB10003</w:t>
      </w:r>
      <w:r>
        <w:rPr>
          <w:rFonts w:hint="eastAsia"/>
        </w:rPr>
        <w:t>的有关规定；</w:t>
      </w:r>
    </w:p>
    <w:p>
      <w:pPr>
        <w:ind w:firstLine="480" w:firstLineChars="200"/>
      </w:pPr>
      <w:r>
        <w:t>3</w:t>
      </w:r>
      <w:r>
        <w:rPr>
          <w:rFonts w:hint="eastAsia"/>
          <w:bCs/>
        </w:rPr>
        <w:t>轨道交通顶管工程设计与计算应符合现行国家标准</w:t>
      </w:r>
      <w:r>
        <w:rPr>
          <w:rFonts w:hint="eastAsia"/>
        </w:rPr>
        <w:t>《地铁设计规范》</w:t>
      </w:r>
      <w:r>
        <w:t>GB50117</w:t>
      </w:r>
      <w:r>
        <w:rPr>
          <w:rFonts w:hint="eastAsia"/>
        </w:rPr>
        <w:t>的有关规定；</w:t>
      </w:r>
    </w:p>
    <w:p>
      <w:pPr>
        <w:ind w:firstLine="480" w:firstLineChars="200"/>
      </w:pPr>
      <w:r>
        <w:t>4</w:t>
      </w:r>
      <w:r>
        <w:rPr>
          <w:rFonts w:hint="eastAsia"/>
          <w:bCs/>
        </w:rPr>
        <w:t>市政隧道顶管工程设计与计算应符合现行行业标准</w:t>
      </w:r>
      <w:r>
        <w:rPr>
          <w:rFonts w:hint="eastAsia"/>
        </w:rPr>
        <w:t>《城市道路工程设计规范》</w:t>
      </w:r>
      <w:r>
        <w:t>CJJ37</w:t>
      </w:r>
      <w:r>
        <w:rPr>
          <w:rFonts w:hint="eastAsia"/>
        </w:rPr>
        <w:t>、《城市地下道路工程设计规范》</w:t>
      </w:r>
      <w:r>
        <w:t>CJJ221</w:t>
      </w:r>
      <w:r>
        <w:rPr>
          <w:rFonts w:hint="eastAsia"/>
        </w:rPr>
        <w:t>的有关规定；</w:t>
      </w:r>
    </w:p>
    <w:p>
      <w:pPr>
        <w:ind w:firstLine="480" w:firstLineChars="200"/>
      </w:pPr>
      <w:r>
        <w:t>5</w:t>
      </w:r>
      <w:r>
        <w:rPr>
          <w:rFonts w:hint="eastAsia"/>
          <w:bCs/>
        </w:rPr>
        <w:t>市政给排水顶管工程设计与计算应符合现行行业标准</w:t>
      </w:r>
      <w:r>
        <w:rPr>
          <w:rFonts w:hint="eastAsia"/>
        </w:rPr>
        <w:t>《给水排水工程管道结构设计规范》</w:t>
      </w:r>
      <w:r>
        <w:t>GB50332</w:t>
      </w:r>
      <w:r>
        <w:rPr>
          <w:rFonts w:hint="eastAsia"/>
        </w:rPr>
        <w:t>的有关规定。</w:t>
      </w:r>
    </w:p>
    <w:p>
      <w:pPr>
        <w:rPr>
          <w:bCs/>
        </w:rPr>
      </w:pPr>
      <w:r>
        <w:rPr>
          <w:b/>
        </w:rPr>
        <w:t>5.1.4</w:t>
      </w:r>
      <w:r>
        <w:rPr>
          <w:bCs/>
        </w:rPr>
        <w:t xml:space="preserve">  顶管工程施工阶段的设计与计算应按本规程第5.4节的规定执行。</w:t>
      </w:r>
    </w:p>
    <w:p>
      <w:r>
        <w:rPr>
          <w:b/>
        </w:rPr>
        <w:t xml:space="preserve">5.1.5  </w:t>
      </w:r>
      <w:r>
        <w:rPr>
          <w:rFonts w:hint="eastAsia"/>
        </w:rPr>
        <w:t>顶管遇到下列地层时，应对地层进行预处理：</w:t>
      </w:r>
    </w:p>
    <w:p>
      <w:pPr>
        <w:ind w:left="480" w:leftChars="200"/>
      </w:pPr>
      <w:r>
        <w:rPr>
          <w:b/>
          <w:bCs/>
        </w:rPr>
        <w:t xml:space="preserve">1 </w:t>
      </w:r>
      <w:r>
        <w:t xml:space="preserve"> </w:t>
      </w:r>
      <w:r>
        <w:rPr>
          <w:rFonts w:hint="eastAsia"/>
        </w:rPr>
        <w:t>标贯击数小于</w:t>
      </w:r>
      <w:r>
        <w:t>2</w:t>
      </w:r>
      <w:r>
        <w:rPr>
          <w:rFonts w:hint="eastAsia"/>
        </w:rPr>
        <w:t>的软土层；</w:t>
      </w:r>
    </w:p>
    <w:p>
      <w:pPr>
        <w:ind w:left="480" w:leftChars="200"/>
      </w:pPr>
      <w:r>
        <w:rPr>
          <w:b/>
          <w:bCs/>
        </w:rPr>
        <w:t xml:space="preserve">2 </w:t>
      </w:r>
      <w:r>
        <w:t xml:space="preserve"> </w:t>
      </w:r>
      <w:r>
        <w:rPr>
          <w:rFonts w:hint="eastAsia"/>
        </w:rPr>
        <w:t>单轴抗压强度大于</w:t>
      </w:r>
      <w:r>
        <w:t>3MPa</w:t>
      </w:r>
      <w:r>
        <w:rPr>
          <w:rFonts w:hint="eastAsia"/>
        </w:rPr>
        <w:t>的岩石地层；</w:t>
      </w:r>
    </w:p>
    <w:p>
      <w:pPr>
        <w:ind w:left="480" w:leftChars="200"/>
      </w:pPr>
      <w:r>
        <w:rPr>
          <w:b/>
          <w:bCs/>
        </w:rPr>
        <w:t>3</w:t>
      </w:r>
      <w:r>
        <w:t xml:space="preserve">  花岗岩球状风化体</w:t>
      </w:r>
      <w:r>
        <w:rPr>
          <w:rFonts w:hint="eastAsia"/>
        </w:rPr>
        <w:t>；</w:t>
      </w:r>
    </w:p>
    <w:p>
      <w:pPr>
        <w:ind w:left="480" w:leftChars="200"/>
      </w:pPr>
      <w:r>
        <w:rPr>
          <w:b/>
          <w:bCs/>
        </w:rPr>
        <w:t>4</w:t>
      </w:r>
      <w:r>
        <w:t xml:space="preserve">  </w:t>
      </w:r>
      <w:r>
        <w:rPr>
          <w:rFonts w:hint="eastAsia"/>
        </w:rPr>
        <w:t>粒径大于</w:t>
      </w:r>
      <w:r>
        <w:t>200mm</w:t>
      </w:r>
      <w:r>
        <w:rPr>
          <w:rFonts w:hint="eastAsia"/>
        </w:rPr>
        <w:t>的卵砾石地层。</w:t>
      </w:r>
    </w:p>
    <w:p>
      <w:pPr>
        <w:keepNext/>
        <w:keepLines/>
        <w:jc w:val="center"/>
        <w:outlineLvl w:val="1"/>
        <w:rPr>
          <w:rFonts w:eastAsia="黑体"/>
          <w:bCs/>
          <w:sz w:val="28"/>
          <w:szCs w:val="32"/>
        </w:rPr>
      </w:pPr>
      <w:bookmarkStart w:id="178" w:name="_Toc11590"/>
      <w:bookmarkStart w:id="179" w:name="_Toc26574"/>
      <w:bookmarkStart w:id="180" w:name="_Toc60172896"/>
      <w:bookmarkStart w:id="181" w:name="_Toc47692154"/>
      <w:bookmarkStart w:id="182" w:name="_Toc18057034"/>
      <w:bookmarkStart w:id="183" w:name="_Toc4205"/>
      <w:bookmarkStart w:id="184" w:name="_Toc334"/>
      <w:bookmarkStart w:id="185" w:name="_Toc29894"/>
      <w:bookmarkStart w:id="186" w:name="_Toc60173783"/>
      <w:bookmarkStart w:id="187" w:name="_Toc26013"/>
      <w:bookmarkStart w:id="188" w:name="_Toc24310"/>
      <w:r>
        <w:rPr>
          <w:rFonts w:eastAsia="黑体"/>
          <w:b/>
          <w:bCs/>
          <w:sz w:val="28"/>
          <w:szCs w:val="32"/>
        </w:rPr>
        <w:t>5.2</w:t>
      </w:r>
      <w:r>
        <w:rPr>
          <w:rFonts w:eastAsia="黑体"/>
          <w:bCs/>
          <w:sz w:val="28"/>
          <w:szCs w:val="32"/>
        </w:rPr>
        <w:t xml:space="preserve">  顶管管位设计</w:t>
      </w:r>
      <w:bookmarkEnd w:id="178"/>
      <w:bookmarkEnd w:id="179"/>
      <w:bookmarkEnd w:id="180"/>
      <w:bookmarkEnd w:id="181"/>
      <w:bookmarkEnd w:id="182"/>
      <w:bookmarkEnd w:id="183"/>
      <w:bookmarkEnd w:id="184"/>
      <w:bookmarkEnd w:id="185"/>
      <w:bookmarkEnd w:id="186"/>
      <w:bookmarkEnd w:id="187"/>
      <w:bookmarkEnd w:id="188"/>
    </w:p>
    <w:p>
      <w:r>
        <w:rPr>
          <w:b/>
        </w:rPr>
        <w:t>5.2.</w:t>
      </w:r>
      <w:r>
        <w:rPr>
          <w:rFonts w:hint="eastAsia"/>
          <w:b/>
        </w:rPr>
        <w:t>1</w:t>
      </w:r>
      <w:r>
        <w:rPr>
          <w:b/>
        </w:rPr>
        <w:t xml:space="preserve"> </w:t>
      </w:r>
      <w:r>
        <w:t xml:space="preserve"> </w:t>
      </w:r>
      <w:r>
        <w:rPr>
          <w:rFonts w:hint="eastAsia"/>
        </w:rPr>
        <w:t>对顶管工程影响范围内的建筑物或构筑物、地下管线应进行评估，并应采取监测、保护或迁改措施。当管位无法满足顶管结构外壁到临近建构筑物或管线最小保护净距时，应进行专项保护设计。</w:t>
      </w:r>
    </w:p>
    <w:p>
      <w:r>
        <w:rPr>
          <w:b/>
        </w:rPr>
        <w:t>5.2.</w:t>
      </w:r>
      <w:r>
        <w:rPr>
          <w:rFonts w:hint="eastAsia"/>
          <w:b/>
        </w:rPr>
        <w:t>2</w:t>
      </w:r>
      <w:r>
        <w:rPr>
          <w:b/>
        </w:rPr>
        <w:t xml:space="preserve">  </w:t>
      </w:r>
      <w:r>
        <w:t>顶管管位的选择应符合下列规定：</w:t>
      </w:r>
    </w:p>
    <w:p>
      <w:pPr>
        <w:ind w:firstLine="482" w:firstLineChars="200"/>
      </w:pPr>
      <w:r>
        <w:rPr>
          <w:b/>
          <w:bCs/>
        </w:rPr>
        <w:t>1</w:t>
      </w:r>
      <w:r>
        <w:t xml:space="preserve">  </w:t>
      </w:r>
      <w:r>
        <w:rPr>
          <w:szCs w:val="24"/>
        </w:rPr>
        <w:t>顶管</w:t>
      </w:r>
      <w:r>
        <w:t>不宜布置在横穿活动性的断裂带上；</w:t>
      </w:r>
    </w:p>
    <w:p>
      <w:pPr>
        <w:ind w:firstLine="482" w:firstLineChars="200"/>
      </w:pPr>
      <w:r>
        <w:rPr>
          <w:b/>
          <w:bCs/>
        </w:rPr>
        <w:t>2</w:t>
      </w:r>
      <w:r>
        <w:t xml:space="preserve">  穿越河道时，管道应布置在河床冲刷深度以下，并应满足通航要求；</w:t>
      </w:r>
    </w:p>
    <w:p>
      <w:pPr>
        <w:ind w:firstLine="482" w:firstLineChars="200"/>
      </w:pPr>
      <w:r>
        <w:rPr>
          <w:b/>
          <w:bCs/>
        </w:rPr>
        <w:t>3</w:t>
      </w:r>
      <w:r>
        <w:t xml:space="preserve">  宜预留顶管施工发生故障或碰到障碍时的处置空间；</w:t>
      </w:r>
    </w:p>
    <w:p>
      <w:pPr>
        <w:ind w:firstLine="482" w:firstLineChars="200"/>
      </w:pPr>
      <w:r>
        <w:rPr>
          <w:b/>
          <w:bCs/>
        </w:rPr>
        <w:t>4</w:t>
      </w:r>
      <w:r>
        <w:t xml:space="preserve">  穿越堤坝、河道、高铁、高速公路、地铁等特殊地段时，应通过专项评估并经相关政府管理部门批准。</w:t>
      </w:r>
    </w:p>
    <w:p>
      <w:r>
        <w:rPr>
          <w:b/>
        </w:rPr>
        <w:t>5.2.</w:t>
      </w:r>
      <w:r>
        <w:rPr>
          <w:rFonts w:hint="eastAsia"/>
          <w:b/>
        </w:rPr>
        <w:t>3</w:t>
      </w:r>
      <w:r>
        <w:rPr>
          <w:b/>
        </w:rPr>
        <w:t xml:space="preserve"> </w:t>
      </w:r>
      <w:r>
        <w:t xml:space="preserve"> 工作井位置的确定应符合下列规定：</w:t>
      </w:r>
    </w:p>
    <w:p>
      <w:pPr>
        <w:ind w:firstLine="482" w:firstLineChars="200"/>
      </w:pPr>
      <w:r>
        <w:rPr>
          <w:b/>
        </w:rPr>
        <w:t>1</w:t>
      </w:r>
      <w:r>
        <w:rPr>
          <w:bCs/>
        </w:rPr>
        <w:t xml:space="preserve">  </w:t>
      </w:r>
      <w:r>
        <w:t>工作井</w:t>
      </w:r>
      <w:r>
        <w:rPr>
          <w:rFonts w:hint="eastAsia"/>
        </w:rPr>
        <w:t>位置</w:t>
      </w:r>
      <w:r>
        <w:t>宜结合顶管管位</w:t>
      </w:r>
      <w:r>
        <w:rPr>
          <w:rFonts w:hint="eastAsia"/>
        </w:rPr>
        <w:t>确定</w:t>
      </w:r>
      <w:r>
        <w:t>；</w:t>
      </w:r>
    </w:p>
    <w:p>
      <w:pPr>
        <w:ind w:firstLine="482" w:firstLineChars="200"/>
      </w:pPr>
      <w:r>
        <w:rPr>
          <w:b/>
        </w:rPr>
        <w:t>2</w:t>
      </w:r>
      <w:r>
        <w:rPr>
          <w:bCs/>
        </w:rPr>
        <w:t xml:space="preserve">  </w:t>
      </w:r>
      <w:r>
        <w:t>工作井的位置应易于排水、出土和运输方便，并</w:t>
      </w:r>
      <w:r>
        <w:rPr>
          <w:rFonts w:hint="eastAsia"/>
        </w:rPr>
        <w:t>宜</w:t>
      </w:r>
      <w:r>
        <w:t>靠近电源和水源；</w:t>
      </w:r>
    </w:p>
    <w:p>
      <w:pPr>
        <w:ind w:firstLine="482" w:firstLineChars="200"/>
      </w:pPr>
      <w:r>
        <w:rPr>
          <w:b/>
        </w:rPr>
        <w:t>3</w:t>
      </w:r>
      <w:r>
        <w:rPr>
          <w:bCs/>
        </w:rPr>
        <w:t xml:space="preserve">  </w:t>
      </w:r>
      <w:r>
        <w:t>工作井的位置应远离居民区和高压线，并宜避开现有构（建）筑物；</w:t>
      </w:r>
    </w:p>
    <w:p>
      <w:pPr>
        <w:ind w:firstLine="482" w:firstLineChars="200"/>
      </w:pPr>
      <w:r>
        <w:rPr>
          <w:b/>
          <w:bCs/>
        </w:rPr>
        <w:t>4</w:t>
      </w:r>
      <w:r>
        <w:t xml:space="preserve">  沉井</w:t>
      </w:r>
      <w:r>
        <w:rPr>
          <w:rFonts w:hint="eastAsia"/>
        </w:rPr>
        <w:t>宜设置在</w:t>
      </w:r>
      <w:r>
        <w:t>周边至少1倍下沉总深度范围内无重要相邻建筑物或构筑物的环境。</w:t>
      </w:r>
    </w:p>
    <w:p>
      <w:r>
        <w:rPr>
          <w:b/>
        </w:rPr>
        <w:t>5.2.</w:t>
      </w:r>
      <w:r>
        <w:rPr>
          <w:rFonts w:hint="eastAsia"/>
          <w:b/>
        </w:rPr>
        <w:t>4</w:t>
      </w:r>
      <w:r>
        <w:rPr>
          <w:b/>
        </w:rPr>
        <w:t xml:space="preserve">  </w:t>
      </w:r>
      <w:r>
        <w:t>管顶最小覆盖土层厚度不宜小于管节外包高度较大值（H）的1.1倍，且不宜小于3m；当顶管穿越河道时，管顶覆土</w:t>
      </w:r>
      <w:r>
        <w:rPr>
          <w:rFonts w:hint="eastAsia"/>
        </w:rPr>
        <w:t>厚度</w:t>
      </w:r>
      <w:r>
        <w:t>应</w:t>
      </w:r>
      <w:r>
        <w:rPr>
          <w:rFonts w:hint="eastAsia"/>
        </w:rPr>
        <w:t>结合</w:t>
      </w:r>
      <w:r>
        <w:t>河道演变的冲刷或淤积作用</w:t>
      </w:r>
      <w:r>
        <w:rPr>
          <w:rFonts w:hint="eastAsia"/>
        </w:rPr>
        <w:t>选择</w:t>
      </w:r>
      <w:r>
        <w:t>，管节结构内力和抗浮应满足施工和运营工况要求。</w:t>
      </w:r>
    </w:p>
    <w:p>
      <w:pPr>
        <w:keepNext/>
        <w:keepLines/>
        <w:jc w:val="center"/>
        <w:outlineLvl w:val="1"/>
        <w:rPr>
          <w:rFonts w:eastAsia="黑体"/>
          <w:bCs/>
          <w:sz w:val="28"/>
          <w:szCs w:val="32"/>
        </w:rPr>
      </w:pPr>
      <w:bookmarkStart w:id="189" w:name="_Toc3868"/>
      <w:bookmarkStart w:id="190" w:name="_Toc14334"/>
      <w:bookmarkStart w:id="191" w:name="_Toc47692155"/>
      <w:bookmarkStart w:id="192" w:name="_Toc60172897"/>
      <w:bookmarkStart w:id="193" w:name="_Toc18057035"/>
      <w:bookmarkStart w:id="194" w:name="_Toc21167"/>
      <w:bookmarkStart w:id="195" w:name="_Toc24855"/>
      <w:bookmarkStart w:id="196" w:name="_Toc30646"/>
      <w:bookmarkStart w:id="197" w:name="_Toc60173784"/>
      <w:bookmarkStart w:id="198" w:name="_Toc5034"/>
      <w:bookmarkStart w:id="199" w:name="_Toc30785"/>
      <w:r>
        <w:rPr>
          <w:rFonts w:eastAsia="黑体"/>
          <w:b/>
          <w:bCs/>
          <w:sz w:val="28"/>
          <w:szCs w:val="32"/>
        </w:rPr>
        <w:t>5.3</w:t>
      </w:r>
      <w:r>
        <w:rPr>
          <w:rFonts w:eastAsia="黑体"/>
          <w:bCs/>
          <w:sz w:val="28"/>
          <w:szCs w:val="32"/>
        </w:rPr>
        <w:t xml:space="preserve">  作用</w:t>
      </w:r>
      <w:bookmarkEnd w:id="189"/>
      <w:bookmarkEnd w:id="190"/>
      <w:bookmarkEnd w:id="191"/>
      <w:bookmarkEnd w:id="192"/>
      <w:bookmarkEnd w:id="193"/>
      <w:bookmarkEnd w:id="194"/>
      <w:bookmarkEnd w:id="195"/>
      <w:bookmarkEnd w:id="196"/>
      <w:bookmarkEnd w:id="197"/>
      <w:bookmarkEnd w:id="198"/>
      <w:bookmarkEnd w:id="199"/>
    </w:p>
    <w:p>
      <w:r>
        <w:rPr>
          <w:b/>
        </w:rPr>
        <w:t xml:space="preserve">5.3.1  </w:t>
      </w:r>
      <w:r>
        <w:t>顶管结构上的作用可分为永久作用、可变作用及偶然作用，并应符合下列规定：</w:t>
      </w:r>
    </w:p>
    <w:p>
      <w:pPr>
        <w:ind w:firstLine="482" w:firstLineChars="200"/>
      </w:pPr>
      <w:r>
        <w:rPr>
          <w:b/>
          <w:bCs/>
        </w:rPr>
        <w:t>1</w:t>
      </w:r>
      <w:r>
        <w:t xml:space="preserve">  永久作用应包括结构自重、土压力（竖向和侧向）、预应力、地基的不均匀沉降</w:t>
      </w:r>
      <w:r>
        <w:rPr>
          <w:rFonts w:hint="eastAsia"/>
        </w:rPr>
        <w:t>等</w:t>
      </w:r>
      <w:r>
        <w:t>；</w:t>
      </w:r>
    </w:p>
    <w:p>
      <w:pPr>
        <w:ind w:firstLine="482" w:firstLineChars="200"/>
      </w:pPr>
      <w:r>
        <w:rPr>
          <w:b/>
          <w:bCs/>
        </w:rPr>
        <w:t>2</w:t>
      </w:r>
      <w:r>
        <w:t xml:space="preserve">  可变作用应包括人群荷载、施工堆积荷载、地面车辆荷载、温度变化、地表水或地下水的作用</w:t>
      </w:r>
      <w:r>
        <w:rPr>
          <w:rFonts w:hint="eastAsia"/>
        </w:rPr>
        <w:t>等</w:t>
      </w:r>
      <w:r>
        <w:t>；</w:t>
      </w:r>
    </w:p>
    <w:p>
      <w:pPr>
        <w:ind w:firstLine="482" w:firstLineChars="200"/>
      </w:pPr>
      <w:r>
        <w:rPr>
          <w:b/>
          <w:bCs/>
        </w:rPr>
        <w:t>3</w:t>
      </w:r>
      <w:r>
        <w:t xml:space="preserve">  偶然作用应包括</w:t>
      </w:r>
      <w:r>
        <w:rPr>
          <w:rFonts w:hint="eastAsia"/>
        </w:rPr>
        <w:t>地震力、</w:t>
      </w:r>
      <w:r>
        <w:t>爆炸力、撞击力等</w:t>
      </w:r>
      <w:r>
        <w:rPr>
          <w:rFonts w:hint="eastAsia"/>
        </w:rPr>
        <w:t>。</w:t>
      </w:r>
    </w:p>
    <w:p>
      <w:r>
        <w:rPr>
          <w:b/>
        </w:rPr>
        <w:t xml:space="preserve">5.3.2  </w:t>
      </w:r>
      <w:r>
        <w:t>作用代表值应符合下列原则：</w:t>
      </w:r>
    </w:p>
    <w:p>
      <w:pPr>
        <w:ind w:firstLine="482" w:firstLineChars="200"/>
      </w:pPr>
      <w:r>
        <w:rPr>
          <w:b/>
          <w:bCs/>
        </w:rPr>
        <w:t>1</w:t>
      </w:r>
      <w:r>
        <w:t xml:space="preserve">  永久作用应采用标准值作为代表值；</w:t>
      </w:r>
    </w:p>
    <w:p>
      <w:pPr>
        <w:ind w:firstLine="482" w:firstLineChars="200"/>
      </w:pPr>
      <w:r>
        <w:rPr>
          <w:b/>
          <w:bCs/>
        </w:rPr>
        <w:t>2</w:t>
      </w:r>
      <w:r>
        <w:t xml:space="preserve">  可变作用应根据不同设计要求采用标准值、频遇值或准永久值作为代表值</w:t>
      </w:r>
      <w:r>
        <w:rPr>
          <w:rFonts w:hint="eastAsia"/>
        </w:rPr>
        <w:t>，</w:t>
      </w:r>
      <w:r>
        <w:t>可变作用的频遇值和准永久值</w:t>
      </w:r>
      <w:r>
        <w:rPr>
          <w:rFonts w:hint="eastAsia"/>
        </w:rPr>
        <w:t>应</w:t>
      </w:r>
      <w:r>
        <w:t>分别为可变作用标准值乘以频遇值系数和准永久值系数；</w:t>
      </w:r>
    </w:p>
    <w:p>
      <w:pPr>
        <w:ind w:firstLine="482" w:firstLineChars="200"/>
      </w:pPr>
      <w:r>
        <w:rPr>
          <w:b/>
          <w:bCs/>
        </w:rPr>
        <w:t xml:space="preserve">3 </w:t>
      </w:r>
      <w:r>
        <w:t xml:space="preserve"> 偶然作用应</w:t>
      </w:r>
      <w:r>
        <w:rPr>
          <w:rFonts w:hint="eastAsia"/>
        </w:rPr>
        <w:t>根据顶管</w:t>
      </w:r>
      <w:r>
        <w:t>结构使用的特点确定代表值。</w:t>
      </w:r>
    </w:p>
    <w:p>
      <w:r>
        <w:rPr>
          <w:b/>
        </w:rPr>
        <w:t xml:space="preserve">5.3.3  </w:t>
      </w:r>
      <w:r>
        <w:t>可变作用标准值、频遇值系数和准永久值系数应根据现场情况按随机变量的概率模型确定。</w:t>
      </w:r>
      <w:r>
        <w:rPr>
          <w:rFonts w:hint="eastAsia"/>
        </w:rPr>
        <w:t>当</w:t>
      </w:r>
      <w:r>
        <w:t>缺乏相关数据情况时，应按下列规定进行初步估算：</w:t>
      </w:r>
    </w:p>
    <w:p>
      <w:pPr>
        <w:ind w:firstLine="482" w:firstLineChars="200"/>
      </w:pPr>
      <w:r>
        <w:rPr>
          <w:b/>
          <w:bCs/>
        </w:rPr>
        <w:t>1</w:t>
      </w:r>
      <w:r>
        <w:t xml:space="preserve">  人群荷载标准值可取4kN/m</w:t>
      </w:r>
      <w:r>
        <w:rPr>
          <w:vertAlign w:val="superscript"/>
        </w:rPr>
        <w:t>2</w:t>
      </w:r>
      <w:r>
        <w:t>计算；频遇值系数可取0.5，准永久值系数可取0.4；</w:t>
      </w:r>
    </w:p>
    <w:p>
      <w:pPr>
        <w:ind w:firstLine="482" w:firstLineChars="200"/>
      </w:pPr>
      <w:r>
        <w:rPr>
          <w:b/>
          <w:bCs/>
        </w:rPr>
        <w:t>2</w:t>
      </w:r>
      <w:r>
        <w:t xml:space="preserve">  施工堆积荷载标准值</w:t>
      </w:r>
      <w:r>
        <w:rPr>
          <w:rFonts w:hint="eastAsia"/>
        </w:rPr>
        <w:t>应</w:t>
      </w:r>
      <w:r>
        <w:t>按实际情况取值；频遇值系数可取0.9，准永久值系数可取0.8；</w:t>
      </w:r>
    </w:p>
    <w:p>
      <w:pPr>
        <w:ind w:firstLine="482" w:firstLineChars="200"/>
      </w:pPr>
      <w:r>
        <w:rPr>
          <w:b/>
          <w:bCs/>
        </w:rPr>
        <w:t xml:space="preserve">3 </w:t>
      </w:r>
      <w:r>
        <w:t xml:space="preserve"> 地面车辆荷载对地下管道的影响作用，标准值可按等效均布的原则确定，等效控制可按关键位置内力等值确定；频遇值系数可取0.7，准永久值系数可取0.6；</w:t>
      </w:r>
    </w:p>
    <w:p>
      <w:pPr>
        <w:ind w:firstLine="482" w:firstLineChars="200"/>
      </w:pPr>
      <w:r>
        <w:rPr>
          <w:b/>
          <w:bCs/>
        </w:rPr>
        <w:t xml:space="preserve">4 </w:t>
      </w:r>
      <w:r>
        <w:t xml:space="preserve"> 管道上的静水压力（包括浮托力）的设计水位应根据勘察部门和水文部门提供的数据采用。</w:t>
      </w:r>
    </w:p>
    <w:p>
      <w:r>
        <w:rPr>
          <w:b/>
        </w:rPr>
        <w:t xml:space="preserve">5.3.4  </w:t>
      </w:r>
      <w:r>
        <w:t>计算作用在管节上的侧向土压力标准值时</w:t>
      </w:r>
      <w:r>
        <w:rPr>
          <w:rFonts w:hint="eastAsia"/>
        </w:rPr>
        <w:t>，</w:t>
      </w:r>
      <w:r>
        <w:t>应符合下列</w:t>
      </w:r>
      <w:r>
        <w:rPr>
          <w:rFonts w:hint="eastAsia"/>
        </w:rPr>
        <w:t>规定</w:t>
      </w:r>
      <w:r>
        <w:t>：</w:t>
      </w:r>
    </w:p>
    <w:p>
      <w:pPr>
        <w:ind w:firstLine="482" w:firstLineChars="200"/>
      </w:pPr>
      <w:r>
        <w:rPr>
          <w:b/>
          <w:bCs/>
        </w:rPr>
        <w:t xml:space="preserve">1 </w:t>
      </w:r>
      <w:r>
        <w:t xml:space="preserve"> 施工阶段侧向土压力可按主动土压力计算，永久工况应按静止土压力计算；</w:t>
      </w:r>
    </w:p>
    <w:p>
      <w:pPr>
        <w:ind w:firstLine="482" w:firstLineChars="200"/>
      </w:pPr>
      <w:r>
        <w:rPr>
          <w:b/>
          <w:bCs/>
        </w:rPr>
        <w:t>2</w:t>
      </w:r>
      <w:r>
        <w:t xml:space="preserve">  管道埋设在地下水位以下时，黏性土层的侧向土压力标准值宜按水土分算及水土合算中不利情况计算，非黏性土层宜按水土分算计算，并宜按下列规定执行：</w:t>
      </w:r>
    </w:p>
    <w:p>
      <w:pPr>
        <w:ind w:firstLine="723" w:firstLineChars="300"/>
      </w:pPr>
      <w:r>
        <w:rPr>
          <w:b/>
        </w:rPr>
        <w:t>1</w:t>
      </w:r>
      <w:r>
        <w:rPr>
          <w:rFonts w:hint="eastAsia"/>
        </w:rPr>
        <w:t>）施工阶段的侧向土压力标准值宜按下式计算：</w:t>
      </w:r>
    </w:p>
    <w:p>
      <w:pPr>
        <w:jc w:val="right"/>
      </w:pPr>
      <w:r>
        <w:rPr>
          <w:position w:val="-56"/>
        </w:rPr>
        <w:object>
          <v:shape id="_x0000_i1060" o:spt="75" type="#_x0000_t75" style="height:62.3pt;width:354.05pt;" o:ole="t" filled="f" o:preferrelative="t" stroked="f" coordsize="21600,21600">
            <v:path/>
            <v:fill on="f" focussize="0,0"/>
            <v:stroke on="f" joinstyle="miter"/>
            <v:imagedata r:id="rId80" o:title=""/>
            <o:lock v:ext="edit" aspectratio="t"/>
            <w10:wrap type="none"/>
            <w10:anchorlock/>
          </v:shape>
          <o:OLEObject Type="Embed" ProgID="Equation.3" ShapeID="_x0000_i1060" DrawAspect="Content" ObjectID="_1468075760" r:id="rId79">
            <o:LockedField>false</o:LockedField>
          </o:OLEObject>
        </w:object>
      </w:r>
      <w:r>
        <w:rPr>
          <w:rFonts w:hint="eastAsia"/>
        </w:rPr>
        <w:t>（</w:t>
      </w:r>
      <w:r>
        <w:t>5.3.4-1</w:t>
      </w:r>
      <w:r>
        <w:rPr>
          <w:rFonts w:hint="eastAsia"/>
        </w:rPr>
        <w:t>）</w:t>
      </w:r>
    </w:p>
    <w:p>
      <w:pPr>
        <w:tabs>
          <w:tab w:val="right" w:pos="8222"/>
        </w:tabs>
        <w:ind w:firstLine="663" w:firstLineChars="275"/>
        <w:textAlignment w:val="center"/>
      </w:pPr>
      <w:r>
        <w:rPr>
          <w:b/>
        </w:rPr>
        <w:t>2</w:t>
      </w:r>
      <w:r>
        <w:rPr>
          <w:rFonts w:hint="eastAsia"/>
        </w:rPr>
        <w:t>）运维阶段的侧向土压力标准值宜按下式计算：</w:t>
      </w:r>
    </w:p>
    <w:p>
      <w:pPr>
        <w:jc w:val="right"/>
      </w:pPr>
      <w:r>
        <w:rPr>
          <w:position w:val="-52"/>
        </w:rPr>
        <w:object>
          <v:shape id="_x0000_i1061" o:spt="75" type="#_x0000_t75" style="height:57.75pt;width:360.75pt;" o:ole="t" filled="f" o:preferrelative="t" stroked="f" coordsize="21600,21600">
            <v:path/>
            <v:fill on="f" focussize="0,0"/>
            <v:stroke on="f" joinstyle="miter"/>
            <v:imagedata r:id="rId82" o:title=""/>
            <o:lock v:ext="edit" aspectratio="t"/>
            <w10:wrap type="none"/>
            <w10:anchorlock/>
          </v:shape>
          <o:OLEObject Type="Embed" ProgID="Equation.3" ShapeID="_x0000_i1061" DrawAspect="Content" ObjectID="_1468075761" r:id="rId81">
            <o:LockedField>false</o:LockedField>
          </o:OLEObject>
        </w:object>
      </w:r>
      <w:r>
        <w:rPr>
          <w:rFonts w:hint="eastAsia"/>
        </w:rPr>
        <w:t>（</w:t>
      </w:r>
      <w:r>
        <w:t>5.3.4-2</w:t>
      </w:r>
      <w:r>
        <w:rPr>
          <w:rFonts w:hint="eastAsia"/>
        </w:rPr>
        <w:t>）</w:t>
      </w:r>
    </w:p>
    <w:p>
      <w:pPr>
        <w:tabs>
          <w:tab w:val="right" w:pos="8222"/>
        </w:tabs>
        <w:snapToGrid w:val="0"/>
        <w:textAlignment w:val="center"/>
      </w:pPr>
      <w:r>
        <w:rPr>
          <w:rFonts w:hint="eastAsia"/>
        </w:rPr>
        <w:t>式中：</w:t>
      </w:r>
      <w:r>
        <w:rPr>
          <w:position w:val="-12"/>
        </w:rPr>
        <w:object>
          <v:shape id="_x0000_i1062" o:spt="75" type="#_x0000_t75" style="height:19.5pt;width:14.25pt;" o:ole="t" filled="f" o:preferrelative="t" stroked="f" coordsize="21600,21600">
            <v:path/>
            <v:fill on="f" focussize="0,0"/>
            <v:stroke on="f" joinstyle="miter"/>
            <v:imagedata r:id="rId84" o:title=""/>
            <o:lock v:ext="edit" aspectratio="t"/>
            <w10:wrap type="none"/>
            <w10:anchorlock/>
          </v:shape>
          <o:OLEObject Type="Embed" ProgID="Equation.3" ShapeID="_x0000_i1062" DrawAspect="Content" ObjectID="_1468075762" r:id="rId83">
            <o:LockedField>false</o:LockedField>
          </o:OLEObject>
        </w:object>
      </w:r>
      <w:r>
        <w:t>——</w:t>
      </w:r>
      <w:r>
        <w:rPr>
          <w:rFonts w:hint="eastAsia"/>
        </w:rPr>
        <w:t>矩形管节在某点处所受侧向土压力标准值（</w:t>
      </w:r>
      <w:r>
        <w:t>kN/m</w:t>
      </w:r>
      <w:r>
        <w:rPr>
          <w:vertAlign w:val="superscript"/>
        </w:rPr>
        <w:t>2</w:t>
      </w:r>
      <w:r>
        <w:rPr>
          <w:rFonts w:hint="eastAsia"/>
        </w:rPr>
        <w:t>）；</w:t>
      </w:r>
    </w:p>
    <w:p>
      <w:pPr>
        <w:snapToGrid w:val="0"/>
        <w:ind w:firstLine="566" w:firstLineChars="236"/>
        <w:textAlignment w:val="center"/>
      </w:pPr>
      <w:r>
        <w:rPr>
          <w:position w:val="-12"/>
        </w:rPr>
        <w:object>
          <v:shape id="_x0000_i1063" o:spt="75" type="#_x0000_t75" style="height:19.5pt;width:19.5pt;" o:ole="t" filled="f" o:preferrelative="t" stroked="f" coordsize="21600,21600">
            <v:path/>
            <v:fill on="f" focussize="0,0"/>
            <v:stroke on="f" joinstyle="miter"/>
            <v:imagedata r:id="rId86" o:title=""/>
            <o:lock v:ext="edit" aspectratio="t"/>
            <w10:wrap type="none"/>
            <w10:anchorlock/>
          </v:shape>
          <o:OLEObject Type="Embed" ProgID="Equation.DSMT4" ShapeID="_x0000_i1063" DrawAspect="Content" ObjectID="_1468075763" r:id="rId85">
            <o:LockedField>false</o:LockedField>
          </o:OLEObject>
        </w:object>
      </w:r>
      <w:r>
        <w:t>——</w:t>
      </w:r>
      <w:r>
        <w:rPr>
          <w:rFonts w:hint="eastAsia"/>
        </w:rPr>
        <w:t>按土的饱和重度计算的某点处竖向土压力（</w:t>
      </w:r>
      <w:r>
        <w:t>kN/m</w:t>
      </w:r>
      <w:r>
        <w:rPr>
          <w:vertAlign w:val="superscript"/>
        </w:rPr>
        <w:t>2</w:t>
      </w:r>
      <w:r>
        <w:rPr>
          <w:rFonts w:hint="eastAsia"/>
        </w:rPr>
        <w:t>）；</w:t>
      </w:r>
    </w:p>
    <w:p>
      <w:pPr>
        <w:snapToGrid w:val="0"/>
        <w:ind w:firstLine="566" w:firstLineChars="236"/>
        <w:textAlignment w:val="center"/>
      </w:pPr>
      <w:r>
        <w:object>
          <v:shape id="_x0000_i1064" o:spt="75" type="#_x0000_t75" style="height:19.5pt;width:21pt;" o:ole="t" filled="f" o:preferrelative="t" stroked="f" coordsize="21600,21600">
            <v:path/>
            <v:fill on="f" focussize="0,0"/>
            <v:stroke on="f" joinstyle="miter"/>
            <v:imagedata r:id="rId88" o:title=""/>
            <o:lock v:ext="edit" aspectratio="t"/>
            <w10:wrap type="none"/>
            <w10:anchorlock/>
          </v:shape>
          <o:OLEObject Type="Embed" ProgID="Equation.DSMT4" ShapeID="_x0000_i1064" DrawAspect="Content" ObjectID="_1468075764" r:id="rId87">
            <o:LockedField>false</o:LockedField>
          </o:OLEObject>
        </w:object>
      </w:r>
      <w:r>
        <w:t>——</w:t>
      </w:r>
      <w:r>
        <w:rPr>
          <w:rFonts w:hint="eastAsia"/>
        </w:rPr>
        <w:t>按土的有效重度计算的某点处竖向土压力（</w:t>
      </w:r>
      <w:r>
        <w:t>kN/m</w:t>
      </w:r>
      <w:r>
        <w:rPr>
          <w:vertAlign w:val="superscript"/>
        </w:rPr>
        <w:t>2</w:t>
      </w:r>
      <w:r>
        <w:rPr>
          <w:rFonts w:hint="eastAsia"/>
        </w:rPr>
        <w:t>）；</w:t>
      </w:r>
    </w:p>
    <w:p>
      <w:pPr>
        <w:snapToGrid w:val="0"/>
        <w:ind w:firstLine="566" w:firstLineChars="236"/>
        <w:textAlignment w:val="center"/>
      </w:pPr>
      <w:r>
        <w:rPr>
          <w:position w:val="-12"/>
        </w:rPr>
        <w:object>
          <v:shape id="_x0000_i1065" o:spt="75" type="#_x0000_t75" style="height:18.75pt;width:15pt;" o:ole="t" filled="f" o:preferrelative="t" stroked="f" coordsize="21600,21600">
            <v:path/>
            <v:fill on="f" focussize="0,0"/>
            <v:stroke on="f" joinstyle="miter"/>
            <v:imagedata r:id="rId90" o:title=""/>
            <o:lock v:ext="edit" aspectratio="t"/>
            <w10:wrap type="none"/>
            <w10:anchorlock/>
          </v:shape>
          <o:OLEObject Type="Embed" ProgID="Equation.3" ShapeID="_x0000_i1065" DrawAspect="Content" ObjectID="_1468075765" r:id="rId89">
            <o:LockedField>false</o:LockedField>
          </o:OLEObject>
        </w:object>
      </w:r>
      <w:r>
        <w:t>——</w:t>
      </w:r>
      <w:r>
        <w:rPr>
          <w:rFonts w:hint="eastAsia"/>
        </w:rPr>
        <w:t>水压力（</w:t>
      </w:r>
      <w:r>
        <w:t>kN/m</w:t>
      </w:r>
      <w:r>
        <w:rPr>
          <w:vertAlign w:val="superscript"/>
        </w:rPr>
        <w:t>2</w:t>
      </w:r>
      <w:r>
        <w:rPr>
          <w:rFonts w:hint="eastAsia"/>
        </w:rPr>
        <w:t>）；</w:t>
      </w:r>
    </w:p>
    <w:p>
      <w:pPr>
        <w:snapToGrid w:val="0"/>
        <w:ind w:firstLine="566" w:firstLineChars="236"/>
        <w:textAlignment w:val="center"/>
      </w:pPr>
      <w:r>
        <w:rPr>
          <w:position w:val="-10"/>
        </w:rPr>
        <w:object>
          <v:shape id="_x0000_i1066" o:spt="75" type="#_x0000_t75" style="height:13.5pt;width:12pt;" o:ole="t" filled="f" o:preferrelative="t" stroked="f" coordsize="21600,21600">
            <v:path/>
            <v:fill on="f" focussize="0,0"/>
            <v:stroke on="f" joinstyle="miter"/>
            <v:imagedata r:id="rId92" o:title=""/>
            <o:lock v:ext="edit" aspectratio="t"/>
            <w10:wrap type="none"/>
            <w10:anchorlock/>
          </v:shape>
          <o:OLEObject Type="Embed" ProgID="Equation.3" ShapeID="_x0000_i1066" DrawAspect="Content" ObjectID="_1468075766" r:id="rId91">
            <o:LockedField>false</o:LockedField>
          </o:OLEObject>
        </w:object>
      </w:r>
      <w:r>
        <w:t>——</w:t>
      </w:r>
      <w:r>
        <w:rPr>
          <w:rFonts w:hint="eastAsia"/>
        </w:rPr>
        <w:t>地面附加竖向应力（</w:t>
      </w:r>
      <w:r>
        <w:t>kN/m</w:t>
      </w:r>
      <w:r>
        <w:rPr>
          <w:vertAlign w:val="superscript"/>
        </w:rPr>
        <w:t>2</w:t>
      </w:r>
      <w:r>
        <w:rPr>
          <w:rFonts w:hint="eastAsia"/>
        </w:rPr>
        <w:t>）；</w:t>
      </w:r>
    </w:p>
    <w:p>
      <w:pPr>
        <w:snapToGrid w:val="0"/>
        <w:ind w:firstLine="566" w:firstLineChars="236"/>
        <w:textAlignment w:val="center"/>
      </w:pPr>
      <w:r>
        <w:rPr>
          <w:position w:val="-6"/>
        </w:rPr>
        <w:object>
          <v:shape id="_x0000_i1067" o:spt="75" type="#_x0000_t75" style="height:12pt;width:9pt;" o:ole="t" filled="f" o:preferrelative="t" stroked="f" coordsize="21600,21600">
            <v:path/>
            <v:fill on="f" focussize="0,0"/>
            <v:stroke on="f" joinstyle="miter"/>
            <v:imagedata r:id="rId94" o:title=""/>
            <o:lock v:ext="edit" aspectratio="t"/>
            <w10:wrap type="none"/>
            <w10:anchorlock/>
          </v:shape>
          <o:OLEObject Type="Embed" ProgID="Equation.3" ShapeID="_x0000_i1067" DrawAspect="Content" ObjectID="_1468075767" r:id="rId93">
            <o:LockedField>false</o:LockedField>
          </o:OLEObject>
        </w:object>
      </w:r>
      <w:r>
        <w:t>——</w:t>
      </w:r>
      <w:r>
        <w:rPr>
          <w:rFonts w:hint="eastAsia"/>
        </w:rPr>
        <w:t>土的粘聚力（</w:t>
      </w:r>
      <w:r>
        <w:t>kN/m</w:t>
      </w:r>
      <w:r>
        <w:rPr>
          <w:vertAlign w:val="superscript"/>
        </w:rPr>
        <w:t>2</w:t>
      </w:r>
      <w:r>
        <w:rPr>
          <w:rFonts w:hint="eastAsia"/>
        </w:rPr>
        <w:t>）；</w:t>
      </w:r>
    </w:p>
    <w:p>
      <w:pPr>
        <w:snapToGrid w:val="0"/>
        <w:ind w:firstLine="566" w:firstLineChars="236"/>
      </w:pPr>
      <w:r>
        <w:rPr>
          <w:position w:val="-12"/>
        </w:rPr>
        <w:object>
          <v:shape id="_x0000_i1068" o:spt="75" type="#_x0000_t75" style="height:19.5pt;width:15.75pt;" o:ole="t" filled="f" o:preferrelative="t" stroked="f" coordsize="21600,21600">
            <v:path/>
            <v:fill on="f" focussize="0,0"/>
            <v:stroke on="f" joinstyle="miter"/>
            <v:imagedata r:id="rId96" o:title=""/>
            <o:lock v:ext="edit" aspectratio="t"/>
            <w10:wrap type="none"/>
            <w10:anchorlock/>
          </v:shape>
          <o:OLEObject Type="Embed" ProgID="Equation.3" ShapeID="_x0000_i1068" DrawAspect="Content" ObjectID="_1468075768" r:id="rId95">
            <o:LockedField>false</o:LockedField>
          </o:OLEObject>
        </w:object>
      </w:r>
      <w:r>
        <w:t>——</w:t>
      </w:r>
      <w:r>
        <w:rPr>
          <w:rFonts w:hint="eastAsia"/>
        </w:rPr>
        <w:t>主动土压力系数；</w:t>
      </w:r>
    </w:p>
    <w:p>
      <w:pPr>
        <w:snapToGrid w:val="0"/>
        <w:ind w:firstLine="566" w:firstLineChars="236"/>
      </w:pPr>
      <w:r>
        <w:rPr>
          <w:position w:val="-12"/>
        </w:rPr>
        <w:object>
          <v:shape id="_x0000_i1069" o:spt="75" type="#_x0000_t75" style="height:19.5pt;width:15.75pt;" o:ole="t" filled="f" o:preferrelative="t" stroked="f" coordsize="21600,21600">
            <v:path/>
            <v:fill on="f" focussize="0,0"/>
            <v:stroke on="f" joinstyle="miter"/>
            <v:imagedata r:id="rId98" o:title=""/>
            <o:lock v:ext="edit" aspectratio="t"/>
            <w10:wrap type="none"/>
            <w10:anchorlock/>
          </v:shape>
          <o:OLEObject Type="Embed" ProgID="Equation.3" ShapeID="_x0000_i1069" DrawAspect="Content" ObjectID="_1468075769" r:id="rId97">
            <o:LockedField>false</o:LockedField>
          </o:OLEObject>
        </w:object>
      </w:r>
      <w:r>
        <w:t>——</w:t>
      </w:r>
      <w:r>
        <w:rPr>
          <w:rFonts w:hint="eastAsia"/>
        </w:rPr>
        <w:t>静止土压力系数。</w:t>
      </w:r>
    </w:p>
    <w:p>
      <w:pPr>
        <w:keepNext/>
        <w:keepLines/>
        <w:jc w:val="center"/>
        <w:outlineLvl w:val="1"/>
        <w:rPr>
          <w:rFonts w:eastAsia="黑体"/>
          <w:bCs/>
          <w:sz w:val="28"/>
          <w:szCs w:val="32"/>
        </w:rPr>
      </w:pPr>
      <w:bookmarkStart w:id="200" w:name="_Toc1704"/>
      <w:bookmarkStart w:id="201" w:name="_Toc26330"/>
      <w:bookmarkStart w:id="202" w:name="_Toc17555"/>
      <w:bookmarkStart w:id="203" w:name="_Toc3954"/>
      <w:bookmarkStart w:id="204" w:name="_Toc60173785"/>
      <w:bookmarkStart w:id="205" w:name="_Toc18057036"/>
      <w:bookmarkStart w:id="206" w:name="_Toc19169"/>
      <w:bookmarkStart w:id="207" w:name="_Toc47692156"/>
      <w:bookmarkStart w:id="208" w:name="_Toc60172898"/>
      <w:bookmarkStart w:id="209" w:name="_Toc21170"/>
      <w:bookmarkStart w:id="210" w:name="_Toc23555"/>
      <w:r>
        <w:rPr>
          <w:rFonts w:eastAsia="黑体"/>
          <w:b/>
          <w:bCs/>
          <w:sz w:val="28"/>
          <w:szCs w:val="32"/>
        </w:rPr>
        <w:t>5.4</w:t>
      </w:r>
      <w:r>
        <w:rPr>
          <w:rFonts w:eastAsia="黑体"/>
          <w:bCs/>
          <w:sz w:val="28"/>
          <w:szCs w:val="32"/>
        </w:rPr>
        <w:t xml:space="preserve">  管节结构设计</w:t>
      </w:r>
      <w:bookmarkEnd w:id="200"/>
      <w:bookmarkEnd w:id="201"/>
      <w:bookmarkEnd w:id="202"/>
      <w:bookmarkEnd w:id="203"/>
      <w:bookmarkEnd w:id="204"/>
      <w:bookmarkEnd w:id="205"/>
      <w:bookmarkEnd w:id="206"/>
      <w:bookmarkEnd w:id="207"/>
      <w:bookmarkEnd w:id="208"/>
      <w:bookmarkEnd w:id="209"/>
      <w:bookmarkEnd w:id="210"/>
    </w:p>
    <w:p>
      <w:pPr>
        <w:rPr>
          <w:b/>
          <w:bCs/>
        </w:rPr>
      </w:pPr>
      <w:r>
        <w:rPr>
          <w:b/>
          <w:bCs/>
        </w:rPr>
        <w:t xml:space="preserve">5.4.1  </w:t>
      </w:r>
      <w:r>
        <w:rPr>
          <w:bCs/>
        </w:rPr>
        <w:t>管节结构设计应</w:t>
      </w:r>
      <w:r>
        <w:rPr>
          <w:rFonts w:hint="eastAsia"/>
          <w:bCs/>
        </w:rPr>
        <w:t>考虑</w:t>
      </w:r>
      <w:r>
        <w:rPr>
          <w:bCs/>
        </w:rPr>
        <w:t>施工阶段的</w:t>
      </w:r>
      <w:r>
        <w:rPr>
          <w:rFonts w:hint="eastAsia"/>
          <w:bCs/>
        </w:rPr>
        <w:t>最不利工况</w:t>
      </w:r>
      <w:r>
        <w:rPr>
          <w:bCs/>
        </w:rPr>
        <w:t>。</w:t>
      </w:r>
    </w:p>
    <w:p>
      <w:r>
        <w:rPr>
          <w:b/>
          <w:bCs/>
        </w:rPr>
        <w:t>5.4.2</w:t>
      </w:r>
      <w:r>
        <w:t xml:space="preserve">  管道结构按承载能力极限状态进行强度计算时，对持久设计状况或短暂设计状况，应采用作用的基本组合；对偶然设计状况，应采用作用的偶然组合。结构构件按正常使用极限状态计算时，应根据不同设计要求采用作用的标准组合、频遇组合或准永久组合。</w:t>
      </w:r>
    </w:p>
    <w:p>
      <w:r>
        <w:rPr>
          <w:b/>
          <w:bCs/>
        </w:rPr>
        <w:t>5.4.3</w:t>
      </w:r>
      <w:r>
        <w:t xml:space="preserve">  顶管结构的极限承载能力应</w:t>
      </w:r>
      <w:r>
        <w:rPr>
          <w:rFonts w:hint="eastAsia"/>
        </w:rPr>
        <w:t>符合下式规定</w:t>
      </w:r>
      <w:r>
        <w:t>：</w:t>
      </w:r>
    </w:p>
    <w:p>
      <w:pPr>
        <w:tabs>
          <w:tab w:val="right" w:pos="8222"/>
        </w:tabs>
        <w:ind w:firstLine="2328" w:firstLineChars="970"/>
        <w:jc w:val="right"/>
      </w:pPr>
      <w:r>
        <w:rPr>
          <w:position w:val="-12"/>
        </w:rPr>
        <w:object>
          <v:shape id="_x0000_i1070" o:spt="75" type="#_x0000_t75" style="height:19.5pt;width:51pt;" o:ole="t" filled="f" o:preferrelative="t" stroked="f" coordsize="21600,21600">
            <v:path/>
            <v:fill on="f" focussize="0,0"/>
            <v:stroke on="f" joinstyle="miter"/>
            <v:imagedata r:id="rId100" o:title=""/>
            <o:lock v:ext="edit" aspectratio="t"/>
            <w10:wrap type="none"/>
            <w10:anchorlock/>
          </v:shape>
          <o:OLEObject Type="Embed" ProgID="Equation.DSMT4" ShapeID="_x0000_i1070" DrawAspect="Content" ObjectID="_1468075770" r:id="rId99">
            <o:LockedField>false</o:LockedField>
          </o:OLEObject>
        </w:object>
      </w:r>
      <w:r>
        <w:t xml:space="preserve">                         （5.4.3）</w:t>
      </w:r>
    </w:p>
    <w:p>
      <w:r>
        <w:t>式中：</w:t>
      </w:r>
      <w:r>
        <w:rPr>
          <w:position w:val="-12"/>
        </w:rPr>
        <w:object>
          <v:shape id="_x0000_i1071" o:spt="75" type="#_x0000_t75" style="height:19.5pt;width:13.5pt;" o:ole="t" filled="f" o:preferrelative="t" stroked="f" coordsize="21600,21600">
            <v:path/>
            <v:fill on="f" focussize="0,0"/>
            <v:stroke on="f" joinstyle="miter"/>
            <v:imagedata r:id="rId102" o:title=""/>
            <o:lock v:ext="edit" aspectratio="t"/>
            <w10:wrap type="none"/>
            <w10:anchorlock/>
          </v:shape>
          <o:OLEObject Type="Embed" ProgID="Equation.DSMT4" ShapeID="_x0000_i1071" DrawAspect="Content" ObjectID="_1468075771" r:id="rId101">
            <o:LockedField>false</o:LockedField>
          </o:OLEObject>
        </w:object>
      </w:r>
      <w:r>
        <w:t>——结构的重要性系数，安全等级</w:t>
      </w:r>
      <w:r>
        <w:rPr>
          <w:rFonts w:hint="eastAsia"/>
        </w:rPr>
        <w:t>为</w:t>
      </w:r>
      <w:r>
        <w:t>一级</w:t>
      </w:r>
      <w:r>
        <w:rPr>
          <w:rFonts w:hint="eastAsia"/>
        </w:rPr>
        <w:t>时</w:t>
      </w:r>
      <w:r>
        <w:t>取1.1，二级</w:t>
      </w:r>
      <w:r>
        <w:rPr>
          <w:rFonts w:hint="eastAsia"/>
        </w:rPr>
        <w:t>时</w:t>
      </w:r>
      <w:r>
        <w:t>取1.0；</w:t>
      </w:r>
    </w:p>
    <w:p>
      <w:pPr>
        <w:ind w:firstLine="708" w:firstLineChars="295"/>
      </w:pPr>
      <w:r>
        <w:rPr>
          <w:position w:val="-12"/>
        </w:rPr>
        <w:object>
          <v:shape id="_x0000_i1072" o:spt="75" type="#_x0000_t75" style="height:19.5pt;width:14.25pt;" o:ole="t" filled="f" o:preferrelative="t" stroked="f" coordsize="21600,21600">
            <v:path/>
            <v:fill on="f" focussize="0,0"/>
            <v:stroke on="f" joinstyle="miter"/>
            <v:imagedata r:id="rId104" o:title=""/>
            <o:lock v:ext="edit" aspectratio="t"/>
            <w10:wrap type="none"/>
            <w10:anchorlock/>
          </v:shape>
          <o:OLEObject Type="Embed" ProgID="Equation.DSMT4" ShapeID="_x0000_i1072" DrawAspect="Content" ObjectID="_1468075772" r:id="rId103">
            <o:LockedField>false</o:LockedField>
          </o:OLEObject>
        </w:object>
      </w:r>
      <w:r>
        <w:t>——作用效应组合的设计值；</w:t>
      </w:r>
    </w:p>
    <w:p>
      <w:pPr>
        <w:ind w:firstLine="708" w:firstLineChars="295"/>
      </w:pPr>
      <w:r>
        <w:rPr>
          <w:position w:val="-4"/>
        </w:rPr>
        <w:object>
          <v:shape id="_x0000_i1073" o:spt="75" type="#_x0000_t75" style="height:13.5pt;width:12pt;" o:ole="t" filled="f" o:preferrelative="t" stroked="f" coordsize="21600,21600">
            <v:path/>
            <v:fill on="f" focussize="0,0"/>
            <v:stroke on="f" joinstyle="miter"/>
            <v:imagedata r:id="rId106" o:title=""/>
            <o:lock v:ext="edit" aspectratio="t"/>
            <w10:wrap type="none"/>
            <w10:anchorlock/>
          </v:shape>
          <o:OLEObject Type="Embed" ProgID="Equation.3" ShapeID="_x0000_i1073" DrawAspect="Content" ObjectID="_1468075773" r:id="rId105">
            <o:LockedField>false</o:LockedField>
          </o:OLEObject>
        </w:object>
      </w:r>
      <w:r>
        <w:t>——管道结构的抗力强度设计值。</w:t>
      </w:r>
    </w:p>
    <w:p>
      <w:r>
        <w:rPr>
          <w:b/>
          <w:bCs/>
        </w:rPr>
        <w:t xml:space="preserve">5.4.4  </w:t>
      </w:r>
      <w:r>
        <w:t>作用效应的组合设计值，应符合下式规定：</w:t>
      </w:r>
    </w:p>
    <w:p>
      <w:pPr>
        <w:tabs>
          <w:tab w:val="right" w:pos="8222"/>
        </w:tabs>
        <w:ind w:firstLine="648" w:firstLineChars="270"/>
        <w:jc w:val="right"/>
      </w:pPr>
      <w:r>
        <w:object>
          <v:shape id="_x0000_i1074" o:spt="75" type="#_x0000_t75" style="height:40.5pt;width:224.25pt;" o:ole="t" filled="f" o:preferrelative="t" stroked="f" coordsize="21600,21600">
            <v:path/>
            <v:fill on="f" focussize="0,0"/>
            <v:stroke on="f" joinstyle="miter"/>
            <v:imagedata r:id="rId108" o:title=""/>
            <o:lock v:ext="edit" aspectratio="t"/>
            <w10:wrap type="none"/>
            <w10:anchorlock/>
          </v:shape>
          <o:OLEObject Type="Embed" ProgID="Equation.DSMT4" ShapeID="_x0000_i1074" DrawAspect="Content" ObjectID="_1468075774" r:id="rId107">
            <o:LockedField>false</o:LockedField>
          </o:OLEObject>
        </w:object>
      </w:r>
      <w:r>
        <w:t xml:space="preserve">           （5.4.4）</w:t>
      </w:r>
    </w:p>
    <w:p>
      <w:pPr>
        <w:snapToGrid w:val="0"/>
        <w:textAlignment w:val="center"/>
      </w:pPr>
      <w:r>
        <w:t>式中：</w:t>
      </w:r>
      <w:r>
        <w:tab/>
      </w:r>
      <w:r>
        <w:object>
          <v:shape id="_x0000_i1075" o:spt="75" type="#_x0000_t75" style="height:20.25pt;width:24pt;" o:ole="t" filled="f" o:preferrelative="t" stroked="f" coordsize="21600,21600">
            <v:path/>
            <v:fill on="f" focussize="0,0"/>
            <v:stroke on="f" joinstyle="miter"/>
            <v:imagedata r:id="rId110" o:title=""/>
            <o:lock v:ext="edit" aspectratio="t"/>
            <w10:wrap type="none"/>
            <w10:anchorlock/>
          </v:shape>
          <o:OLEObject Type="Embed" ProgID="Equation.DSMT4" ShapeID="_x0000_i1075" DrawAspect="Content" ObjectID="_1468075775" r:id="rId109">
            <o:LockedField>false</o:LockedField>
          </o:OLEObject>
        </w:object>
      </w:r>
      <w:r>
        <w:t>——作用组合的效应函数；</w:t>
      </w:r>
    </w:p>
    <w:p>
      <w:pPr>
        <w:snapToGrid w:val="0"/>
        <w:ind w:left="420" w:firstLine="567"/>
        <w:textAlignment w:val="center"/>
      </w:pPr>
      <w:r>
        <w:rPr>
          <w:position w:val="-12"/>
        </w:rPr>
        <w:object>
          <v:shape id="_x0000_i1076" o:spt="75" type="#_x0000_t75" style="height:19.5pt;width:16.5pt;" o:ole="t" filled="f" o:preferrelative="t" stroked="f" coordsize="21600,21600">
            <v:path/>
            <v:fill on="f" focussize="0,0"/>
            <v:stroke on="f" joinstyle="miter"/>
            <v:imagedata r:id="rId112" o:title=""/>
            <o:lock v:ext="edit" aspectratio="t"/>
            <w10:wrap type="none"/>
            <w10:anchorlock/>
          </v:shape>
          <o:OLEObject Type="Embed" ProgID="Equation.DSMT4" ShapeID="_x0000_i1076" DrawAspect="Content" ObjectID="_1468075776" r:id="rId111">
            <o:LockedField>false</o:LockedField>
          </o:OLEObject>
        </w:object>
      </w:r>
      <w:r>
        <w:t>——第i个永久作用的标准值；</w:t>
      </w:r>
    </w:p>
    <w:p>
      <w:pPr>
        <w:snapToGrid w:val="0"/>
        <w:ind w:firstLine="981" w:firstLineChars="409"/>
        <w:textAlignment w:val="center"/>
      </w:pPr>
      <w:r>
        <w:rPr>
          <w:position w:val="-12"/>
        </w:rPr>
        <w:object>
          <v:shape id="_x0000_i1077" o:spt="75" type="#_x0000_t75" style="height:19.5pt;width:19.5pt;" o:ole="t" filled="f" o:preferrelative="t" stroked="f" coordsize="21600,21600">
            <v:path/>
            <v:fill on="f" focussize="0,0"/>
            <v:stroke on="f" joinstyle="miter"/>
            <v:imagedata r:id="rId114" o:title=""/>
            <o:lock v:ext="edit" aspectratio="t"/>
            <w10:wrap type="none"/>
            <w10:anchorlock/>
          </v:shape>
          <o:OLEObject Type="Embed" ProgID="Equation.DSMT4" ShapeID="_x0000_i1077" DrawAspect="Content" ObjectID="_1468075777" r:id="rId113">
            <o:LockedField>false</o:LockedField>
          </o:OLEObject>
        </w:object>
      </w:r>
      <w:r>
        <w:t>——第1个可变作用的标准值；</w:t>
      </w:r>
    </w:p>
    <w:p>
      <w:pPr>
        <w:snapToGrid w:val="0"/>
        <w:ind w:firstLine="981" w:firstLineChars="409"/>
        <w:textAlignment w:val="center"/>
      </w:pPr>
      <w:r>
        <w:rPr>
          <w:position w:val="-14"/>
        </w:rPr>
        <w:object>
          <v:shape id="_x0000_i1078" o:spt="75" type="#_x0000_t75" style="height:19.5pt;width:17.25pt;" o:ole="t" filled="f" o:preferrelative="t" stroked="f" coordsize="21600,21600">
            <v:path/>
            <v:fill on="f" focussize="0,0"/>
            <v:stroke on="f" joinstyle="miter"/>
            <v:imagedata r:id="rId116" o:title=""/>
            <o:lock v:ext="edit" aspectratio="t"/>
            <w10:wrap type="none"/>
            <w10:anchorlock/>
          </v:shape>
          <o:OLEObject Type="Embed" ProgID="Equation.DSMT4" ShapeID="_x0000_i1078" DrawAspect="Content" ObjectID="_1468075778" r:id="rId115">
            <o:LockedField>false</o:LockedField>
          </o:OLEObject>
        </w:object>
      </w:r>
      <w:r>
        <w:t>——第j个可变作用的标准值；</w:t>
      </w:r>
    </w:p>
    <w:p>
      <w:pPr>
        <w:snapToGrid w:val="0"/>
        <w:ind w:firstLine="981" w:firstLineChars="409"/>
        <w:textAlignment w:val="center"/>
      </w:pPr>
      <w:r>
        <w:rPr>
          <w:position w:val="-12"/>
        </w:rPr>
        <w:object>
          <v:shape id="_x0000_i1079" o:spt="75" type="#_x0000_t75" style="height:19.5pt;width:18.75pt;" o:ole="t" filled="f" o:preferrelative="t" stroked="f" coordsize="21600,21600">
            <v:path/>
            <v:fill on="f" focussize="0,0"/>
            <v:stroke on="f" joinstyle="miter"/>
            <v:imagedata r:id="rId118" o:title=""/>
            <o:lock v:ext="edit" aspectratio="t"/>
            <w10:wrap type="none"/>
            <w10:anchorlock/>
          </v:shape>
          <o:OLEObject Type="Embed" ProgID="Equation.DSMT4" ShapeID="_x0000_i1079" DrawAspect="Content" ObjectID="_1468075779" r:id="rId117">
            <o:LockedField>false</o:LockedField>
          </o:OLEObject>
        </w:object>
      </w:r>
      <w:r>
        <w:t>——第i个永久作用分项系数；</w:t>
      </w:r>
    </w:p>
    <w:p>
      <w:pPr>
        <w:snapToGrid w:val="0"/>
        <w:ind w:firstLine="981" w:firstLineChars="409"/>
        <w:textAlignment w:val="center"/>
      </w:pPr>
      <w:r>
        <w:rPr>
          <w:position w:val="-14"/>
        </w:rPr>
        <w:object>
          <v:shape id="_x0000_i1080" o:spt="75" type="#_x0000_t75" style="height:19.5pt;width:19.5pt;" o:ole="t" filled="f" o:preferrelative="t" stroked="f" coordsize="21600,21600">
            <v:path/>
            <v:fill on="f" focussize="0,0"/>
            <v:stroke on="f" joinstyle="miter"/>
            <v:imagedata r:id="rId120" o:title=""/>
            <o:lock v:ext="edit" aspectratio="t"/>
            <w10:wrap type="none"/>
            <w10:anchorlock/>
          </v:shape>
          <o:OLEObject Type="Embed" ProgID="Equation.DSMT4" ShapeID="_x0000_i1080" DrawAspect="Content" ObjectID="_1468075780" r:id="rId119">
            <o:LockedField>false</o:LockedField>
          </o:OLEObject>
        </w:object>
      </w:r>
      <w:r>
        <w:t>——第1个可变作用分项系数；</w:t>
      </w:r>
    </w:p>
    <w:p>
      <w:pPr>
        <w:snapToGrid w:val="0"/>
        <w:ind w:firstLine="981" w:firstLineChars="409"/>
        <w:textAlignment w:val="center"/>
      </w:pPr>
      <w:r>
        <w:rPr>
          <w:position w:val="-14"/>
        </w:rPr>
        <w:object>
          <v:shape id="_x0000_i1081" o:spt="75" type="#_x0000_t75" style="height:19.5pt;width:15pt;" o:ole="t" filled="f" o:preferrelative="t" stroked="f" coordsize="21600,21600">
            <v:path/>
            <v:fill on="f" focussize="0,0"/>
            <v:stroke on="f" joinstyle="miter"/>
            <v:imagedata r:id="rId122" o:title=""/>
            <o:lock v:ext="edit" aspectratio="t"/>
            <w10:wrap type="none"/>
            <w10:anchorlock/>
          </v:shape>
          <o:OLEObject Type="Embed" ProgID="Equation.DSMT4" ShapeID="_x0000_i1081" DrawAspect="Content" ObjectID="_1468075781" r:id="rId121">
            <o:LockedField>false</o:LockedField>
          </o:OLEObject>
        </w:object>
      </w:r>
      <w:r>
        <w:t>——第j个可变作用分项系数；</w:t>
      </w:r>
    </w:p>
    <w:p>
      <w:pPr>
        <w:snapToGrid w:val="0"/>
        <w:ind w:firstLine="981" w:firstLineChars="409"/>
        <w:textAlignment w:val="center"/>
      </w:pPr>
      <w:r>
        <w:rPr>
          <w:position w:val="-12"/>
        </w:rPr>
        <w:object>
          <v:shape id="_x0000_i1082" o:spt="75" type="#_x0000_t75" style="height:19.5pt;width:15.75pt;" o:ole="t" filled="f" o:preferrelative="t" stroked="f" coordsize="21600,21600">
            <v:path/>
            <v:fill on="f" focussize="0,0"/>
            <v:stroke on="f" joinstyle="miter"/>
            <v:imagedata r:id="rId124" o:title=""/>
            <o:lock v:ext="edit" aspectratio="t"/>
            <w10:wrap type="none"/>
            <w10:anchorlock/>
          </v:shape>
          <o:OLEObject Type="Embed" ProgID="Equation.DSMT4" ShapeID="_x0000_i1082" DrawAspect="Content" ObjectID="_1468075782" r:id="rId123">
            <o:LockedField>false</o:LockedField>
          </o:OLEObject>
        </w:object>
      </w:r>
      <w:r>
        <w:t>——第1个使用年限调整系数；</w:t>
      </w:r>
    </w:p>
    <w:p>
      <w:pPr>
        <w:snapToGrid w:val="0"/>
        <w:ind w:firstLine="981" w:firstLineChars="409"/>
        <w:textAlignment w:val="center"/>
      </w:pPr>
      <w:r>
        <w:rPr>
          <w:position w:val="-14"/>
        </w:rPr>
        <w:object>
          <v:shape id="_x0000_i1083" o:spt="75" type="#_x0000_t75" style="height:19.5pt;width:15pt;" o:ole="t" filled="f" o:preferrelative="t" stroked="f" coordsize="21600,21600">
            <v:path/>
            <v:fill on="f" focussize="0,0"/>
            <v:stroke on="f" joinstyle="miter"/>
            <v:imagedata r:id="rId126" o:title=""/>
            <o:lock v:ext="edit" aspectratio="t"/>
            <w10:wrap type="none"/>
            <w10:anchorlock/>
          </v:shape>
          <o:OLEObject Type="Embed" ProgID="Equation.DSMT4" ShapeID="_x0000_i1083" DrawAspect="Content" ObjectID="_1468075783" r:id="rId125">
            <o:LockedField>false</o:LockedField>
          </o:OLEObject>
        </w:object>
      </w:r>
      <w:r>
        <w:t>——第j个使用年限调整系数；</w:t>
      </w:r>
    </w:p>
    <w:p>
      <w:pPr>
        <w:snapToGrid w:val="0"/>
        <w:ind w:firstLine="981" w:firstLineChars="409"/>
        <w:textAlignment w:val="center"/>
      </w:pPr>
      <w:r>
        <w:rPr>
          <w:position w:val="-14"/>
        </w:rPr>
        <w:object>
          <v:shape id="_x0000_i1084" o:spt="75" type="#_x0000_t75" style="height:19.5pt;width:15pt;" o:ole="t" filled="f" o:preferrelative="t" stroked="f" coordsize="21600,21600">
            <v:path/>
            <v:fill on="f" focussize="0,0"/>
            <v:stroke on="f" joinstyle="miter"/>
            <v:imagedata r:id="rId128" o:title=""/>
            <o:lock v:ext="edit" aspectratio="t"/>
            <w10:wrap type="none"/>
            <w10:anchorlock/>
          </v:shape>
          <o:OLEObject Type="Embed" ProgID="Equation.DSMT4" ShapeID="_x0000_i1084" DrawAspect="Content" ObjectID="_1468075784" r:id="rId127">
            <o:LockedField>false</o:LockedField>
          </o:OLEObject>
        </w:object>
      </w:r>
      <w:r>
        <w:t>——第j个可变作用的组合值系数。</w:t>
      </w:r>
    </w:p>
    <w:p>
      <w:pPr>
        <w:snapToGrid w:val="0"/>
      </w:pPr>
      <w:r>
        <w:rPr>
          <w:b/>
          <w:bCs/>
        </w:rPr>
        <w:t>5.4.5</w:t>
      </w:r>
      <w:r>
        <w:t xml:space="preserve">  各种分项系数取值应符合下列规定：</w:t>
      </w:r>
    </w:p>
    <w:p>
      <w:pPr>
        <w:snapToGrid w:val="0"/>
        <w:ind w:firstLine="482" w:firstLineChars="200"/>
        <w:textAlignment w:val="center"/>
      </w:pPr>
      <w:r>
        <w:rPr>
          <w:b/>
          <w:bCs/>
        </w:rPr>
        <w:t>1</w:t>
      </w:r>
      <w:r>
        <w:t xml:space="preserve">  永久</w:t>
      </w:r>
      <w:r>
        <w:rPr>
          <w:rFonts w:hint="eastAsia"/>
        </w:rPr>
        <w:t>作用分</w:t>
      </w:r>
      <w:r>
        <w:t>项系</w:t>
      </w:r>
      <w:r>
        <w:rPr>
          <w:rFonts w:hint="eastAsia"/>
        </w:rPr>
        <w:t>数</w:t>
      </w:r>
      <w:r>
        <w:t>（</w:t>
      </w:r>
      <w:r>
        <w:rPr>
          <w:position w:val="-12"/>
        </w:rPr>
        <w:object>
          <v:shape id="_x0000_i1085" o:spt="75" type="#_x0000_t75" style="height:19.5pt;width:18.75pt;" o:ole="t" filled="f" o:preferrelative="t" stroked="f" coordsize="21600,21600">
            <v:path/>
            <v:fill on="f" focussize="0,0"/>
            <v:stroke on="f" joinstyle="miter"/>
            <v:imagedata r:id="rId130" o:title=""/>
            <o:lock v:ext="edit" aspectratio="t"/>
            <w10:wrap type="none"/>
            <w10:anchorlock/>
          </v:shape>
          <o:OLEObject Type="Embed" ProgID="Equation.DSMT4" ShapeID="_x0000_i1085" DrawAspect="Content" ObjectID="_1468075785" r:id="rId129">
            <o:LockedField>false</o:LockedField>
          </o:OLEObject>
        </w:object>
      </w:r>
      <w:r>
        <w:t>）</w:t>
      </w:r>
      <w:r>
        <w:rPr>
          <w:rFonts w:hint="eastAsia"/>
        </w:rPr>
        <w:t>的取值应符合下列规定</w:t>
      </w:r>
      <w:r>
        <w:t>：</w:t>
      </w:r>
    </w:p>
    <w:p>
      <w:pPr>
        <w:snapToGrid w:val="0"/>
        <w:ind w:firstLine="840" w:firstLineChars="350"/>
        <w:textAlignment w:val="center"/>
      </w:pPr>
      <w:r>
        <w:rPr>
          <w:rFonts w:hint="eastAsia"/>
        </w:rPr>
        <w:t>1）</w:t>
      </w:r>
      <w:r>
        <w:t>当作用对承载力不利时</w:t>
      </w:r>
      <w:r>
        <w:rPr>
          <w:rFonts w:hint="eastAsia"/>
        </w:rPr>
        <w:t>应</w:t>
      </w:r>
      <w:r>
        <w:t>取1.3</w:t>
      </w:r>
      <w:r>
        <w:rPr>
          <w:rFonts w:hint="eastAsia"/>
        </w:rPr>
        <w:t>；</w:t>
      </w:r>
    </w:p>
    <w:p>
      <w:pPr>
        <w:snapToGrid w:val="0"/>
        <w:ind w:firstLine="840" w:firstLineChars="350"/>
        <w:textAlignment w:val="center"/>
      </w:pPr>
      <w:r>
        <w:rPr>
          <w:rFonts w:hint="eastAsia"/>
        </w:rPr>
        <w:t>2）</w:t>
      </w:r>
      <w:r>
        <w:t>当作用对承载力有利时</w:t>
      </w:r>
      <w:r>
        <w:rPr>
          <w:rFonts w:hint="eastAsia"/>
        </w:rPr>
        <w:t>应为小于或等于</w:t>
      </w:r>
      <w:r>
        <w:t>1.0</w:t>
      </w:r>
      <w:r>
        <w:rPr>
          <w:rFonts w:hint="eastAsia"/>
        </w:rPr>
        <w:t>。</w:t>
      </w:r>
    </w:p>
    <w:p>
      <w:pPr>
        <w:snapToGrid w:val="0"/>
        <w:ind w:firstLine="482" w:firstLineChars="200"/>
        <w:textAlignment w:val="center"/>
      </w:pPr>
      <w:r>
        <w:rPr>
          <w:b/>
          <w:bCs/>
        </w:rPr>
        <w:t>2</w:t>
      </w:r>
      <w:r>
        <w:t xml:space="preserve">  可变</w:t>
      </w:r>
      <w:r>
        <w:rPr>
          <w:rFonts w:hint="eastAsia"/>
        </w:rPr>
        <w:t>作用</w:t>
      </w:r>
      <w:r>
        <w:t>分项系</w:t>
      </w:r>
      <w:r>
        <w:rPr>
          <w:rFonts w:hint="eastAsia"/>
        </w:rPr>
        <w:t>数</w:t>
      </w:r>
      <w:r>
        <w:t>（</w:t>
      </w:r>
      <w:r>
        <w:rPr>
          <w:position w:val="-14"/>
        </w:rPr>
        <w:object>
          <v:shape id="_x0000_i1086" o:spt="75" type="#_x0000_t75" style="height:19.5pt;width:15pt;" o:ole="t" filled="f" o:preferrelative="t" stroked="f" coordsize="21600,21600">
            <v:path/>
            <v:fill on="f" focussize="0,0"/>
            <v:stroke on="f" joinstyle="miter"/>
            <v:imagedata r:id="rId132" o:title=""/>
            <o:lock v:ext="edit" aspectratio="t"/>
            <w10:wrap type="none"/>
            <w10:anchorlock/>
          </v:shape>
          <o:OLEObject Type="Embed" ProgID="Equation.DSMT4" ShapeID="_x0000_i1086" DrawAspect="Content" ObjectID="_1468075786" r:id="rId131">
            <o:LockedField>false</o:LockedField>
          </o:OLEObject>
        </w:object>
      </w:r>
      <w:r>
        <w:t>）</w:t>
      </w:r>
      <w:r>
        <w:rPr>
          <w:rFonts w:hint="eastAsia"/>
        </w:rPr>
        <w:t>的取值应符合下列规定</w:t>
      </w:r>
      <w:r>
        <w:t>：</w:t>
      </w:r>
    </w:p>
    <w:p>
      <w:pPr>
        <w:snapToGrid w:val="0"/>
        <w:ind w:firstLine="840" w:firstLineChars="350"/>
        <w:textAlignment w:val="center"/>
      </w:pPr>
      <w:r>
        <w:rPr>
          <w:rFonts w:hint="eastAsia"/>
        </w:rPr>
        <w:t>1）</w:t>
      </w:r>
      <w:r>
        <w:t>当作用对承载力不利时</w:t>
      </w:r>
      <w:r>
        <w:rPr>
          <w:rFonts w:hint="eastAsia"/>
        </w:rPr>
        <w:t>应</w:t>
      </w:r>
      <w:r>
        <w:t>取1.5</w:t>
      </w:r>
      <w:r>
        <w:rPr>
          <w:rFonts w:hint="eastAsia"/>
        </w:rPr>
        <w:t>；</w:t>
      </w:r>
    </w:p>
    <w:p>
      <w:pPr>
        <w:snapToGrid w:val="0"/>
        <w:ind w:firstLine="840" w:firstLineChars="350"/>
        <w:textAlignment w:val="center"/>
      </w:pPr>
      <w:r>
        <w:rPr>
          <w:rFonts w:hint="eastAsia"/>
        </w:rPr>
        <w:t>2）</w:t>
      </w:r>
      <w:r>
        <w:t>当作用对承载力有利时</w:t>
      </w:r>
      <w:r>
        <w:rPr>
          <w:rFonts w:hint="eastAsia"/>
        </w:rPr>
        <w:t>应</w:t>
      </w:r>
      <w:r>
        <w:t>取0</w:t>
      </w:r>
      <w:r>
        <w:rPr>
          <w:rFonts w:hint="eastAsia"/>
        </w:rPr>
        <w:t>。</w:t>
      </w:r>
    </w:p>
    <w:p>
      <w:pPr>
        <w:snapToGrid w:val="0"/>
        <w:ind w:firstLine="482" w:firstLineChars="200"/>
        <w:textAlignment w:val="center"/>
      </w:pPr>
      <w:r>
        <w:rPr>
          <w:b/>
          <w:bCs/>
        </w:rPr>
        <w:t>3</w:t>
      </w:r>
      <w:r>
        <w:t xml:space="preserve">  可变作用组合系数（</w:t>
      </w:r>
      <w:r>
        <w:rPr>
          <w:position w:val="-14"/>
        </w:rPr>
        <w:object>
          <v:shape id="_x0000_i1087" o:spt="75" type="#_x0000_t75" style="height:19.5pt;width:15pt;" o:ole="t" filled="f" o:preferrelative="t" stroked="f" coordsize="21600,21600">
            <v:path/>
            <v:fill on="f" focussize="0,0"/>
            <v:stroke on="f" joinstyle="miter"/>
            <v:imagedata r:id="rId134" o:title=""/>
            <o:lock v:ext="edit" aspectratio="t"/>
            <w10:wrap type="none"/>
            <w10:anchorlock/>
          </v:shape>
          <o:OLEObject Type="Embed" ProgID="Equation.DSMT4" ShapeID="_x0000_i1087" DrawAspect="Content" ObjectID="_1468075787" r:id="rId133">
            <o:LockedField>false</o:LockedField>
          </o:OLEObject>
        </w:object>
      </w:r>
      <w:r>
        <w:t>）</w:t>
      </w:r>
      <w:r>
        <w:rPr>
          <w:rFonts w:hint="eastAsia"/>
        </w:rPr>
        <w:t>的取值应符合下列规定</w:t>
      </w:r>
      <w:r>
        <w:t>：</w:t>
      </w:r>
    </w:p>
    <w:p>
      <w:pPr>
        <w:snapToGrid w:val="0"/>
        <w:ind w:firstLine="840" w:firstLineChars="350"/>
        <w:textAlignment w:val="center"/>
      </w:pPr>
      <w:r>
        <w:rPr>
          <w:rFonts w:hint="eastAsia"/>
        </w:rPr>
        <w:t>1）取值</w:t>
      </w:r>
      <w:r>
        <w:t>不应大于1.0，宜取0.7</w:t>
      </w:r>
      <w:r>
        <w:rPr>
          <w:rFonts w:hint="eastAsia"/>
        </w:rPr>
        <w:t>；</w:t>
      </w:r>
    </w:p>
    <w:p>
      <w:pPr>
        <w:snapToGrid w:val="0"/>
        <w:ind w:firstLine="840" w:firstLineChars="350"/>
        <w:textAlignment w:val="center"/>
      </w:pPr>
      <w:r>
        <w:rPr>
          <w:rFonts w:hint="eastAsia"/>
        </w:rPr>
        <w:t>2）</w:t>
      </w:r>
      <w:r>
        <w:t>当可变荷载可能持续时间比较长时应适当加大</w:t>
      </w:r>
      <w:r>
        <w:rPr>
          <w:rFonts w:hint="eastAsia"/>
        </w:rPr>
        <w:t>。</w:t>
      </w:r>
    </w:p>
    <w:p>
      <w:pPr>
        <w:ind w:firstLine="482" w:firstLineChars="200"/>
        <w:textAlignment w:val="center"/>
      </w:pPr>
      <w:r>
        <w:rPr>
          <w:b/>
          <w:bCs/>
        </w:rPr>
        <w:t>4</w:t>
      </w:r>
      <w:r>
        <w:t xml:space="preserve">  荷载使用年限调整系数（</w:t>
      </w:r>
      <w:r>
        <w:object>
          <v:shape id="_x0000_i1088" o:spt="75" type="#_x0000_t75" style="height:19.5pt;width:15pt;" o:ole="t" filled="f" o:preferrelative="t" stroked="f" coordsize="21600,21600">
            <v:path/>
            <v:fill on="f" focussize="0,0"/>
            <v:stroke on="f" joinstyle="miter"/>
            <v:imagedata r:id="rId136" o:title=""/>
            <o:lock v:ext="edit" aspectratio="t"/>
            <w10:wrap type="none"/>
            <w10:anchorlock/>
          </v:shape>
          <o:OLEObject Type="Embed" ProgID="Equation.DSMT4" ShapeID="_x0000_i1088" DrawAspect="Content" ObjectID="_1468075788" r:id="rId135">
            <o:LockedField>false</o:LockedField>
          </o:OLEObject>
        </w:object>
      </w:r>
      <w:r>
        <w:t>）</w:t>
      </w:r>
      <w:r>
        <w:rPr>
          <w:rFonts w:hint="eastAsia"/>
        </w:rPr>
        <w:t>的取值应符合下列规定</w:t>
      </w:r>
      <w:r>
        <w:t>：</w:t>
      </w:r>
    </w:p>
    <w:p>
      <w:pPr>
        <w:ind w:firstLine="840" w:firstLineChars="350"/>
        <w:textAlignment w:val="center"/>
      </w:pPr>
      <w:r>
        <w:rPr>
          <w:rFonts w:hint="eastAsia"/>
        </w:rPr>
        <w:t>1）</w:t>
      </w:r>
      <w:r>
        <w:t>使用年限为5年时，</w:t>
      </w:r>
      <w:r>
        <w:rPr>
          <w:rFonts w:hint="eastAsia"/>
        </w:rPr>
        <w:t>应</w:t>
      </w:r>
      <w:r>
        <w:t>取0.9；</w:t>
      </w:r>
    </w:p>
    <w:p>
      <w:pPr>
        <w:ind w:firstLine="840" w:firstLineChars="350"/>
        <w:textAlignment w:val="center"/>
      </w:pPr>
      <w:r>
        <w:rPr>
          <w:rFonts w:hint="eastAsia"/>
        </w:rPr>
        <w:t>2）</w:t>
      </w:r>
      <w:r>
        <w:t>使用年限为50年时，</w:t>
      </w:r>
      <w:r>
        <w:rPr>
          <w:rFonts w:hint="eastAsia"/>
        </w:rPr>
        <w:t>应</w:t>
      </w:r>
      <w:r>
        <w:t>取1.0；</w:t>
      </w:r>
    </w:p>
    <w:p>
      <w:pPr>
        <w:ind w:firstLine="840" w:firstLineChars="350"/>
        <w:textAlignment w:val="center"/>
      </w:pPr>
      <w:r>
        <w:rPr>
          <w:rFonts w:hint="eastAsia"/>
        </w:rPr>
        <w:t>3）</w:t>
      </w:r>
      <w:r>
        <w:t>使用年限为100年时，</w:t>
      </w:r>
      <w:r>
        <w:rPr>
          <w:rFonts w:hint="eastAsia"/>
        </w:rPr>
        <w:t>应</w:t>
      </w:r>
      <w:r>
        <w:t>取1.1</w:t>
      </w:r>
      <w:r>
        <w:rPr>
          <w:rFonts w:hint="eastAsia"/>
        </w:rPr>
        <w:t>；</w:t>
      </w:r>
    </w:p>
    <w:p>
      <w:pPr>
        <w:ind w:left="1200" w:leftChars="350" w:hanging="360" w:hangingChars="150"/>
        <w:textAlignment w:val="center"/>
      </w:pPr>
      <w:r>
        <w:rPr>
          <w:rFonts w:hint="eastAsia"/>
        </w:rPr>
        <w:t>4）</w:t>
      </w:r>
      <w:r>
        <w:t>当设计使用年限不</w:t>
      </w:r>
      <w:r>
        <w:rPr>
          <w:rFonts w:hint="eastAsia"/>
        </w:rPr>
        <w:t>是</w:t>
      </w:r>
      <w:r>
        <w:t>5年、50年或100年数值时，可按线性内插确定</w:t>
      </w:r>
      <w:r>
        <w:rPr>
          <w:rFonts w:hint="eastAsia"/>
        </w:rPr>
        <w:t>；</w:t>
      </w:r>
    </w:p>
    <w:p>
      <w:pPr>
        <w:ind w:firstLine="840" w:firstLineChars="350"/>
        <w:textAlignment w:val="center"/>
      </w:pPr>
      <w:r>
        <w:rPr>
          <w:rFonts w:hint="eastAsia"/>
        </w:rPr>
        <w:t>5）</w:t>
      </w:r>
      <w:r>
        <w:t>对于荷载标准值可控制的活荷载，设计使用年限调整系数</w:t>
      </w:r>
      <w:r>
        <w:rPr>
          <w:rFonts w:hint="eastAsia"/>
        </w:rPr>
        <w:t>应</w:t>
      </w:r>
      <w:r>
        <w:t>取1.0。</w:t>
      </w:r>
    </w:p>
    <w:p>
      <w:pPr>
        <w:textAlignment w:val="center"/>
      </w:pPr>
      <w:r>
        <w:rPr>
          <w:b/>
          <w:bCs/>
        </w:rPr>
        <w:t xml:space="preserve">5.4.6 </w:t>
      </w:r>
      <w:r>
        <w:t xml:space="preserve"> 作用的偶然组合设计值，应符合下式规定：</w:t>
      </w:r>
    </w:p>
    <w:p>
      <w:pPr>
        <w:ind w:firstLine="720" w:firstLineChars="300"/>
        <w:jc w:val="right"/>
        <w:textAlignment w:val="center"/>
      </w:pPr>
      <w:r>
        <w:rPr>
          <w:position w:val="-32"/>
        </w:rPr>
        <w:object>
          <v:shape id="_x0000_i1089" o:spt="75" type="#_x0000_t75" style="height:38.25pt;width:217.35pt;" o:ole="t" filled="f" o:preferrelative="t" stroked="f" coordsize="21600,21600">
            <v:path/>
            <v:fill on="f" focussize="0,0"/>
            <v:stroke on="f" joinstyle="miter"/>
            <v:imagedata r:id="rId138" o:title=""/>
            <o:lock v:ext="edit" aspectratio="t"/>
            <w10:wrap type="none"/>
            <w10:anchorlock/>
          </v:shape>
          <o:OLEObject Type="Embed" ProgID="Equation.DSMT4" ShapeID="_x0000_i1089" DrawAspect="Content" ObjectID="_1468075789" r:id="rId137">
            <o:LockedField>false</o:LockedField>
          </o:OLEObject>
        </w:object>
      </w:r>
      <w:r>
        <w:t xml:space="preserve">           （5.4.6）</w:t>
      </w:r>
    </w:p>
    <w:p>
      <w:pPr>
        <w:textAlignment w:val="center"/>
      </w:pPr>
      <w:r>
        <w:t>式中：</w:t>
      </w:r>
      <w:r>
        <w:tab/>
      </w:r>
      <w:r>
        <w:rPr>
          <w:position w:val="-12"/>
        </w:rPr>
        <w:object>
          <v:shape id="_x0000_i1090" o:spt="75" type="#_x0000_t75" style="height:18.75pt;width:12pt;" o:ole="t" filled="f" o:preferrelative="t" stroked="f" coordsize="21600,21600">
            <v:path/>
            <v:fill on="f" focussize="0,0"/>
            <v:stroke on="f" joinstyle="miter"/>
            <v:imagedata r:id="rId140" o:title=""/>
            <o:lock v:ext="edit" aspectratio="t"/>
            <w10:wrap type="none"/>
            <w10:anchorlock/>
          </v:shape>
          <o:OLEObject Type="Embed" ProgID="Equation.DSMT4" ShapeID="_x0000_i1090" DrawAspect="Content" ObjectID="_1468075790" r:id="rId139">
            <o:LockedField>false</o:LockedField>
          </o:OLEObject>
        </w:object>
      </w:r>
      <w:r>
        <w:t>——预应力；</w:t>
      </w:r>
    </w:p>
    <w:p>
      <w:pPr>
        <w:ind w:firstLine="720" w:firstLineChars="300"/>
        <w:textAlignment w:val="center"/>
      </w:pPr>
      <w:r>
        <w:rPr>
          <w:position w:val="-12"/>
        </w:rPr>
        <w:object>
          <v:shape id="_x0000_i1091" o:spt="75" type="#_x0000_t75" style="height:19.5pt;width:15pt;" o:ole="t" filled="f" o:preferrelative="t" stroked="f" coordsize="21600,21600">
            <v:path/>
            <v:fill on="f" focussize="0,0"/>
            <v:stroke on="f" joinstyle="miter"/>
            <v:imagedata r:id="rId142" o:title=""/>
            <o:lock v:ext="edit" aspectratio="t"/>
            <w10:wrap type="none"/>
            <w10:anchorlock/>
          </v:shape>
          <o:OLEObject Type="Embed" ProgID="Equation.DSMT4" ShapeID="_x0000_i1091" DrawAspect="Content" ObjectID="_1468075791" r:id="rId141">
            <o:LockedField>false</o:LockedField>
          </o:OLEObject>
        </w:object>
      </w:r>
      <w:r>
        <w:t>——偶然作用的设计值；</w:t>
      </w:r>
    </w:p>
    <w:p>
      <w:pPr>
        <w:ind w:firstLine="669" w:firstLineChars="279"/>
        <w:textAlignment w:val="center"/>
      </w:pPr>
      <w:r>
        <w:rPr>
          <w:position w:val="-12"/>
        </w:rPr>
        <w:object>
          <v:shape id="_x0000_i1092" o:spt="75" type="#_x0000_t75" style="height:19.5pt;width:16.5pt;" o:ole="t" filled="f" o:preferrelative="t" stroked="f" coordsize="21600,21600">
            <v:path/>
            <v:fill on="f" focussize="0,0"/>
            <v:stroke on="f" joinstyle="miter"/>
            <v:imagedata r:id="rId144" o:title=""/>
            <o:lock v:ext="edit" aspectratio="t"/>
            <w10:wrap type="none"/>
            <w10:anchorlock/>
          </v:shape>
          <o:OLEObject Type="Embed" ProgID="Equation.DSMT4" ShapeID="_x0000_i1092" DrawAspect="Content" ObjectID="_1468075792" r:id="rId143">
            <o:LockedField>false</o:LockedField>
          </o:OLEObject>
        </w:object>
      </w:r>
      <w:r>
        <w:t>——第1个可变作用的频遇值系数；</w:t>
      </w:r>
    </w:p>
    <w:p>
      <w:pPr>
        <w:ind w:firstLine="669" w:firstLineChars="279"/>
        <w:textAlignment w:val="center"/>
      </w:pPr>
      <w:r>
        <w:rPr>
          <w:position w:val="-14"/>
        </w:rPr>
        <w:object>
          <v:shape id="_x0000_i1093" o:spt="75" type="#_x0000_t75" style="height:20.25pt;width:15.75pt;" o:ole="t" filled="f" o:preferrelative="t" stroked="f" coordsize="21600,21600">
            <v:path/>
            <v:fill on="f" focussize="0,0"/>
            <v:stroke on="f" joinstyle="miter"/>
            <v:imagedata r:id="rId146" o:title=""/>
            <o:lock v:ext="edit" aspectratio="t"/>
            <w10:wrap type="none"/>
            <w10:anchorlock/>
          </v:shape>
          <o:OLEObject Type="Embed" ProgID="Equation.DSMT4" ShapeID="_x0000_i1093" DrawAspect="Content" ObjectID="_1468075793" r:id="rId145">
            <o:LockedField>false</o:LockedField>
          </o:OLEObject>
        </w:object>
      </w:r>
      <w:r>
        <w:t>——第j个可变作用的准永久值系数。</w:t>
      </w:r>
    </w:p>
    <w:p>
      <w:r>
        <w:rPr>
          <w:b/>
          <w:bCs/>
        </w:rPr>
        <w:t xml:space="preserve">5.4.7  </w:t>
      </w:r>
      <w:r>
        <w:t>顶管结构正常使用极限状态设计，应符合下式规定：</w:t>
      </w:r>
    </w:p>
    <w:p>
      <w:pPr>
        <w:tabs>
          <w:tab w:val="right" w:pos="8222"/>
        </w:tabs>
        <w:wordWrap w:val="0"/>
        <w:ind w:firstLine="1848" w:firstLineChars="770"/>
        <w:jc w:val="right"/>
      </w:pPr>
      <w:r>
        <w:rPr>
          <w:position w:val="-12"/>
        </w:rPr>
        <w:object>
          <v:shape id="_x0000_i1094" o:spt="75" type="#_x0000_t75" style="height:19.5pt;width:36pt;" o:ole="t" filled="f" o:preferrelative="t" stroked="f" coordsize="21600,21600">
            <v:path/>
            <v:fill on="f" focussize="0,0"/>
            <v:stroke on="f" joinstyle="miter"/>
            <v:imagedata r:id="rId148" o:title=""/>
            <o:lock v:ext="edit" aspectratio="t"/>
            <w10:wrap type="none"/>
            <w10:anchorlock/>
          </v:shape>
          <o:OLEObject Type="Embed" ProgID="Equation.DSMT4" ShapeID="_x0000_i1094" DrawAspect="Content" ObjectID="_1468075794" r:id="rId147">
            <o:LockedField>false</o:LockedField>
          </o:OLEObject>
        </w:object>
      </w:r>
      <w:r>
        <w:rPr>
          <w:rFonts w:hint="eastAsia"/>
        </w:rPr>
        <w:t xml:space="preserve">                          </w:t>
      </w:r>
      <w:r>
        <w:t>（5.4.7）</w:t>
      </w:r>
    </w:p>
    <w:p>
      <w:pPr>
        <w:textAlignment w:val="center"/>
      </w:pPr>
      <w:r>
        <w:t>式中：</w:t>
      </w:r>
      <w:r>
        <w:tab/>
      </w:r>
      <w:r>
        <w:rPr>
          <w:position w:val="-12"/>
        </w:rPr>
        <w:object>
          <v:shape id="_x0000_i1095" o:spt="75" type="#_x0000_t75" style="height:19.5pt;width:14.25pt;" o:ole="t" filled="f" o:preferrelative="t" stroked="f" coordsize="21600,21600">
            <v:path/>
            <v:fill on="f" focussize="0,0"/>
            <v:stroke on="f" joinstyle="miter"/>
            <v:imagedata r:id="rId150" o:title=""/>
            <o:lock v:ext="edit" aspectratio="t"/>
            <w10:wrap type="none"/>
            <w10:anchorlock/>
          </v:shape>
          <o:OLEObject Type="Embed" ProgID="Equation.DSMT4" ShapeID="_x0000_i1095" DrawAspect="Content" ObjectID="_1468075795" r:id="rId149">
            <o:LockedField>false</o:LockedField>
          </o:OLEObject>
        </w:object>
      </w:r>
      <w:r>
        <w:t>——作用组合的效应设计值；</w:t>
      </w:r>
    </w:p>
    <w:p>
      <w:pPr>
        <w:ind w:left="1560" w:leftChars="350" w:hanging="720" w:hangingChars="300"/>
        <w:textAlignment w:val="center"/>
      </w:pPr>
      <w:r>
        <w:object>
          <v:shape id="_x0000_i1096" o:spt="75" type="#_x0000_t75" style="height:15pt;width:12pt;" o:ole="t" filled="f" o:preferrelative="t" stroked="f" coordsize="21600,21600">
            <v:path/>
            <v:fill on="f" focussize="0,0"/>
            <v:stroke on="f" joinstyle="miter"/>
            <v:imagedata r:id="rId152" o:title=""/>
            <o:lock v:ext="edit" aspectratio="t"/>
            <w10:wrap type="none"/>
            <w10:anchorlock/>
          </v:shape>
          <o:OLEObject Type="Embed" ProgID="Equation.DSMT4" ShapeID="_x0000_i1096" DrawAspect="Content" ObjectID="_1468075796" r:id="rId151">
            <o:LockedField>false</o:LockedField>
          </o:OLEObject>
        </w:object>
      </w:r>
      <w:r>
        <w:t>——设计对变形、裂缝等规定的相应限值，按</w:t>
      </w:r>
      <w:r>
        <w:rPr>
          <w:rFonts w:hint="eastAsia"/>
        </w:rPr>
        <w:t>现行国家标准《工程结构可靠性设计统一标准》GB 50153</w:t>
      </w:r>
      <w:r>
        <w:t>的有关规定采用。</w:t>
      </w:r>
    </w:p>
    <w:p>
      <w:pPr>
        <w:textAlignment w:val="center"/>
      </w:pPr>
      <w:r>
        <w:rPr>
          <w:b/>
          <w:bCs/>
        </w:rPr>
        <w:t xml:space="preserve">5.4.8 </w:t>
      </w:r>
      <w:r>
        <w:t xml:space="preserve"> 结构构件按正常使用极限状态验算时，应采用作用效应的标准组合、频遇组合或准永久组合，其中</w:t>
      </w:r>
      <w:r>
        <w:rPr>
          <w:rFonts w:hint="eastAsia"/>
        </w:rPr>
        <w:t>作用组合的效应设计值（</w:t>
      </w:r>
      <w:r>
        <w:rPr>
          <w:position w:val="-12"/>
        </w:rPr>
        <w:object>
          <v:shape id="_x0000_i1097" o:spt="75" type="#_x0000_t75" style="height:19.5pt;width:14.25pt;" o:ole="t" filled="f" o:preferrelative="t" stroked="f" coordsize="21600,21600">
            <v:path/>
            <v:fill on="f" focussize="0,0"/>
            <v:stroke on="f" joinstyle="miter"/>
            <v:imagedata r:id="rId154" o:title=""/>
            <o:lock v:ext="edit" aspectratio="t"/>
            <w10:wrap type="none"/>
            <w10:anchorlock/>
          </v:shape>
          <o:OLEObject Type="Embed" ProgID="Equation.DSMT4" ShapeID="_x0000_i1097" DrawAspect="Content" ObjectID="_1468075797" r:id="rId153">
            <o:LockedField>false</o:LockedField>
          </o:OLEObject>
        </w:object>
      </w:r>
      <w:r>
        <w:rPr>
          <w:rFonts w:hint="eastAsia"/>
        </w:rPr>
        <w:t>）</w:t>
      </w:r>
      <w:r>
        <w:t>应按下式计算：</w:t>
      </w:r>
    </w:p>
    <w:p>
      <w:pPr>
        <w:tabs>
          <w:tab w:val="right" w:pos="8222"/>
        </w:tabs>
        <w:ind w:firstLine="648" w:firstLineChars="270"/>
        <w:textAlignment w:val="center"/>
      </w:pPr>
      <w:r>
        <w:rPr>
          <w:position w:val="-150"/>
        </w:rPr>
        <w:object>
          <v:shape id="_x0000_i1098" o:spt="75" type="#_x0000_t75" style="height:156.8pt;width:286.55pt;" o:ole="t" filled="f" o:preferrelative="t" stroked="f" coordsize="21600,21600">
            <v:path/>
            <v:fill on="f" focussize="0,0"/>
            <v:stroke on="f" joinstyle="miter"/>
            <v:imagedata r:id="rId156" o:title=""/>
            <o:lock v:ext="edit" aspectratio="t"/>
            <w10:wrap type="none"/>
            <w10:anchorlock/>
          </v:shape>
          <o:OLEObject Type="Embed" ProgID="Equation.3" ShapeID="_x0000_i1098" DrawAspect="Content" ObjectID="_1468075798" r:id="rId155">
            <o:LockedField>false</o:LockedField>
          </o:OLEObject>
        </w:object>
      </w:r>
      <w:r>
        <w:t xml:space="preserve">     （5.4.8）</w:t>
      </w:r>
    </w:p>
    <w:p>
      <w:r>
        <w:rPr>
          <w:b/>
          <w:bCs/>
        </w:rPr>
        <w:t xml:space="preserve">5.4.9  </w:t>
      </w:r>
      <w:r>
        <w:t>裂缝宽度计算及限值应按工程所属行业的相关设计规范进行</w:t>
      </w:r>
      <w:r>
        <w:rPr>
          <w:rFonts w:hint="eastAsia"/>
        </w:rPr>
        <w:t>。</w:t>
      </w:r>
    </w:p>
    <w:p>
      <w:pPr>
        <w:keepNext/>
        <w:keepLines/>
        <w:jc w:val="center"/>
        <w:outlineLvl w:val="1"/>
        <w:rPr>
          <w:rFonts w:eastAsia="黑体"/>
          <w:bCs/>
          <w:sz w:val="28"/>
          <w:szCs w:val="32"/>
        </w:rPr>
      </w:pPr>
      <w:bookmarkStart w:id="211" w:name="_Toc47692157"/>
      <w:bookmarkStart w:id="212" w:name="_Toc18057037"/>
      <w:bookmarkStart w:id="213" w:name="_Toc60173786"/>
      <w:bookmarkStart w:id="214" w:name="_Toc24251"/>
      <w:bookmarkStart w:id="215" w:name="_Toc20039"/>
      <w:bookmarkStart w:id="216" w:name="_Toc2203"/>
      <w:bookmarkStart w:id="217" w:name="_Toc22250"/>
      <w:bookmarkStart w:id="218" w:name="_Toc60172899"/>
      <w:bookmarkStart w:id="219" w:name="_Toc9330"/>
      <w:bookmarkStart w:id="220" w:name="_Toc6314"/>
      <w:bookmarkStart w:id="221" w:name="_Toc23651"/>
      <w:r>
        <w:rPr>
          <w:rFonts w:eastAsia="黑体"/>
          <w:b/>
          <w:bCs/>
          <w:sz w:val="28"/>
          <w:szCs w:val="32"/>
        </w:rPr>
        <w:t>5.5</w:t>
      </w:r>
      <w:r>
        <w:rPr>
          <w:rFonts w:eastAsia="黑体"/>
          <w:bCs/>
          <w:sz w:val="28"/>
          <w:szCs w:val="32"/>
        </w:rPr>
        <w:t xml:space="preserve">  管节构造设计</w:t>
      </w:r>
      <w:bookmarkEnd w:id="211"/>
      <w:bookmarkEnd w:id="212"/>
      <w:bookmarkEnd w:id="213"/>
      <w:bookmarkEnd w:id="214"/>
      <w:bookmarkEnd w:id="215"/>
      <w:bookmarkEnd w:id="216"/>
      <w:bookmarkEnd w:id="217"/>
      <w:bookmarkEnd w:id="218"/>
      <w:bookmarkEnd w:id="219"/>
      <w:bookmarkEnd w:id="220"/>
      <w:bookmarkEnd w:id="221"/>
    </w:p>
    <w:p>
      <w:r>
        <w:rPr>
          <w:b/>
          <w:bCs/>
        </w:rPr>
        <w:t xml:space="preserve">5.5.1  </w:t>
      </w:r>
      <w:r>
        <w:t>管节混凝土强度等级不宜小于C50，</w:t>
      </w:r>
      <w:r>
        <w:rPr>
          <w:bCs/>
        </w:rPr>
        <w:t>管节</w:t>
      </w:r>
      <w:r>
        <w:t>混凝土抗渗等级不宜低于P10。</w:t>
      </w:r>
      <w:r>
        <w:rPr>
          <w:bCs/>
        </w:rPr>
        <w:t xml:space="preserve"> </w:t>
      </w:r>
      <w:r>
        <w:t>最外层钢筋的混凝土保护层</w:t>
      </w:r>
      <w:r>
        <w:rPr>
          <w:rFonts w:hint="eastAsia"/>
        </w:rPr>
        <w:t>最小厚度</w:t>
      </w:r>
      <w:r>
        <w:t>应根据安全等级和不同环境下管节耐久性要求确定，并宜</w:t>
      </w:r>
      <w:r>
        <w:rPr>
          <w:rFonts w:hint="eastAsia"/>
        </w:rPr>
        <w:t>符合</w:t>
      </w:r>
      <w:r>
        <w:t>表5.5.1</w:t>
      </w:r>
      <w:r>
        <w:rPr>
          <w:rFonts w:hint="eastAsia"/>
        </w:rPr>
        <w:t>的规定</w:t>
      </w:r>
      <w:r>
        <w:t>。</w:t>
      </w:r>
    </w:p>
    <w:p>
      <w:pPr>
        <w:autoSpaceDE w:val="0"/>
        <w:autoSpaceDN w:val="0"/>
        <w:adjustRightInd w:val="0"/>
        <w:jc w:val="center"/>
        <w:rPr>
          <w:b/>
          <w:bCs/>
          <w:sz w:val="21"/>
          <w:szCs w:val="18"/>
        </w:rPr>
      </w:pPr>
      <w:r>
        <w:rPr>
          <w:b/>
          <w:bCs/>
          <w:sz w:val="21"/>
          <w:szCs w:val="18"/>
        </w:rPr>
        <w:t>表5.5.1  混凝土保护层最小厚度（mm）</w:t>
      </w:r>
    </w:p>
    <w:tbl>
      <w:tblPr>
        <w:tblStyle w:val="47"/>
        <w:tblW w:w="681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92"/>
        <w:gridCol w:w="2475"/>
        <w:gridCol w:w="25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92" w:type="dxa"/>
            <w:vAlign w:val="center"/>
          </w:tcPr>
          <w:p>
            <w:pPr>
              <w:autoSpaceDE w:val="0"/>
              <w:autoSpaceDN w:val="0"/>
              <w:adjustRightInd w:val="0"/>
              <w:jc w:val="center"/>
              <w:rPr>
                <w:sz w:val="21"/>
              </w:rPr>
            </w:pPr>
            <w:r>
              <w:rPr>
                <w:sz w:val="21"/>
              </w:rPr>
              <w:t>类型</w:t>
            </w:r>
          </w:p>
        </w:tc>
        <w:tc>
          <w:tcPr>
            <w:tcW w:w="2475" w:type="dxa"/>
            <w:vAlign w:val="center"/>
          </w:tcPr>
          <w:p>
            <w:pPr>
              <w:autoSpaceDE w:val="0"/>
              <w:autoSpaceDN w:val="0"/>
              <w:adjustRightInd w:val="0"/>
              <w:jc w:val="center"/>
              <w:rPr>
                <w:sz w:val="21"/>
              </w:rPr>
            </w:pPr>
            <w:r>
              <w:rPr>
                <w:sz w:val="21"/>
              </w:rPr>
              <w:t>直接与水接触</w:t>
            </w:r>
          </w:p>
        </w:tc>
        <w:tc>
          <w:tcPr>
            <w:tcW w:w="2552" w:type="dxa"/>
            <w:vAlign w:val="center"/>
          </w:tcPr>
          <w:p>
            <w:pPr>
              <w:autoSpaceDE w:val="0"/>
              <w:autoSpaceDN w:val="0"/>
              <w:adjustRightInd w:val="0"/>
              <w:jc w:val="center"/>
              <w:rPr>
                <w:sz w:val="21"/>
              </w:rPr>
            </w:pPr>
            <w:r>
              <w:rPr>
                <w:sz w:val="21"/>
              </w:rPr>
              <w:t>不直接与水接触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92" w:type="dxa"/>
            <w:vAlign w:val="center"/>
          </w:tcPr>
          <w:p>
            <w:pPr>
              <w:autoSpaceDE w:val="0"/>
              <w:autoSpaceDN w:val="0"/>
              <w:adjustRightInd w:val="0"/>
              <w:jc w:val="center"/>
              <w:rPr>
                <w:sz w:val="21"/>
              </w:rPr>
            </w:pPr>
            <w:r>
              <w:rPr>
                <w:sz w:val="21"/>
              </w:rPr>
              <w:t>一级</w:t>
            </w:r>
          </w:p>
        </w:tc>
        <w:tc>
          <w:tcPr>
            <w:tcW w:w="2475" w:type="dxa"/>
            <w:vAlign w:val="center"/>
          </w:tcPr>
          <w:p>
            <w:pPr>
              <w:autoSpaceDE w:val="0"/>
              <w:autoSpaceDN w:val="0"/>
              <w:adjustRightInd w:val="0"/>
              <w:jc w:val="center"/>
              <w:rPr>
                <w:sz w:val="21"/>
              </w:rPr>
            </w:pPr>
            <w:r>
              <w:rPr>
                <w:sz w:val="21"/>
              </w:rPr>
              <w:t>50</w:t>
            </w:r>
          </w:p>
        </w:tc>
        <w:tc>
          <w:tcPr>
            <w:tcW w:w="2552" w:type="dxa"/>
            <w:vAlign w:val="center"/>
          </w:tcPr>
          <w:p>
            <w:pPr>
              <w:autoSpaceDE w:val="0"/>
              <w:autoSpaceDN w:val="0"/>
              <w:adjustRightInd w:val="0"/>
              <w:jc w:val="center"/>
              <w:rPr>
                <w:sz w:val="21"/>
              </w:rPr>
            </w:pPr>
            <w:r>
              <w:rPr>
                <w:sz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92" w:type="dxa"/>
            <w:vAlign w:val="center"/>
          </w:tcPr>
          <w:p>
            <w:pPr>
              <w:autoSpaceDE w:val="0"/>
              <w:autoSpaceDN w:val="0"/>
              <w:adjustRightInd w:val="0"/>
              <w:jc w:val="center"/>
              <w:rPr>
                <w:sz w:val="21"/>
              </w:rPr>
            </w:pPr>
            <w:r>
              <w:rPr>
                <w:sz w:val="21"/>
              </w:rPr>
              <w:t>二级</w:t>
            </w:r>
          </w:p>
        </w:tc>
        <w:tc>
          <w:tcPr>
            <w:tcW w:w="2475" w:type="dxa"/>
            <w:vAlign w:val="center"/>
          </w:tcPr>
          <w:p>
            <w:pPr>
              <w:autoSpaceDE w:val="0"/>
              <w:autoSpaceDN w:val="0"/>
              <w:adjustRightInd w:val="0"/>
              <w:jc w:val="center"/>
              <w:rPr>
                <w:sz w:val="21"/>
              </w:rPr>
            </w:pPr>
            <w:r>
              <w:rPr>
                <w:sz w:val="21"/>
              </w:rPr>
              <w:t>40</w:t>
            </w:r>
          </w:p>
        </w:tc>
        <w:tc>
          <w:tcPr>
            <w:tcW w:w="2552" w:type="dxa"/>
            <w:vAlign w:val="center"/>
          </w:tcPr>
          <w:p>
            <w:pPr>
              <w:autoSpaceDE w:val="0"/>
              <w:autoSpaceDN w:val="0"/>
              <w:adjustRightInd w:val="0"/>
              <w:jc w:val="center"/>
              <w:rPr>
                <w:sz w:val="21"/>
              </w:rPr>
            </w:pPr>
            <w:r>
              <w:rPr>
                <w:sz w:val="21"/>
              </w:rPr>
              <w:t>30</w:t>
            </w:r>
          </w:p>
        </w:tc>
      </w:tr>
    </w:tbl>
    <w:p>
      <w:r>
        <w:rPr>
          <w:b/>
          <w:bCs/>
        </w:rPr>
        <w:t>5.5.2</w:t>
      </w:r>
      <w:r>
        <w:t xml:space="preserve">  管节钢筋选用宜符合下列规定：</w:t>
      </w:r>
    </w:p>
    <w:p>
      <w:pPr>
        <w:ind w:firstLine="482" w:firstLineChars="200"/>
      </w:pPr>
      <w:r>
        <w:rPr>
          <w:b/>
          <w:bCs/>
        </w:rPr>
        <w:t xml:space="preserve">1 </w:t>
      </w:r>
      <w:r>
        <w:t xml:space="preserve"> 纵筋宜采用HRB400，HRB500，HRBF400，HRBF500钢筋；</w:t>
      </w:r>
    </w:p>
    <w:p>
      <w:pPr>
        <w:ind w:firstLine="482" w:firstLineChars="200"/>
      </w:pPr>
      <w:r>
        <w:rPr>
          <w:b/>
          <w:bCs/>
        </w:rPr>
        <w:t>2</w:t>
      </w:r>
      <w:r>
        <w:t xml:space="preserve">  箍筋宜采用HPB300，HRB400，HRB500，HRBF400，HRBF500钢筋；</w:t>
      </w:r>
    </w:p>
    <w:p>
      <w:r>
        <w:rPr>
          <w:b/>
          <w:bCs/>
        </w:rPr>
        <w:t xml:space="preserve">5.5.3  </w:t>
      </w:r>
      <w:r>
        <w:t>管节纵向钢筋的最小配筋率不宜低于0.2%，间距不宜大于150mm。当混凝土强度等级大于C60时，最小配筋率宜增加0.1%。</w:t>
      </w:r>
    </w:p>
    <w:p>
      <w:r>
        <w:rPr>
          <w:b/>
          <w:bCs/>
        </w:rPr>
        <w:t xml:space="preserve">5.5.4  </w:t>
      </w:r>
      <w:r>
        <w:t>管节顶、底板与侧墙连接处宜设置腋角，配筋面积可为受力钢筋的截面面积的50%。</w:t>
      </w:r>
    </w:p>
    <w:p>
      <w:r>
        <w:rPr>
          <w:b/>
          <w:bCs/>
        </w:rPr>
        <w:t xml:space="preserve">5.5.5  </w:t>
      </w:r>
      <w:r>
        <w:t>混凝土管节传力面允许最大顶力应按下式计算：</w:t>
      </w:r>
    </w:p>
    <w:p>
      <w:pPr>
        <w:spacing w:line="300" w:lineRule="auto"/>
        <w:ind w:firstLine="972" w:firstLineChars="405"/>
        <w:jc w:val="right"/>
        <w:rPr>
          <w:rFonts w:eastAsia="仿宋_GB2312"/>
        </w:rPr>
      </w:pPr>
      <w:bookmarkStart w:id="222" w:name="_Hlk12954239"/>
      <w:r>
        <w:rPr>
          <w:rFonts w:eastAsia="仿宋_GB2312"/>
          <w:position w:val="-30"/>
          <w:szCs w:val="24"/>
        </w:rPr>
        <w:object>
          <v:shape id="_x0000_i1099" o:spt="75" type="#_x0000_t75" style="height:34.5pt;width:99pt;" o:ole="t" filled="f" o:preferrelative="t" stroked="f" coordsize="21600,21600">
            <v:path/>
            <v:fill on="f" focussize="0,0"/>
            <v:stroke on="f" joinstyle="miter"/>
            <v:imagedata r:id="rId158" o:title=""/>
            <o:lock v:ext="edit" aspectratio="t"/>
            <w10:wrap type="none"/>
            <w10:anchorlock/>
          </v:shape>
          <o:OLEObject Type="Embed" ProgID="Equation.DSMT4" ShapeID="_x0000_i1099" DrawAspect="Content" ObjectID="_1468075799" r:id="rId157">
            <o:LockedField>false</o:LockedField>
          </o:OLEObject>
        </w:object>
      </w:r>
      <w:r>
        <w:rPr>
          <w:rFonts w:eastAsia="仿宋_GB2312"/>
        </w:rPr>
        <w:t xml:space="preserve">                      （5.5.5）</w:t>
      </w:r>
    </w:p>
    <w:p>
      <w:pPr>
        <w:textAlignment w:val="center"/>
      </w:pPr>
      <w:r>
        <w:t>式中:</w:t>
      </w:r>
      <w:r>
        <w:tab/>
      </w:r>
      <w:r>
        <w:rPr>
          <w:position w:val="-12"/>
        </w:rPr>
        <w:object>
          <v:shape id="_x0000_i1100" o:spt="75" type="#_x0000_t75" style="height:19.5pt;width:15.75pt;" o:ole="t" filled="f" o:preferrelative="t" stroked="f" coordsize="21600,21600">
            <v:path/>
            <v:fill on="f" focussize="0,0"/>
            <v:stroke on="f" joinstyle="miter"/>
            <v:imagedata r:id="rId160" o:title=""/>
            <o:lock v:ext="edit" aspectratio="t"/>
            <w10:wrap type="none"/>
            <w10:anchorlock/>
          </v:shape>
          <o:OLEObject Type="Embed" ProgID="Equation.DSMT4" ShapeID="_x0000_i1100" DrawAspect="Content" ObjectID="_1468075800" r:id="rId159">
            <o:LockedField>false</o:LockedField>
          </o:OLEObject>
        </w:object>
      </w:r>
      <w:r>
        <w:t>——管节允许顶力设计值（N）；</w:t>
      </w:r>
    </w:p>
    <w:p>
      <w:pPr>
        <w:ind w:left="420" w:firstLine="505"/>
        <w:textAlignment w:val="center"/>
      </w:pPr>
      <w:r>
        <w:object>
          <v:shape id="_x0000_i1101" o:spt="75" type="#_x0000_t75" style="height:19.5pt;width:12pt;" o:ole="t" filled="f" o:preferrelative="t" stroked="f" coordsize="21600,21600">
            <v:path/>
            <v:fill on="f" focussize="0,0"/>
            <v:stroke on="f" joinstyle="miter"/>
            <v:imagedata r:id="rId162" o:title=""/>
            <o:lock v:ext="edit" aspectratio="t"/>
            <w10:wrap type="none"/>
            <w10:anchorlock/>
          </v:shape>
          <o:OLEObject Type="Embed" ProgID="Equation.DSMT4" ShapeID="_x0000_i1101" DrawAspect="Content" ObjectID="_1468075801" r:id="rId161">
            <o:LockedField>false</o:LockedField>
          </o:OLEObject>
        </w:object>
      </w:r>
      <w:r>
        <w:t>——混凝土受压强度折减系数，取0.9；</w:t>
      </w:r>
    </w:p>
    <w:p>
      <w:pPr>
        <w:ind w:left="420" w:firstLine="420"/>
        <w:textAlignment w:val="center"/>
      </w:pPr>
      <w:r>
        <w:object>
          <v:shape id="_x0000_i1102" o:spt="75" type="#_x0000_t75" style="height:19.5pt;width:14.25pt;" o:ole="t" filled="f" o:preferrelative="t" stroked="f" coordsize="21600,21600">
            <v:path/>
            <v:fill on="f" focussize="0,0"/>
            <v:stroke on="f" joinstyle="miter"/>
            <v:imagedata r:id="rId164" o:title=""/>
            <o:lock v:ext="edit" aspectratio="t"/>
            <w10:wrap type="none"/>
            <w10:anchorlock/>
          </v:shape>
          <o:OLEObject Type="Embed" ProgID="Equation.DSMT4" ShapeID="_x0000_i1102" DrawAspect="Content" ObjectID="_1468075802" r:id="rId163">
            <o:LockedField>false</o:LockedField>
          </o:OLEObject>
        </w:object>
      </w:r>
      <w:r>
        <w:t>——偏心受压强度提高系数，取1.05；</w:t>
      </w:r>
    </w:p>
    <w:p>
      <w:pPr>
        <w:ind w:left="420" w:firstLine="420"/>
        <w:textAlignment w:val="center"/>
      </w:pPr>
      <w:r>
        <w:object>
          <v:shape id="_x0000_i1103" o:spt="75" type="#_x0000_t75" style="height:19.5pt;width:12pt;" o:ole="t" filled="f" o:preferrelative="t" stroked="f" coordsize="21600,21600">
            <v:path/>
            <v:fill on="f" focussize="0,0"/>
            <v:stroke on="f" joinstyle="miter"/>
            <v:imagedata r:id="rId166" o:title=""/>
            <o:lock v:ext="edit" aspectratio="t"/>
            <w10:wrap type="none"/>
            <w10:anchorlock/>
          </v:shape>
          <o:OLEObject Type="Embed" ProgID="Equation.DSMT4" ShapeID="_x0000_i1103" DrawAspect="Content" ObjectID="_1468075803" r:id="rId165">
            <o:LockedField>false</o:LockedField>
          </o:OLEObject>
        </w:object>
      </w:r>
      <w:r>
        <w:t>——材料脆性系数，取0.85；</w:t>
      </w:r>
    </w:p>
    <w:p>
      <w:pPr>
        <w:ind w:left="420" w:firstLine="420"/>
        <w:textAlignment w:val="center"/>
      </w:pPr>
      <w:r>
        <w:object>
          <v:shape id="_x0000_i1104" o:spt="75" type="#_x0000_t75" style="height:19.5pt;width:12pt;" o:ole="t" filled="f" o:preferrelative="t" stroked="f" coordsize="21600,21600">
            <v:path/>
            <v:fill on="f" focussize="0,0"/>
            <v:stroke on="f" joinstyle="miter"/>
            <v:imagedata r:id="rId168" o:title=""/>
            <o:lock v:ext="edit" aspectratio="t"/>
            <w10:wrap type="none"/>
            <w10:anchorlock/>
          </v:shape>
          <o:OLEObject Type="Embed" ProgID="Equation.DSMT4" ShapeID="_x0000_i1104" DrawAspect="Content" ObjectID="_1468075804" r:id="rId167">
            <o:LockedField>false</o:LockedField>
          </o:OLEObject>
        </w:object>
      </w:r>
      <w:r>
        <w:t>——混凝土强度标准调整系数，取0.79；</w:t>
      </w:r>
    </w:p>
    <w:p>
      <w:pPr>
        <w:ind w:left="420" w:firstLine="255"/>
        <w:textAlignment w:val="center"/>
      </w:pPr>
      <w:r>
        <w:rPr>
          <w:position w:val="-12"/>
        </w:rPr>
        <w:object>
          <v:shape id="_x0000_i1105" o:spt="75" type="#_x0000_t75" style="height:17.25pt;width:16.5pt;" o:ole="t" filled="f" o:preferrelative="t" stroked="f" coordsize="21600,21600">
            <v:path/>
            <v:fill on="f" focussize="0,0"/>
            <v:stroke on="f" joinstyle="miter"/>
            <v:imagedata r:id="rId170" o:title=""/>
            <o:lock v:ext="edit" aspectratio="t"/>
            <w10:wrap type="none"/>
            <w10:anchorlock/>
          </v:shape>
          <o:OLEObject Type="Embed" ProgID="Equation.DSMT4" ShapeID="_x0000_i1105" DrawAspect="Content" ObjectID="_1468075805" r:id="rId169">
            <o:LockedField>false</o:LockedField>
          </o:OLEObject>
        </w:object>
      </w:r>
      <w:r>
        <w:t>——安全系数，取1.3～1.4。</w:t>
      </w:r>
    </w:p>
    <w:bookmarkEnd w:id="222"/>
    <w:p>
      <w:pPr>
        <w:ind w:left="420" w:firstLine="329"/>
        <w:textAlignment w:val="center"/>
      </w:pPr>
      <w:r>
        <w:rPr>
          <w:position w:val="-12"/>
        </w:rPr>
        <w:object>
          <v:shape id="_x0000_i1106" o:spt="75" type="#_x0000_t75" style="height:19.5pt;width:15pt;" o:ole="t" filled="f" o:preferrelative="t" stroked="f" coordsize="21600,21600">
            <v:path/>
            <v:fill on="f" focussize="0,0"/>
            <v:stroke on="f" joinstyle="miter"/>
            <v:imagedata r:id="rId172" o:title=""/>
            <o:lock v:ext="edit" aspectratio="t"/>
            <w10:wrap type="none"/>
            <w10:anchorlock/>
          </v:shape>
          <o:OLEObject Type="Embed" ProgID="Equation.DSMT4" ShapeID="_x0000_i1106" DrawAspect="Content" ObjectID="_1468075806" r:id="rId171">
            <o:LockedField>false</o:LockedField>
          </o:OLEObject>
        </w:object>
      </w:r>
      <w:r>
        <w:t>——混凝土受压强度设计值（N/mm</w:t>
      </w:r>
      <w:r>
        <w:rPr>
          <w:vertAlign w:val="superscript"/>
        </w:rPr>
        <w:t>2</w:t>
      </w:r>
      <w:r>
        <w:t>）;</w:t>
      </w:r>
    </w:p>
    <w:p>
      <w:pPr>
        <w:ind w:left="420" w:firstLine="283"/>
        <w:textAlignment w:val="center"/>
      </w:pPr>
      <w:r>
        <w:rPr>
          <w:position w:val="-14"/>
        </w:rPr>
        <w:object>
          <v:shape id="_x0000_i1107" o:spt="75" type="#_x0000_t75" style="height:20.25pt;width:14.25pt;" o:ole="t" filled="f" o:preferrelative="t" stroked="f" coordsize="21600,21600">
            <v:path/>
            <v:fill on="f" focussize="0,0"/>
            <v:stroke on="f" joinstyle="miter"/>
            <v:imagedata r:id="rId174" o:title=""/>
            <o:lock v:ext="edit" aspectratio="t"/>
            <w10:wrap type="none"/>
            <w10:anchorlock/>
          </v:shape>
          <o:OLEObject Type="Embed" ProgID="Equation.DSMT4" ShapeID="_x0000_i1107" DrawAspect="Content" ObjectID="_1468075807" r:id="rId173">
            <o:LockedField>false</o:LockedField>
          </o:OLEObject>
        </w:object>
      </w:r>
      <w:r>
        <w:t>——管节的有效传力面积（mm</w:t>
      </w:r>
      <w:r>
        <w:rPr>
          <w:vertAlign w:val="superscript"/>
        </w:rPr>
        <w:t>2</w:t>
      </w:r>
      <w:r>
        <w:t>）。</w:t>
      </w:r>
    </w:p>
    <w:p>
      <w:pPr>
        <w:ind w:firstLine="480" w:firstLineChars="200"/>
      </w:pPr>
    </w:p>
    <w:p>
      <w:pPr>
        <w:keepNext/>
        <w:keepLines/>
        <w:jc w:val="center"/>
        <w:outlineLvl w:val="1"/>
        <w:rPr>
          <w:rFonts w:eastAsia="黑体"/>
          <w:bCs/>
          <w:sz w:val="28"/>
          <w:szCs w:val="32"/>
        </w:rPr>
      </w:pPr>
      <w:bookmarkStart w:id="223" w:name="_Toc47692158"/>
      <w:bookmarkStart w:id="224" w:name="_Toc25870"/>
      <w:bookmarkStart w:id="225" w:name="_Toc60173787"/>
      <w:bookmarkStart w:id="226" w:name="_Toc17891"/>
      <w:bookmarkStart w:id="227" w:name="_Toc18057038"/>
      <w:bookmarkStart w:id="228" w:name="_Toc12575"/>
      <w:bookmarkStart w:id="229" w:name="_Toc60172900"/>
      <w:bookmarkStart w:id="230" w:name="_Toc30126"/>
      <w:bookmarkStart w:id="231" w:name="_Toc19555"/>
      <w:bookmarkStart w:id="232" w:name="_Toc3411"/>
      <w:bookmarkStart w:id="233" w:name="_Toc11557"/>
      <w:r>
        <w:rPr>
          <w:rFonts w:eastAsia="黑体"/>
          <w:b/>
          <w:bCs/>
          <w:sz w:val="28"/>
          <w:szCs w:val="32"/>
        </w:rPr>
        <w:t>5.6</w:t>
      </w:r>
      <w:r>
        <w:rPr>
          <w:rFonts w:eastAsia="黑体"/>
          <w:bCs/>
          <w:sz w:val="28"/>
          <w:szCs w:val="32"/>
        </w:rPr>
        <w:t xml:space="preserve">  </w:t>
      </w:r>
      <w:r>
        <w:rPr>
          <w:rFonts w:hint="eastAsia" w:eastAsia="黑体"/>
          <w:bCs/>
          <w:sz w:val="28"/>
          <w:szCs w:val="32"/>
        </w:rPr>
        <w:t>顶管总顶力计算与中继间设置原则</w:t>
      </w:r>
      <w:bookmarkEnd w:id="223"/>
      <w:bookmarkEnd w:id="224"/>
      <w:bookmarkEnd w:id="225"/>
      <w:bookmarkEnd w:id="226"/>
      <w:bookmarkEnd w:id="227"/>
      <w:bookmarkEnd w:id="228"/>
      <w:bookmarkEnd w:id="229"/>
      <w:bookmarkEnd w:id="230"/>
      <w:bookmarkEnd w:id="231"/>
      <w:bookmarkEnd w:id="232"/>
      <w:bookmarkEnd w:id="233"/>
    </w:p>
    <w:p>
      <w:r>
        <w:rPr>
          <w:b/>
          <w:bCs/>
        </w:rPr>
        <w:t xml:space="preserve">5.6.1  </w:t>
      </w:r>
      <w:r>
        <w:rPr>
          <w:rFonts w:hint="eastAsia"/>
        </w:rPr>
        <w:t>矩形顶管总顶力应由顶管机迎面阻力和总摩阻力组成，并应按下式计算：</w:t>
      </w:r>
    </w:p>
    <w:p>
      <w:pPr>
        <w:jc w:val="right"/>
      </w:pPr>
      <w:r>
        <w:rPr>
          <w:position w:val="-14"/>
        </w:rPr>
        <w:object>
          <v:shape id="_x0000_i1108" o:spt="75" type="#_x0000_t75" style="height:21pt;width:57.75pt;" o:ole="t" filled="f" o:preferrelative="t" stroked="f" coordsize="21600,21600">
            <v:path/>
            <v:fill on="f" focussize="0,0"/>
            <v:stroke on="f" joinstyle="miter"/>
            <v:imagedata r:id="rId176" o:title=""/>
            <o:lock v:ext="edit" aspectratio="t"/>
            <w10:wrap type="none"/>
            <w10:anchorlock/>
          </v:shape>
          <o:OLEObject Type="Embed" ProgID="Equation.DSMT4" ShapeID="_x0000_i1108" DrawAspect="Content" ObjectID="_1468075808" r:id="rId175">
            <o:LockedField>false</o:LockedField>
          </o:OLEObject>
        </w:object>
      </w:r>
      <w:r>
        <w:t xml:space="preserve">                         </w:t>
      </w:r>
      <w:r>
        <w:rPr>
          <w:rFonts w:hint="eastAsia"/>
        </w:rPr>
        <w:t>（</w:t>
      </w:r>
      <w:r>
        <w:t>5.6.1</w:t>
      </w:r>
      <w:r>
        <w:rPr>
          <w:rFonts w:hint="eastAsia"/>
        </w:rPr>
        <w:t>）</w:t>
      </w:r>
    </w:p>
    <w:p>
      <w:pPr>
        <w:autoSpaceDE w:val="0"/>
        <w:autoSpaceDN w:val="0"/>
        <w:rPr>
          <w:kern w:val="24"/>
        </w:rPr>
      </w:pPr>
      <w:r>
        <w:rPr>
          <w:rFonts w:hint="eastAsia"/>
          <w:kern w:val="24"/>
        </w:rPr>
        <w:t>式中：</w:t>
      </w:r>
      <w:r>
        <w:rPr>
          <w:position w:val="-14"/>
        </w:rPr>
        <w:object>
          <v:shape id="_x0000_i1109" o:spt="75" type="#_x0000_t75" style="height:19.5pt;width:15pt;" o:ole="t" filled="f" o:preferrelative="t" stroked="f" coordsize="21600,21600">
            <v:path/>
            <v:fill on="f" focussize="0,0"/>
            <v:stroke on="f" joinstyle="miter"/>
            <v:imagedata r:id="rId178" o:title=""/>
            <o:lock v:ext="edit" aspectratio="t"/>
            <w10:wrap type="none"/>
            <w10:anchorlock/>
          </v:shape>
          <o:OLEObject Type="Embed" ProgID="Equation.DSMT4" ShapeID="_x0000_i1109" DrawAspect="Content" ObjectID="_1468075809" r:id="rId177">
            <o:LockedField>false</o:LockedField>
          </o:OLEObject>
        </w:object>
      </w:r>
      <w:r>
        <w:rPr>
          <w:lang w:bidi="ar"/>
        </w:rPr>
        <w:t>——</w:t>
      </w:r>
      <w:r>
        <w:rPr>
          <w:rFonts w:hint="eastAsia"/>
          <w:kern w:val="24"/>
        </w:rPr>
        <w:t>顶管机的迎面阻力（</w:t>
      </w:r>
      <w:r>
        <w:rPr>
          <w:rFonts w:eastAsia="仿宋"/>
          <w:kern w:val="24"/>
        </w:rPr>
        <w:t>kN</w:t>
      </w:r>
      <w:r>
        <w:rPr>
          <w:rFonts w:hint="eastAsia"/>
          <w:kern w:val="24"/>
        </w:rPr>
        <w:t>）；</w:t>
      </w:r>
    </w:p>
    <w:p>
      <w:pPr>
        <w:ind w:firstLine="720" w:firstLineChars="300"/>
        <w:jc w:val="left"/>
      </w:pPr>
      <w:r>
        <w:rPr>
          <w:position w:val="-14"/>
        </w:rPr>
        <w:object>
          <v:shape id="_x0000_i1110" o:spt="75" type="#_x0000_t75" style="height:19.5pt;width:15pt;" o:ole="t" filled="f" o:preferrelative="t" stroked="f" coordsize="21600,21600">
            <v:path/>
            <v:fill on="f" focussize="0,0"/>
            <v:stroke on="f" joinstyle="miter"/>
            <v:imagedata r:id="rId180" o:title=""/>
            <o:lock v:ext="edit" aspectratio="t"/>
            <w10:wrap type="none"/>
            <w10:anchorlock/>
          </v:shape>
          <o:OLEObject Type="Embed" ProgID="Equation.DSMT4" ShapeID="_x0000_i1110" DrawAspect="Content" ObjectID="_1468075810" r:id="rId179">
            <o:LockedField>false</o:LockedField>
          </o:OLEObject>
        </w:object>
      </w:r>
      <w:r>
        <w:rPr>
          <w:lang w:bidi="ar"/>
        </w:rPr>
        <w:t>——</w:t>
      </w:r>
      <w:r>
        <w:rPr>
          <w:rFonts w:hint="eastAsia"/>
        </w:rPr>
        <w:t>矩形顶管总摩阻力</w:t>
      </w:r>
      <w:r>
        <w:rPr>
          <w:rFonts w:hint="eastAsia"/>
          <w:kern w:val="24"/>
        </w:rPr>
        <w:t>（</w:t>
      </w:r>
      <w:r>
        <w:rPr>
          <w:rFonts w:eastAsia="仿宋"/>
          <w:kern w:val="24"/>
        </w:rPr>
        <w:t>kN</w:t>
      </w:r>
      <w:r>
        <w:rPr>
          <w:rFonts w:hint="eastAsia"/>
          <w:kern w:val="24"/>
        </w:rPr>
        <w:t>）。</w:t>
      </w:r>
    </w:p>
    <w:p>
      <w:r>
        <w:rPr>
          <w:b/>
          <w:bCs/>
        </w:rPr>
        <w:t>5.6.2</w:t>
      </w:r>
      <w:r>
        <w:t xml:space="preserve">  </w:t>
      </w:r>
      <w:r>
        <w:rPr>
          <w:rFonts w:hint="eastAsia"/>
        </w:rPr>
        <w:t>矩形</w:t>
      </w:r>
      <w:r>
        <w:rPr>
          <w:rFonts w:hint="eastAsia"/>
          <w:kern w:val="24"/>
        </w:rPr>
        <w:t>土压、泥水平衡式顶管机的迎面阻力可按下式计算：</w:t>
      </w:r>
    </w:p>
    <w:p>
      <w:pPr>
        <w:autoSpaceDE w:val="0"/>
        <w:autoSpaceDN w:val="0"/>
        <w:ind w:firstLine="1200" w:firstLineChars="500"/>
        <w:jc w:val="right"/>
      </w:pPr>
      <w:r>
        <w:rPr>
          <w:position w:val="-14"/>
        </w:rPr>
        <w:object>
          <v:shape id="_x0000_i1111" o:spt="75" type="#_x0000_t75" style="height:21pt;width:92.95pt;" o:ole="t" filled="f" o:preferrelative="t" stroked="f" coordsize="21600,21600">
            <v:path/>
            <v:fill on="f" focussize="0,0"/>
            <v:stroke on="f" joinstyle="miter"/>
            <v:imagedata r:id="rId182" o:title=""/>
            <o:lock v:ext="edit" aspectratio="t"/>
            <w10:wrap type="none"/>
            <w10:anchorlock/>
          </v:shape>
          <o:OLEObject Type="Embed" ProgID="Equation.DSMT4" ShapeID="_x0000_i1111" DrawAspect="Content" ObjectID="_1468075811" r:id="rId181">
            <o:LockedField>false</o:LockedField>
          </o:OLEObject>
        </w:object>
      </w:r>
      <w:r>
        <w:t xml:space="preserve">                     </w:t>
      </w:r>
      <w:r>
        <w:rPr>
          <w:rFonts w:hint="eastAsia"/>
        </w:rPr>
        <w:t>（</w:t>
      </w:r>
      <w:r>
        <w:t>5.6.2</w:t>
      </w:r>
      <w:r>
        <w:rPr>
          <w:rFonts w:hint="eastAsia"/>
        </w:rPr>
        <w:t>）</w:t>
      </w:r>
    </w:p>
    <w:p>
      <w:pPr>
        <w:autoSpaceDE w:val="0"/>
        <w:autoSpaceDN w:val="0"/>
        <w:rPr>
          <w:kern w:val="24"/>
        </w:rPr>
      </w:pPr>
      <w:r>
        <w:rPr>
          <w:rFonts w:hint="eastAsia"/>
          <w:kern w:val="24"/>
        </w:rPr>
        <w:t>式中：</w:t>
      </w:r>
      <w:r>
        <w:rPr>
          <w:kern w:val="24"/>
        </w:rPr>
        <w:tab/>
      </w:r>
      <w:r>
        <w:rPr>
          <w:position w:val="-10"/>
        </w:rPr>
        <w:object>
          <v:shape id="_x0000_i1112" o:spt="75" type="#_x0000_t75" style="height:12pt;width:12pt;" o:ole="t" filled="f" o:preferrelative="t" stroked="f" coordsize="21600,21600">
            <v:path/>
            <v:fill on="f" focussize="0,0"/>
            <v:stroke on="f" joinstyle="miter"/>
            <v:imagedata r:id="rId184" o:title=""/>
            <o:lock v:ext="edit" aspectratio="t"/>
            <w10:wrap type="none"/>
            <w10:anchorlock/>
          </v:shape>
          <o:OLEObject Type="Embed" ProgID="Equation.DSMT4" ShapeID="_x0000_i1112" DrawAspect="Content" ObjectID="_1468075812" r:id="rId183">
            <o:LockedField>false</o:LockedField>
          </o:OLEObject>
        </w:object>
      </w:r>
      <w:r>
        <w:rPr>
          <w:lang w:bidi="ar"/>
        </w:rPr>
        <w:t>——</w:t>
      </w:r>
      <w:r>
        <w:rPr>
          <w:rFonts w:hint="eastAsia"/>
          <w:kern w:val="24"/>
        </w:rPr>
        <w:t>土的重度（</w:t>
      </w:r>
      <w:r>
        <w:rPr>
          <w:szCs w:val="24"/>
        </w:rPr>
        <w:t>kN/m</w:t>
      </w:r>
      <w:r>
        <w:rPr>
          <w:szCs w:val="24"/>
          <w:vertAlign w:val="superscript"/>
        </w:rPr>
        <w:t>3</w:t>
      </w:r>
      <w:r>
        <w:rPr>
          <w:rFonts w:hint="eastAsia"/>
          <w:kern w:val="24"/>
        </w:rPr>
        <w:t>）；</w:t>
      </w:r>
    </w:p>
    <w:p>
      <w:pPr>
        <w:autoSpaceDE w:val="0"/>
        <w:autoSpaceDN w:val="0"/>
        <w:ind w:left="420" w:firstLine="283"/>
        <w:rPr>
          <w:kern w:val="24"/>
        </w:rPr>
      </w:pPr>
      <w:r>
        <w:rPr>
          <w:position w:val="-12"/>
        </w:rPr>
        <w:object>
          <v:shape id="_x0000_i1113" o:spt="75" type="#_x0000_t75" style="height:19.5pt;width:19.5pt;" o:ole="t" filled="f" o:preferrelative="t" stroked="f" coordsize="21600,21600">
            <v:path/>
            <v:fill on="f" focussize="0,0"/>
            <v:stroke on="f" joinstyle="miter"/>
            <v:imagedata r:id="rId186" o:title=""/>
            <o:lock v:ext="edit" aspectratio="t"/>
            <w10:wrap type="none"/>
            <w10:anchorlock/>
          </v:shape>
          <o:OLEObject Type="Embed" ProgID="Equation.DSMT4" ShapeID="_x0000_i1113" DrawAspect="Content" ObjectID="_1468075813" r:id="rId185">
            <o:LockedField>false</o:LockedField>
          </o:OLEObject>
        </w:object>
      </w:r>
      <w:r>
        <w:rPr>
          <w:lang w:bidi="ar"/>
        </w:rPr>
        <w:t>——</w:t>
      </w:r>
      <w:r>
        <w:rPr>
          <w:rFonts w:hint="eastAsia"/>
        </w:rPr>
        <w:t>顶管机</w:t>
      </w:r>
      <w:r>
        <w:t>中心</w:t>
      </w:r>
      <w:r>
        <w:rPr>
          <w:rFonts w:hint="eastAsia"/>
        </w:rPr>
        <w:t>至原状土地面的覆土厚度</w:t>
      </w:r>
      <w:r>
        <w:rPr>
          <w:rFonts w:hint="eastAsia"/>
          <w:szCs w:val="24"/>
        </w:rPr>
        <w:t>（</w:t>
      </w:r>
      <w:r>
        <w:rPr>
          <w:szCs w:val="24"/>
        </w:rPr>
        <w:t>m</w:t>
      </w:r>
      <w:r>
        <w:rPr>
          <w:rFonts w:hint="eastAsia"/>
          <w:szCs w:val="24"/>
        </w:rPr>
        <w:t>）；</w:t>
      </w:r>
    </w:p>
    <w:p>
      <w:pPr>
        <w:shd w:val="clear" w:color="auto" w:fill="FFFFFF"/>
        <w:ind w:left="420" w:firstLine="283"/>
        <w:textAlignment w:val="center"/>
        <w:rPr>
          <w:sz w:val="21"/>
        </w:rPr>
      </w:pPr>
      <w:r>
        <w:rPr>
          <w:i/>
          <w:iCs/>
          <w:position w:val="-12"/>
          <w:szCs w:val="24"/>
        </w:rPr>
        <w:object>
          <v:shape id="_x0000_i1114" o:spt="75" type="#_x0000_t75" style="height:19.5pt;width:15.75pt;" o:ole="t" filled="f" o:preferrelative="t" stroked="f" coordsize="21600,21600">
            <v:path/>
            <v:fill on="f" focussize="0,0"/>
            <v:stroke on="f" joinstyle="miter"/>
            <v:imagedata r:id="rId188" o:title=""/>
            <o:lock v:ext="edit" aspectratio="t"/>
            <w10:wrap type="none"/>
            <w10:anchorlock/>
          </v:shape>
          <o:OLEObject Type="Embed" ProgID="Equation.DSMT4" ShapeID="_x0000_i1114" DrawAspect="Content" ObjectID="_1468075814" r:id="rId187">
            <o:LockedField>false</o:LockedField>
          </o:OLEObject>
        </w:object>
      </w:r>
      <w:r>
        <w:rPr>
          <w:szCs w:val="24"/>
          <w:lang w:bidi="ar"/>
        </w:rPr>
        <w:t>——</w:t>
      </w:r>
      <w:r>
        <w:rPr>
          <w:rFonts w:hint="eastAsia"/>
          <w:szCs w:val="24"/>
        </w:rPr>
        <w:t>矩形管节外边高（</w:t>
      </w:r>
      <w:r>
        <w:rPr>
          <w:szCs w:val="24"/>
        </w:rPr>
        <w:t>m</w:t>
      </w:r>
      <w:r>
        <w:rPr>
          <w:rFonts w:hint="eastAsia"/>
          <w:szCs w:val="24"/>
        </w:rPr>
        <w:t>）；</w:t>
      </w:r>
    </w:p>
    <w:p>
      <w:pPr>
        <w:shd w:val="clear" w:color="auto" w:fill="FFFFFF"/>
        <w:ind w:left="420" w:firstLine="340"/>
        <w:rPr>
          <w:szCs w:val="24"/>
        </w:rPr>
      </w:pPr>
      <w:r>
        <w:rPr>
          <w:position w:val="-12"/>
          <w:szCs w:val="24"/>
        </w:rPr>
        <w:object>
          <v:shape id="_x0000_i1115" o:spt="75" type="#_x0000_t75" style="height:19.5pt;width:12pt;" o:ole="t" filled="f" o:preferrelative="t" stroked="f" coordsize="21600,21600">
            <v:path/>
            <v:fill on="f" focussize="0,0"/>
            <v:stroke on="f" joinstyle="miter"/>
            <v:imagedata r:id="rId14" o:title=""/>
            <o:lock v:ext="edit" aspectratio="t"/>
            <w10:wrap type="none"/>
            <w10:anchorlock/>
          </v:shape>
          <o:OLEObject Type="Embed" ProgID="Equation.DSMT4" ShapeID="_x0000_i1115" DrawAspect="Content" ObjectID="_1468075815" r:id="rId189">
            <o:LockedField>false</o:LockedField>
          </o:OLEObject>
        </w:object>
      </w:r>
      <w:r>
        <w:rPr>
          <w:szCs w:val="24"/>
          <w:lang w:bidi="ar"/>
        </w:rPr>
        <w:t>——</w:t>
      </w:r>
      <w:r>
        <w:rPr>
          <w:rFonts w:hint="eastAsia"/>
          <w:szCs w:val="24"/>
        </w:rPr>
        <w:t>矩形管节外边宽（</w:t>
      </w:r>
      <w:r>
        <w:rPr>
          <w:szCs w:val="24"/>
        </w:rPr>
        <w:t>m</w:t>
      </w:r>
      <w:r>
        <w:rPr>
          <w:rFonts w:hint="eastAsia"/>
          <w:szCs w:val="24"/>
        </w:rPr>
        <w:t>）。</w:t>
      </w:r>
    </w:p>
    <w:p>
      <w:r>
        <w:rPr>
          <w:b/>
          <w:bCs/>
        </w:rPr>
        <w:t>5.6.3</w:t>
      </w:r>
      <w:r>
        <w:t xml:space="preserve">  </w:t>
      </w:r>
      <w:r>
        <w:rPr>
          <w:rFonts w:hint="eastAsia"/>
        </w:rPr>
        <w:t>矩形顶管总摩阻力可按下式计算：</w:t>
      </w:r>
    </w:p>
    <w:p>
      <w:pPr>
        <w:shd w:val="clear" w:color="auto" w:fill="FFFFFF"/>
        <w:ind w:firstLine="2400" w:firstLineChars="1000"/>
        <w:jc w:val="right"/>
        <w:rPr>
          <w:szCs w:val="24"/>
        </w:rPr>
      </w:pPr>
      <w:r>
        <w:rPr>
          <w:position w:val="-12"/>
          <w:szCs w:val="24"/>
        </w:rPr>
        <w:object>
          <v:shape id="_x0000_i1116" o:spt="75" type="#_x0000_t75" style="height:19.5pt;width:103.45pt;" o:ole="t" filled="f" o:preferrelative="t" stroked="f" coordsize="21600,21600">
            <v:path/>
            <v:fill on="f" focussize="0,0"/>
            <v:stroke on="f" joinstyle="miter"/>
            <v:imagedata r:id="rId191" o:title=""/>
            <o:lock v:ext="edit" aspectratio="t"/>
            <w10:wrap type="none"/>
            <w10:anchorlock/>
          </v:shape>
          <o:OLEObject Type="Embed" ProgID="Equation.DSMT4" ShapeID="_x0000_i1116" DrawAspect="Content" ObjectID="_1468075816" r:id="rId190">
            <o:LockedField>false</o:LockedField>
          </o:OLEObject>
        </w:object>
      </w:r>
      <w:r>
        <w:t xml:space="preserve">                 </w:t>
      </w:r>
      <w:r>
        <w:rPr>
          <w:rFonts w:hint="eastAsia"/>
        </w:rPr>
        <w:t>（</w:t>
      </w:r>
      <w:r>
        <w:t>5.6.3</w:t>
      </w:r>
      <w:r>
        <w:rPr>
          <w:rFonts w:hint="eastAsia"/>
        </w:rPr>
        <w:t>）</w:t>
      </w:r>
    </w:p>
    <w:p>
      <w:pPr>
        <w:shd w:val="clear" w:color="auto" w:fill="FFFFFF"/>
        <w:snapToGrid w:val="0"/>
        <w:ind w:left="1440" w:hanging="1440" w:hangingChars="600"/>
        <w:rPr>
          <w:kern w:val="24"/>
          <w:szCs w:val="24"/>
        </w:rPr>
      </w:pPr>
      <w:r>
        <w:rPr>
          <w:rFonts w:hint="eastAsia"/>
          <w:kern w:val="24"/>
          <w:szCs w:val="24"/>
        </w:rPr>
        <w:t>式中：</w:t>
      </w:r>
      <w:r>
        <w:rPr>
          <w:position w:val="-10"/>
          <w:szCs w:val="24"/>
        </w:rPr>
        <w:object>
          <v:shape id="_x0000_i1117" o:spt="75" type="#_x0000_t75" style="height:15pt;width:12pt;" o:ole="t" filled="f" o:preferrelative="t" stroked="f" coordsize="21600,21600">
            <v:path/>
            <v:fill on="f" focussize="0,0"/>
            <v:stroke on="f" joinstyle="miter"/>
            <v:imagedata r:id="rId46" o:title=""/>
            <o:lock v:ext="edit" aspectratio="t"/>
            <w10:wrap type="none"/>
            <w10:anchorlock/>
          </v:shape>
          <o:OLEObject Type="Embed" ProgID="Equation.DSMT4" ShapeID="_x0000_i1117" DrawAspect="Content" ObjectID="_1468075817" r:id="rId192">
            <o:LockedField>false</o:LockedField>
          </o:OLEObject>
        </w:object>
      </w:r>
      <w:r>
        <w:rPr>
          <w:szCs w:val="24"/>
          <w:lang w:bidi="ar"/>
        </w:rPr>
        <w:t>——</w:t>
      </w:r>
      <w:r>
        <w:rPr>
          <w:rFonts w:hint="eastAsia"/>
          <w:szCs w:val="24"/>
        </w:rPr>
        <w:t>管节顶进时的管节与土体接触面的摩阻力（</w:t>
      </w:r>
      <w:r>
        <w:rPr>
          <w:szCs w:val="24"/>
        </w:rPr>
        <w:t>kN/m</w:t>
      </w:r>
      <w:r>
        <w:rPr>
          <w:szCs w:val="24"/>
          <w:vertAlign w:val="superscript"/>
        </w:rPr>
        <w:t>2</w:t>
      </w:r>
      <w:r>
        <w:rPr>
          <w:rFonts w:hint="eastAsia"/>
          <w:szCs w:val="24"/>
        </w:rPr>
        <w:t>），应结合现场条件与施工经验取值，</w:t>
      </w:r>
      <w:r>
        <w:rPr>
          <w:rFonts w:hint="eastAsia"/>
          <w:kern w:val="24"/>
          <w:szCs w:val="24"/>
        </w:rPr>
        <w:t>在无其他可靠资料情况下可取</w:t>
      </w:r>
      <w:r>
        <w:rPr>
          <w:kern w:val="24"/>
          <w:szCs w:val="24"/>
        </w:rPr>
        <w:t>3.0kN/m</w:t>
      </w:r>
      <w:r>
        <w:rPr>
          <w:kern w:val="24"/>
          <w:szCs w:val="24"/>
          <w:vertAlign w:val="superscript"/>
        </w:rPr>
        <w:t>2</w:t>
      </w:r>
      <w:r>
        <w:rPr>
          <w:rFonts w:hint="eastAsia"/>
          <w:kern w:val="24"/>
          <w:szCs w:val="24"/>
        </w:rPr>
        <w:t>～</w:t>
      </w:r>
      <w:r>
        <w:rPr>
          <w:kern w:val="24"/>
          <w:szCs w:val="24"/>
        </w:rPr>
        <w:t>5.0kN/m</w:t>
      </w:r>
      <w:r>
        <w:rPr>
          <w:kern w:val="24"/>
          <w:szCs w:val="24"/>
          <w:vertAlign w:val="superscript"/>
        </w:rPr>
        <w:t>2</w:t>
      </w:r>
      <w:r>
        <w:rPr>
          <w:rFonts w:hint="eastAsia"/>
          <w:kern w:val="24"/>
          <w:szCs w:val="24"/>
        </w:rPr>
        <w:t>；</w:t>
      </w:r>
    </w:p>
    <w:p>
      <w:pPr>
        <w:shd w:val="clear" w:color="auto" w:fill="FFFFFF"/>
        <w:snapToGrid w:val="0"/>
        <w:ind w:firstLine="600" w:firstLineChars="250"/>
        <w:rPr>
          <w:szCs w:val="24"/>
        </w:rPr>
      </w:pPr>
      <w:r>
        <w:rPr>
          <w:position w:val="-12"/>
          <w:szCs w:val="24"/>
        </w:rPr>
        <w:object>
          <v:shape id="_x0000_i1118" o:spt="75" type="#_x0000_t75" style="height:19.5pt;width:14.25pt;" o:ole="t" filled="f" o:preferrelative="t" stroked="f" coordsize="21600,21600">
            <v:path/>
            <v:fill on="f" focussize="0,0"/>
            <v:stroke on="f" joinstyle="miter"/>
            <v:imagedata r:id="rId194" o:title=""/>
            <o:lock v:ext="edit" aspectratio="t"/>
            <w10:wrap type="none"/>
            <w10:anchorlock/>
          </v:shape>
          <o:OLEObject Type="Embed" ProgID="Equation.DSMT4" ShapeID="_x0000_i1118" DrawAspect="Content" ObjectID="_1468075818" r:id="rId193">
            <o:LockedField>false</o:LockedField>
          </o:OLEObject>
        </w:object>
      </w:r>
      <w:r>
        <w:rPr>
          <w:szCs w:val="24"/>
          <w:lang w:bidi="ar"/>
        </w:rPr>
        <w:t>——</w:t>
      </w:r>
      <w:r>
        <w:rPr>
          <w:rFonts w:hint="eastAsia"/>
          <w:szCs w:val="24"/>
          <w:lang w:bidi="ar"/>
        </w:rPr>
        <w:t>矩形顶管顶进长度</w:t>
      </w:r>
      <w:r>
        <w:rPr>
          <w:rFonts w:hint="eastAsia"/>
          <w:szCs w:val="24"/>
        </w:rPr>
        <w:t>（</w:t>
      </w:r>
      <w:r>
        <w:rPr>
          <w:szCs w:val="24"/>
        </w:rPr>
        <w:t>m</w:t>
      </w:r>
      <w:r>
        <w:rPr>
          <w:rFonts w:hint="eastAsia"/>
          <w:szCs w:val="24"/>
        </w:rPr>
        <w:t>）。</w:t>
      </w:r>
    </w:p>
    <w:p>
      <w:r>
        <w:rPr>
          <w:b/>
        </w:rPr>
        <w:t xml:space="preserve">5.6.4  </w:t>
      </w:r>
      <w:r>
        <w:rPr>
          <w:rFonts w:hint="eastAsia"/>
        </w:rPr>
        <w:t>中继间的设置应遵循下列原则：</w:t>
      </w:r>
    </w:p>
    <w:p>
      <w:pPr>
        <w:ind w:firstLine="482" w:firstLineChars="200"/>
        <w:rPr>
          <w:kern w:val="0"/>
        </w:rPr>
      </w:pPr>
      <w:r>
        <w:rPr>
          <w:b/>
          <w:bCs/>
          <w:kern w:val="0"/>
        </w:rPr>
        <w:t>1</w:t>
      </w:r>
      <w:r>
        <w:rPr>
          <w:kern w:val="0"/>
        </w:rPr>
        <w:t xml:space="preserve">  </w:t>
      </w:r>
      <w:r>
        <w:rPr>
          <w:rFonts w:hint="eastAsia"/>
          <w:kern w:val="0"/>
        </w:rPr>
        <w:t>中继间的结构形状和管节接头应一致；</w:t>
      </w:r>
    </w:p>
    <w:p>
      <w:pPr>
        <w:ind w:firstLine="482" w:firstLineChars="200"/>
        <w:rPr>
          <w:kern w:val="0"/>
        </w:rPr>
      </w:pPr>
      <w:r>
        <w:rPr>
          <w:b/>
          <w:bCs/>
          <w:kern w:val="0"/>
        </w:rPr>
        <w:t>2</w:t>
      </w:r>
      <w:r>
        <w:rPr>
          <w:kern w:val="0"/>
        </w:rPr>
        <w:t xml:space="preserve">  </w:t>
      </w:r>
      <w:r>
        <w:rPr>
          <w:rFonts w:hint="eastAsia"/>
          <w:kern w:val="0"/>
        </w:rPr>
        <w:t>中继间应带有木质的传压环和钢制的刚性均压环，端面的尺寸应和顶进力相适应；</w:t>
      </w:r>
    </w:p>
    <w:p>
      <w:pPr>
        <w:autoSpaceDE w:val="0"/>
        <w:autoSpaceDN w:val="0"/>
        <w:adjustRightInd w:val="0"/>
        <w:ind w:firstLine="482" w:firstLineChars="200"/>
        <w:rPr>
          <w:kern w:val="0"/>
        </w:rPr>
      </w:pPr>
      <w:r>
        <w:rPr>
          <w:b/>
          <w:bCs/>
          <w:kern w:val="0"/>
        </w:rPr>
        <w:t>3</w:t>
      </w:r>
      <w:r>
        <w:rPr>
          <w:kern w:val="0"/>
        </w:rPr>
        <w:t xml:space="preserve">  </w:t>
      </w:r>
      <w:r>
        <w:rPr>
          <w:rFonts w:hint="eastAsia"/>
          <w:kern w:val="0"/>
        </w:rPr>
        <w:t>中继间数量大于</w:t>
      </w:r>
      <w:r>
        <w:rPr>
          <w:kern w:val="0"/>
        </w:rPr>
        <w:t>1</w:t>
      </w:r>
      <w:r>
        <w:rPr>
          <w:rFonts w:hint="eastAsia"/>
          <w:kern w:val="0"/>
        </w:rPr>
        <w:t>个时，可对中继间进行计算机编组操控。</w:t>
      </w:r>
    </w:p>
    <w:p>
      <w:r>
        <w:rPr>
          <w:b/>
          <w:bCs/>
        </w:rPr>
        <w:t>5.6.5</w:t>
      </w:r>
      <w:r>
        <w:t xml:space="preserve">  </w:t>
      </w:r>
      <w:r>
        <w:rPr>
          <w:rFonts w:hint="eastAsia"/>
        </w:rPr>
        <w:t>中继间的加设及数量，应按顶进总顶力及管壁的承受能力确定。</w:t>
      </w:r>
    </w:p>
    <w:p>
      <w:r>
        <w:rPr>
          <w:b/>
          <w:bCs/>
        </w:rPr>
        <w:t xml:space="preserve">5.6.6  </w:t>
      </w:r>
      <w:r>
        <w:rPr>
          <w:rFonts w:hint="eastAsia"/>
        </w:rPr>
        <w:t>在管节外壁形成完整泥浆套的条件下，中继间间距可按下式计算：</w:t>
      </w:r>
    </w:p>
    <w:p>
      <w:pPr>
        <w:tabs>
          <w:tab w:val="right" w:pos="8222"/>
        </w:tabs>
        <w:ind w:firstLine="708" w:firstLineChars="295"/>
        <w:jc w:val="right"/>
      </w:pPr>
      <w:r>
        <w:rPr>
          <w:position w:val="-28"/>
        </w:rPr>
        <w:object>
          <v:shape id="_x0000_i1119" o:spt="75" type="#_x0000_t75" style="height:38.25pt;width:72pt;" o:ole="t" filled="f" o:preferrelative="t" stroked="f" coordsize="21600,21600">
            <v:path/>
            <v:fill on="f" focussize="0,0"/>
            <v:stroke on="f" joinstyle="miter"/>
            <v:imagedata r:id="rId196" o:title=""/>
            <o:lock v:ext="edit" aspectratio="t"/>
            <w10:wrap type="none"/>
            <w10:anchorlock/>
          </v:shape>
          <o:OLEObject Type="Embed" ProgID="Equation.DSMT4" ShapeID="_x0000_i1119" DrawAspect="Content" ObjectID="_1468075819" r:id="rId195">
            <o:LockedField>false</o:LockedField>
          </o:OLEObject>
        </w:object>
      </w:r>
      <w:r>
        <w:t xml:space="preserve">                       </w:t>
      </w:r>
      <w:r>
        <w:rPr>
          <w:rFonts w:hint="eastAsia"/>
        </w:rPr>
        <w:t>（</w:t>
      </w:r>
      <w:r>
        <w:t>5.6.4</w:t>
      </w:r>
      <w:r>
        <w:rPr>
          <w:rFonts w:hint="eastAsia"/>
        </w:rPr>
        <w:t>）</w:t>
      </w:r>
    </w:p>
    <w:p>
      <w:pPr>
        <w:snapToGrid w:val="0"/>
      </w:pPr>
      <w:r>
        <w:rPr>
          <w:rFonts w:hint="eastAsia"/>
        </w:rPr>
        <w:t>式中：</w:t>
      </w:r>
      <w:r>
        <w:tab/>
      </w:r>
      <w:r>
        <w:t>S——</w:t>
      </w:r>
      <w:r>
        <w:rPr>
          <w:rFonts w:hint="eastAsia"/>
        </w:rPr>
        <w:t>中继间间距（</w:t>
      </w:r>
      <w:r>
        <w:t>m</w:t>
      </w:r>
      <w:r>
        <w:rPr>
          <w:rFonts w:hint="eastAsia"/>
        </w:rPr>
        <w:t>）；</w:t>
      </w:r>
    </w:p>
    <w:p>
      <w:pPr>
        <w:snapToGrid w:val="0"/>
        <w:ind w:left="420" w:firstLine="420"/>
      </w:pPr>
      <w:r>
        <w:t>K——</w:t>
      </w:r>
      <w:r>
        <w:rPr>
          <w:rFonts w:hint="eastAsia"/>
        </w:rPr>
        <w:t>顶力系数，取</w:t>
      </w:r>
      <w:r>
        <w:t>0.5</w:t>
      </w:r>
      <w:r>
        <w:rPr>
          <w:rFonts w:hint="eastAsia"/>
        </w:rPr>
        <w:t>～</w:t>
      </w:r>
      <w:r>
        <w:t>0.6</w:t>
      </w:r>
      <w:r>
        <w:rPr>
          <w:rFonts w:hint="eastAsia"/>
        </w:rPr>
        <w:t>；</w:t>
      </w:r>
    </w:p>
    <w:p>
      <w:pPr>
        <w:snapToGrid w:val="0"/>
        <w:ind w:left="420" w:firstLine="312"/>
        <w:textAlignment w:val="center"/>
      </w:pPr>
      <w:r>
        <w:rPr>
          <w:position w:val="-12"/>
        </w:rPr>
        <w:object>
          <v:shape id="_x0000_i1120" o:spt="75" type="#_x0000_t75" style="height:19.5pt;width:13.5pt;" o:ole="t" filled="f" o:preferrelative="t" stroked="f" coordsize="21600,21600">
            <v:path/>
            <v:fill on="f" focussize="0,0"/>
            <v:stroke on="f" joinstyle="miter"/>
            <v:imagedata r:id="rId198" o:title=""/>
            <o:lock v:ext="edit" aspectratio="t"/>
            <w10:wrap type="none"/>
            <w10:anchorlock/>
          </v:shape>
          <o:OLEObject Type="Embed" ProgID="Equation.DSMT4" ShapeID="_x0000_i1120" DrawAspect="Content" ObjectID="_1468075820" r:id="rId197">
            <o:LockedField>false</o:LockedField>
          </o:OLEObject>
        </w:object>
      </w:r>
      <w:r>
        <w:t>——</w:t>
      </w:r>
      <w:r>
        <w:rPr>
          <w:rFonts w:hint="eastAsia"/>
        </w:rPr>
        <w:t>中继间设计允许顶力（</w:t>
      </w:r>
      <w:r>
        <w:t>kN</w:t>
      </w:r>
      <w:r>
        <w:rPr>
          <w:rFonts w:hint="eastAsia"/>
        </w:rPr>
        <w:t>），</w:t>
      </w:r>
      <w:r>
        <w:t>取</w:t>
      </w:r>
      <w:r>
        <w:rPr>
          <w:rFonts w:hint="eastAsia"/>
        </w:rPr>
        <w:t>管节可承受最大顶力、中继间千斤顶可提供最大顶力两</w:t>
      </w:r>
      <w:r>
        <w:t>者</w:t>
      </w:r>
      <w:r>
        <w:rPr>
          <w:rFonts w:hint="eastAsia"/>
        </w:rPr>
        <w:t>之中</w:t>
      </w:r>
      <w:r>
        <w:t>的</w:t>
      </w:r>
      <w:r>
        <w:rPr>
          <w:rFonts w:hint="eastAsia"/>
        </w:rPr>
        <w:t>小值；</w:t>
      </w:r>
    </w:p>
    <w:p>
      <w:pPr>
        <w:snapToGrid w:val="0"/>
        <w:ind w:left="420" w:firstLine="283"/>
        <w:textAlignment w:val="center"/>
      </w:pPr>
      <w:r>
        <w:rPr>
          <w:position w:val="-14"/>
        </w:rPr>
        <w:object>
          <v:shape id="_x0000_i1121" o:spt="75" type="#_x0000_t75" style="height:20.25pt;width:15pt;" o:ole="t" filled="f" o:preferrelative="t" stroked="f" coordsize="21600,21600">
            <v:path/>
            <v:fill on="f" focussize="0,0"/>
            <v:stroke on="f" joinstyle="miter"/>
            <v:imagedata r:id="rId200" o:title=""/>
            <o:lock v:ext="edit" aspectratio="t"/>
            <w10:wrap type="none"/>
            <w10:anchorlock/>
          </v:shape>
          <o:OLEObject Type="Embed" ProgID="Equation.DSMT4" ShapeID="_x0000_i1121" DrawAspect="Content" ObjectID="_1468075821" r:id="rId199">
            <o:LockedField>false</o:LockedField>
          </o:OLEObject>
        </w:object>
      </w:r>
      <w:r>
        <w:t>——</w:t>
      </w:r>
      <w:r>
        <w:rPr>
          <w:rFonts w:hint="eastAsia"/>
        </w:rPr>
        <w:t>顶管机迎面阻力（</w:t>
      </w:r>
      <w:r>
        <w:t>kN</w:t>
      </w:r>
      <w:r>
        <w:rPr>
          <w:rFonts w:hint="eastAsia"/>
        </w:rPr>
        <w:t>）；</w:t>
      </w:r>
    </w:p>
    <w:p>
      <w:pPr>
        <w:snapToGrid w:val="0"/>
        <w:ind w:left="420" w:firstLine="363"/>
        <w:textAlignment w:val="center"/>
      </w:pPr>
      <w:r>
        <w:object>
          <v:shape id="_x0000_i1122" o:spt="75" type="#_x0000_t75" style="height:12pt;width:12pt;" o:ole="t" filled="f" o:preferrelative="t" stroked="f" coordsize="21600,21600">
            <v:path/>
            <v:fill on="f" focussize="0,0"/>
            <v:stroke on="f" joinstyle="miter"/>
            <v:imagedata r:id="rId40" o:title=""/>
            <o:lock v:ext="edit" aspectratio="t"/>
            <w10:wrap type="none"/>
            <w10:anchorlock/>
          </v:shape>
          <o:OLEObject Type="Embed" ProgID="Equation.DSMT4" ShapeID="_x0000_i1122" DrawAspect="Content" ObjectID="_1468075822" r:id="rId201">
            <o:LockedField>false</o:LockedField>
          </o:OLEObject>
        </w:object>
      </w:r>
      <w:r>
        <w:t>——</w:t>
      </w:r>
      <w:r>
        <w:rPr>
          <w:rFonts w:hint="eastAsia"/>
        </w:rPr>
        <w:t>顶管外轮廓周长（</w:t>
      </w:r>
      <w:r>
        <w:t>m</w:t>
      </w:r>
      <w:r>
        <w:rPr>
          <w:rFonts w:hint="eastAsia"/>
        </w:rPr>
        <w:t>）；</w:t>
      </w:r>
    </w:p>
    <w:p>
      <w:r>
        <w:rPr>
          <w:rFonts w:hint="eastAsia"/>
          <w:b/>
          <w:bCs/>
        </w:rPr>
        <w:t xml:space="preserve"> </w:t>
      </w:r>
    </w:p>
    <w:p>
      <w:pPr>
        <w:keepNext/>
        <w:keepLines/>
        <w:jc w:val="center"/>
        <w:outlineLvl w:val="1"/>
        <w:rPr>
          <w:rFonts w:eastAsia="黑体"/>
          <w:bCs/>
          <w:sz w:val="28"/>
          <w:szCs w:val="32"/>
        </w:rPr>
      </w:pPr>
      <w:bookmarkStart w:id="234" w:name="_Toc20831"/>
      <w:bookmarkStart w:id="235" w:name="_Toc15603"/>
      <w:bookmarkStart w:id="236" w:name="_Toc47692160"/>
      <w:bookmarkStart w:id="237" w:name="_Toc18057040"/>
      <w:bookmarkStart w:id="238" w:name="_Toc31117"/>
      <w:bookmarkStart w:id="239" w:name="_Toc12973"/>
      <w:bookmarkStart w:id="240" w:name="_Toc60173788"/>
      <w:bookmarkStart w:id="241" w:name="_Toc16405"/>
      <w:bookmarkStart w:id="242" w:name="_Toc31206"/>
      <w:bookmarkStart w:id="243" w:name="_Toc60172901"/>
      <w:bookmarkStart w:id="244" w:name="_Toc22364"/>
      <w:r>
        <w:rPr>
          <w:rFonts w:eastAsia="黑体"/>
          <w:b/>
          <w:bCs/>
          <w:sz w:val="28"/>
          <w:szCs w:val="32"/>
        </w:rPr>
        <w:t>5.</w:t>
      </w:r>
      <w:r>
        <w:rPr>
          <w:rFonts w:hint="eastAsia" w:eastAsia="黑体"/>
          <w:b/>
          <w:bCs/>
          <w:sz w:val="28"/>
          <w:szCs w:val="32"/>
        </w:rPr>
        <w:t>7</w:t>
      </w:r>
      <w:r>
        <w:rPr>
          <w:rFonts w:eastAsia="黑体"/>
          <w:bCs/>
          <w:sz w:val="28"/>
          <w:szCs w:val="32"/>
        </w:rPr>
        <w:t xml:space="preserve">  工作井设计</w:t>
      </w:r>
      <w:bookmarkEnd w:id="234"/>
      <w:bookmarkEnd w:id="235"/>
      <w:bookmarkEnd w:id="236"/>
      <w:bookmarkEnd w:id="237"/>
      <w:bookmarkEnd w:id="238"/>
      <w:bookmarkEnd w:id="239"/>
      <w:bookmarkEnd w:id="240"/>
      <w:bookmarkEnd w:id="241"/>
      <w:bookmarkEnd w:id="242"/>
      <w:bookmarkEnd w:id="243"/>
      <w:bookmarkEnd w:id="244"/>
    </w:p>
    <w:p>
      <w:r>
        <w:rPr>
          <w:b/>
          <w:bCs/>
        </w:rPr>
        <w:t>5.</w:t>
      </w:r>
      <w:r>
        <w:rPr>
          <w:rFonts w:hint="eastAsia"/>
          <w:b/>
          <w:bCs/>
        </w:rPr>
        <w:t>7</w:t>
      </w:r>
      <w:r>
        <w:rPr>
          <w:b/>
          <w:bCs/>
        </w:rPr>
        <w:t xml:space="preserve">.1  </w:t>
      </w:r>
      <w:r>
        <w:t>工作井结构设计应符合下列规定：</w:t>
      </w:r>
    </w:p>
    <w:p>
      <w:pPr>
        <w:ind w:firstLine="482" w:firstLineChars="200"/>
      </w:pPr>
      <w:r>
        <w:rPr>
          <w:b/>
          <w:bCs/>
        </w:rPr>
        <w:t>1</w:t>
      </w:r>
      <w:r>
        <w:t xml:space="preserve">  工作井除应进行水土压力和地面荷载作用效应分析外，始发井</w:t>
      </w:r>
      <w:r>
        <w:rPr>
          <w:rFonts w:hint="eastAsia"/>
        </w:rPr>
        <w:t>尚</w:t>
      </w:r>
      <w:r>
        <w:t>应进行顶力作用效应分析；</w:t>
      </w:r>
    </w:p>
    <w:p>
      <w:pPr>
        <w:ind w:firstLine="482" w:firstLineChars="200"/>
      </w:pPr>
      <w:r>
        <w:rPr>
          <w:b/>
          <w:bCs/>
        </w:rPr>
        <w:t xml:space="preserve">2  </w:t>
      </w:r>
      <w:r>
        <w:t>应按现行行业标准《建筑基坑支护技术规程》JGJ 120和现行协会标准《给水排水工程钢筋混凝土沉井结构设计规程》CECS 137的有关规定，采用作用效应最不利组合进行承载能力极限状态和正常使用极限状态</w:t>
      </w:r>
      <w:r>
        <w:rPr>
          <w:rFonts w:hint="eastAsia"/>
        </w:rPr>
        <w:t>进行</w:t>
      </w:r>
      <w:r>
        <w:t>设计。</w:t>
      </w:r>
    </w:p>
    <w:p>
      <w:r>
        <w:rPr>
          <w:b/>
          <w:bCs/>
        </w:rPr>
        <w:t>5.</w:t>
      </w:r>
      <w:r>
        <w:rPr>
          <w:rFonts w:hint="eastAsia"/>
          <w:b/>
          <w:bCs/>
        </w:rPr>
        <w:t>7</w:t>
      </w:r>
      <w:r>
        <w:rPr>
          <w:b/>
          <w:bCs/>
        </w:rPr>
        <w:t xml:space="preserve">.2  </w:t>
      </w:r>
      <w:r>
        <w:t>工作井形式及尺寸应根据地质条件、管道埋深、施工工艺及环境条件等因素选用，并应符合下列规定：</w:t>
      </w:r>
    </w:p>
    <w:p>
      <w:pPr>
        <w:ind w:firstLine="482" w:firstLineChars="200"/>
      </w:pPr>
      <w:r>
        <w:rPr>
          <w:b/>
          <w:bCs/>
        </w:rPr>
        <w:t>1</w:t>
      </w:r>
      <w:r>
        <w:t xml:space="preserve">  始发井应</w:t>
      </w:r>
      <w:r>
        <w:rPr>
          <w:rFonts w:hint="eastAsia"/>
        </w:rPr>
        <w:t>满足</w:t>
      </w:r>
      <w:r>
        <w:t>安装反力墙、液压缸、顶铁、穿墙止水和操作空间的要求，</w:t>
      </w:r>
      <w:r>
        <w:rPr>
          <w:rFonts w:hint="eastAsia"/>
        </w:rPr>
        <w:t>应</w:t>
      </w:r>
      <w:r>
        <w:t>取安装顶管机长度和安放管材节段长度的大者，宽度应满足止退装置、安装设备的需要；</w:t>
      </w:r>
    </w:p>
    <w:p>
      <w:pPr>
        <w:ind w:firstLine="482" w:firstLineChars="200"/>
      </w:pPr>
      <w:r>
        <w:rPr>
          <w:b/>
          <w:bCs/>
        </w:rPr>
        <w:t>2</w:t>
      </w:r>
      <w:r>
        <w:t xml:space="preserve">  接收井应满足顶管机吊出</w:t>
      </w:r>
      <w:r>
        <w:rPr>
          <w:rFonts w:hint="eastAsia"/>
        </w:rPr>
        <w:t>的</w:t>
      </w:r>
      <w:r>
        <w:t>要求；</w:t>
      </w:r>
    </w:p>
    <w:p>
      <w:pPr>
        <w:ind w:firstLine="482" w:firstLineChars="200"/>
      </w:pPr>
      <w:r>
        <w:rPr>
          <w:b/>
          <w:bCs/>
        </w:rPr>
        <w:t>3</w:t>
      </w:r>
      <w:r>
        <w:t xml:space="preserve">  始发井深度</w:t>
      </w:r>
      <w:r>
        <w:rPr>
          <w:rFonts w:hint="eastAsia"/>
        </w:rPr>
        <w:t>应</w:t>
      </w:r>
      <w:r>
        <w:t>为管底埋深、导轨高度、支垫厚度之和，管节间通过预埋件焊接连接时应预留焊接坑，焊接坑深度不应小于1m，宽度不应小于0.8m；</w:t>
      </w:r>
    </w:p>
    <w:p>
      <w:pPr>
        <w:ind w:firstLine="482" w:firstLineChars="200"/>
      </w:pPr>
      <w:r>
        <w:rPr>
          <w:b/>
          <w:bCs/>
        </w:rPr>
        <w:t xml:space="preserve">4 </w:t>
      </w:r>
      <w:r>
        <w:t xml:space="preserve"> 钢板桩、地下连续墙、排桩等工作井设计应按平面杆系有限元法进行计算，并</w:t>
      </w:r>
      <w:r>
        <w:rPr>
          <w:rFonts w:hint="eastAsia"/>
        </w:rPr>
        <w:t>应</w:t>
      </w:r>
      <w:r>
        <w:t>进行整体稳定、抗滑移、抗倾覆、抗隆起、抗管涌等验算；</w:t>
      </w:r>
    </w:p>
    <w:p>
      <w:pPr>
        <w:ind w:firstLine="482" w:firstLineChars="200"/>
      </w:pPr>
      <w:r>
        <w:rPr>
          <w:b/>
          <w:bCs/>
        </w:rPr>
        <w:t>5</w:t>
      </w:r>
      <w:r>
        <w:t xml:space="preserve">  当工作井位于岸边或水中时，应进行抗冲刷、整体稳定、抗滑移及抗倾覆等验算；</w:t>
      </w:r>
    </w:p>
    <w:p>
      <w:pPr>
        <w:ind w:firstLine="482" w:firstLineChars="200"/>
      </w:pPr>
      <w:r>
        <w:rPr>
          <w:b/>
          <w:bCs/>
        </w:rPr>
        <w:t>6</w:t>
      </w:r>
      <w:r>
        <w:t xml:space="preserve">  始发井应设置钢筋混凝土底板，接收井可根据具体情况设置；</w:t>
      </w:r>
    </w:p>
    <w:p>
      <w:pPr>
        <w:ind w:firstLine="482" w:firstLineChars="200"/>
      </w:pPr>
      <w:r>
        <w:rPr>
          <w:b/>
          <w:bCs/>
        </w:rPr>
        <w:t>7</w:t>
      </w:r>
      <w:r>
        <w:t xml:space="preserve">  工作井内需设置的内支撑或内衬不得对顶管施工造成障碍；</w:t>
      </w:r>
    </w:p>
    <w:p>
      <w:pPr>
        <w:ind w:firstLine="482" w:firstLineChars="200"/>
      </w:pPr>
      <w:r>
        <w:rPr>
          <w:b/>
          <w:bCs/>
        </w:rPr>
        <w:t>8</w:t>
      </w:r>
      <w:r>
        <w:t xml:space="preserve">  挖深大于6m且有地下水时，工作井宜采用地下连续墙、排桩、沉井等方法。</w:t>
      </w:r>
    </w:p>
    <w:p>
      <w:r>
        <w:rPr>
          <w:b/>
          <w:bCs/>
        </w:rPr>
        <w:t>5.</w:t>
      </w:r>
      <w:r>
        <w:rPr>
          <w:rFonts w:hint="eastAsia"/>
          <w:b/>
          <w:bCs/>
        </w:rPr>
        <w:t>7</w:t>
      </w:r>
      <w:r>
        <w:rPr>
          <w:b/>
          <w:bCs/>
        </w:rPr>
        <w:t xml:space="preserve">.3  </w:t>
      </w:r>
      <w:r>
        <w:t>工作井防排水设计应符合下列规定：</w:t>
      </w:r>
    </w:p>
    <w:p>
      <w:pPr>
        <w:ind w:firstLine="482" w:firstLineChars="200"/>
      </w:pPr>
      <w:r>
        <w:rPr>
          <w:b/>
          <w:bCs/>
        </w:rPr>
        <w:t>1</w:t>
      </w:r>
      <w:r>
        <w:t xml:space="preserve">  应根据现场防淹需要调整工作井顶部标高；</w:t>
      </w:r>
    </w:p>
    <w:p>
      <w:pPr>
        <w:ind w:firstLine="482" w:firstLineChars="200"/>
      </w:pPr>
      <w:r>
        <w:rPr>
          <w:b/>
          <w:bCs/>
        </w:rPr>
        <w:t>2</w:t>
      </w:r>
      <w:r>
        <w:t xml:space="preserve">  井底的角部或两侧应设置集水坑，深度不宜小于</w:t>
      </w:r>
      <w:r>
        <w:rPr>
          <w:rFonts w:hint="eastAsia"/>
        </w:rPr>
        <w:t>0.</w:t>
      </w:r>
      <w:r>
        <w:t>4m，且不应与顶进轴线重叠；</w:t>
      </w:r>
    </w:p>
    <w:p>
      <w:pPr>
        <w:ind w:firstLine="482" w:firstLineChars="200"/>
      </w:pPr>
      <w:r>
        <w:rPr>
          <w:b/>
          <w:bCs/>
        </w:rPr>
        <w:t>3</w:t>
      </w:r>
      <w:r>
        <w:t xml:space="preserve">  当井周边存在河涌、鱼塘等水体时，应采取加固措施，可设置止水帷幕等。</w:t>
      </w:r>
    </w:p>
    <w:p>
      <w:r>
        <w:rPr>
          <w:b/>
          <w:bCs/>
        </w:rPr>
        <w:t>5.</w:t>
      </w:r>
      <w:r>
        <w:rPr>
          <w:rFonts w:hint="eastAsia"/>
          <w:b/>
          <w:bCs/>
        </w:rPr>
        <w:t>7</w:t>
      </w:r>
      <w:r>
        <w:rPr>
          <w:b/>
          <w:bCs/>
        </w:rPr>
        <w:t xml:space="preserve">.4  </w:t>
      </w:r>
      <w:r>
        <w:t>工作井的设计应包括下列内容：</w:t>
      </w:r>
    </w:p>
    <w:p>
      <w:pPr>
        <w:ind w:firstLine="482" w:firstLineChars="200"/>
      </w:pPr>
      <w:r>
        <w:rPr>
          <w:b/>
          <w:bCs/>
        </w:rPr>
        <w:t>1</w:t>
      </w:r>
      <w:r>
        <w:t xml:space="preserve">  洞口止水设计；</w:t>
      </w:r>
    </w:p>
    <w:p>
      <w:pPr>
        <w:ind w:firstLine="482" w:firstLineChars="200"/>
      </w:pPr>
      <w:r>
        <w:rPr>
          <w:b/>
          <w:bCs/>
        </w:rPr>
        <w:t>2</w:t>
      </w:r>
      <w:r>
        <w:t xml:space="preserve">  反力墙设计；</w:t>
      </w:r>
    </w:p>
    <w:p>
      <w:pPr>
        <w:ind w:firstLine="482" w:firstLineChars="200"/>
      </w:pPr>
      <w:r>
        <w:rPr>
          <w:b/>
          <w:bCs/>
        </w:rPr>
        <w:t>3</w:t>
      </w:r>
      <w:r>
        <w:t xml:space="preserve">  竖向交通设施的设计；</w:t>
      </w:r>
    </w:p>
    <w:p>
      <w:pPr>
        <w:ind w:firstLine="482" w:firstLineChars="200"/>
      </w:pPr>
      <w:r>
        <w:rPr>
          <w:b/>
          <w:bCs/>
        </w:rPr>
        <w:t>4</w:t>
      </w:r>
      <w:r>
        <w:t xml:space="preserve">  </w:t>
      </w:r>
      <w:r>
        <w:rPr>
          <w:rFonts w:hint="eastAsia"/>
        </w:rPr>
        <w:t>抗浮验算。</w:t>
      </w:r>
    </w:p>
    <w:p>
      <w:r>
        <w:rPr>
          <w:b/>
        </w:rPr>
        <w:t>5.</w:t>
      </w:r>
      <w:r>
        <w:rPr>
          <w:rFonts w:hint="eastAsia"/>
          <w:b/>
        </w:rPr>
        <w:t>7</w:t>
      </w:r>
      <w:r>
        <w:rPr>
          <w:b/>
        </w:rPr>
        <w:t xml:space="preserve">.5  </w:t>
      </w:r>
      <w:r>
        <w:t>始发井尺寸应符合下列规定：</w:t>
      </w:r>
    </w:p>
    <w:p>
      <w:pPr>
        <w:ind w:firstLine="482" w:firstLineChars="200"/>
      </w:pPr>
      <w:r>
        <w:rPr>
          <w:b/>
        </w:rPr>
        <w:t>1</w:t>
      </w:r>
      <w:r>
        <w:rPr>
          <w:bCs/>
        </w:rPr>
        <w:t xml:space="preserve">  </w:t>
      </w:r>
      <w:r>
        <w:t>始发井的最小净长度按顶管机长度确定时，宜满足下式要求：</w:t>
      </w:r>
    </w:p>
    <w:p>
      <w:pPr>
        <w:ind w:firstLine="960" w:firstLineChars="400"/>
        <w:jc w:val="right"/>
      </w:pPr>
      <w:r>
        <w:rPr>
          <w:i/>
        </w:rPr>
        <w:t>L≥L</w:t>
      </w:r>
      <w:r>
        <w:rPr>
          <w:vertAlign w:val="subscript"/>
        </w:rPr>
        <w:t>1</w:t>
      </w:r>
      <w:r>
        <w:t>+</w:t>
      </w:r>
      <w:r>
        <w:rPr>
          <w:i/>
        </w:rPr>
        <w:t>L</w:t>
      </w:r>
      <w:r>
        <w:rPr>
          <w:vertAlign w:val="subscript"/>
        </w:rPr>
        <w:t>3</w:t>
      </w:r>
      <w:r>
        <w:t>+</w:t>
      </w:r>
      <w:r>
        <w:rPr>
          <w:i/>
        </w:rPr>
        <w:t>L</w:t>
      </w:r>
      <w:r>
        <w:rPr>
          <w:vertAlign w:val="subscript"/>
        </w:rPr>
        <w:t>4</w:t>
      </w:r>
      <w:r>
        <w:t>+</w:t>
      </w:r>
      <w:r>
        <w:rPr>
          <w:i/>
        </w:rPr>
        <w:t>S</w:t>
      </w:r>
      <w:r>
        <w:rPr>
          <w:vertAlign w:val="subscript"/>
        </w:rPr>
        <w:t>1</w:t>
      </w:r>
      <w:r>
        <w:t>+</w:t>
      </w:r>
      <w:r>
        <w:rPr>
          <w:i/>
        </w:rPr>
        <w:t>S</w:t>
      </w:r>
      <w:r>
        <w:rPr>
          <w:vertAlign w:val="subscript"/>
        </w:rPr>
        <w:t>2</w:t>
      </w:r>
      <w:r>
        <w:t>+</w:t>
      </w:r>
      <w:r>
        <w:rPr>
          <w:i/>
        </w:rPr>
        <w:t>S</w:t>
      </w:r>
      <w:r>
        <w:rPr>
          <w:vertAlign w:val="subscript"/>
        </w:rPr>
        <w:t>3</w:t>
      </w:r>
      <w:r>
        <w:t xml:space="preserve">                  </w:t>
      </w:r>
      <w:bookmarkStart w:id="245" w:name="_Hlk511053143"/>
      <w:r>
        <w:t>（5.</w:t>
      </w:r>
      <w:r>
        <w:rPr>
          <w:rFonts w:hint="eastAsia"/>
        </w:rPr>
        <w:t>7</w:t>
      </w:r>
      <w:r>
        <w:t>.5-1）</w:t>
      </w:r>
      <w:bookmarkEnd w:id="245"/>
    </w:p>
    <w:p>
      <w:pPr>
        <w:snapToGrid w:val="0"/>
      </w:pPr>
      <w:r>
        <w:t>式中：</w:t>
      </w:r>
      <w:r>
        <w:rPr>
          <w:i/>
        </w:rPr>
        <w:t>L</w:t>
      </w:r>
      <w:r>
        <w:t>——始发井最小净长度（m）；</w:t>
      </w:r>
    </w:p>
    <w:p>
      <w:pPr>
        <w:snapToGrid w:val="0"/>
        <w:ind w:firstLine="708" w:firstLineChars="295"/>
        <w:jc w:val="left"/>
      </w:pPr>
      <w:r>
        <w:rPr>
          <w:i/>
        </w:rPr>
        <w:t>L</w:t>
      </w:r>
      <w:r>
        <w:rPr>
          <w:vertAlign w:val="subscript"/>
        </w:rPr>
        <w:t>1</w:t>
      </w:r>
      <w:r>
        <w:rPr>
          <w:i/>
        </w:rPr>
        <w:t>——</w:t>
      </w:r>
      <w:r>
        <w:t>顶管机长度（m）；</w:t>
      </w:r>
    </w:p>
    <w:p>
      <w:pPr>
        <w:snapToGrid w:val="0"/>
        <w:ind w:firstLine="708" w:firstLineChars="295"/>
        <w:jc w:val="left"/>
      </w:pPr>
      <w:r>
        <w:rPr>
          <w:i/>
        </w:rPr>
        <w:t>L</w:t>
      </w:r>
      <w:r>
        <w:rPr>
          <w:vertAlign w:val="subscript"/>
        </w:rPr>
        <w:t>3</w:t>
      </w:r>
      <w:r>
        <w:t>——液压缸长度（m）；</w:t>
      </w:r>
    </w:p>
    <w:p>
      <w:pPr>
        <w:snapToGrid w:val="0"/>
        <w:ind w:firstLine="708" w:firstLineChars="295"/>
        <w:jc w:val="left"/>
      </w:pPr>
      <w:r>
        <w:rPr>
          <w:i/>
        </w:rPr>
        <w:t>L</w:t>
      </w:r>
      <w:r>
        <w:rPr>
          <w:vertAlign w:val="subscript"/>
        </w:rPr>
        <w:t>4</w:t>
      </w:r>
      <w:r>
        <w:t>——后座及扩散段厚度（m）；</w:t>
      </w:r>
    </w:p>
    <w:p>
      <w:pPr>
        <w:snapToGrid w:val="0"/>
        <w:ind w:firstLine="708" w:firstLineChars="295"/>
        <w:jc w:val="left"/>
      </w:pPr>
      <w:r>
        <w:rPr>
          <w:i/>
        </w:rPr>
        <w:t>S</w:t>
      </w:r>
      <w:r>
        <w:rPr>
          <w:vertAlign w:val="subscript"/>
        </w:rPr>
        <w:t>1</w:t>
      </w:r>
      <w:r>
        <w:t>——顶入管节留在导轨上的最小长度（m），取0.5m；</w:t>
      </w:r>
    </w:p>
    <w:p>
      <w:pPr>
        <w:snapToGrid w:val="0"/>
        <w:ind w:firstLine="708" w:firstLineChars="295"/>
        <w:jc w:val="left"/>
      </w:pPr>
      <w:r>
        <w:rPr>
          <w:i/>
        </w:rPr>
        <w:t>S</w:t>
      </w:r>
      <w:r>
        <w:rPr>
          <w:vertAlign w:val="subscript"/>
        </w:rPr>
        <w:t>2</w:t>
      </w:r>
      <w:r>
        <w:t>——顶铁厚度（m）；</w:t>
      </w:r>
    </w:p>
    <w:p>
      <w:pPr>
        <w:snapToGrid w:val="0"/>
        <w:ind w:firstLine="708" w:firstLineChars="295"/>
        <w:jc w:val="left"/>
      </w:pPr>
      <w:r>
        <w:rPr>
          <w:i/>
        </w:rPr>
        <w:t>S</w:t>
      </w:r>
      <w:r>
        <w:rPr>
          <w:vertAlign w:val="subscript"/>
        </w:rPr>
        <w:t>3</w:t>
      </w:r>
      <w:r>
        <w:t>——顶进管节回缩及便于安装管节所留附加间隙（m），取0.2m。</w:t>
      </w:r>
    </w:p>
    <w:p>
      <w:pPr>
        <w:snapToGrid w:val="0"/>
        <w:ind w:firstLine="482" w:firstLineChars="200"/>
      </w:pPr>
      <w:r>
        <w:rPr>
          <w:b/>
        </w:rPr>
        <w:t>2</w:t>
      </w:r>
      <w:r>
        <w:t xml:space="preserve">  始发井的最小净长度按管节长度确定时，宜</w:t>
      </w:r>
      <w:r>
        <w:rPr>
          <w:rFonts w:hint="eastAsia"/>
        </w:rPr>
        <w:t>满足</w:t>
      </w:r>
      <w:r>
        <w:t>下式</w:t>
      </w:r>
      <w:r>
        <w:rPr>
          <w:rFonts w:hint="eastAsia"/>
        </w:rPr>
        <w:t>要求</w:t>
      </w:r>
      <w:r>
        <w:t>：</w:t>
      </w:r>
    </w:p>
    <w:p>
      <w:pPr>
        <w:snapToGrid w:val="0"/>
        <w:ind w:right="84" w:firstLine="480" w:firstLineChars="200"/>
        <w:jc w:val="right"/>
      </w:pPr>
      <w:r>
        <w:rPr>
          <w:i/>
        </w:rPr>
        <w:t>L≥L</w:t>
      </w:r>
      <w:r>
        <w:rPr>
          <w:vertAlign w:val="subscript"/>
        </w:rPr>
        <w:t>2</w:t>
      </w:r>
      <w:r>
        <w:t>+</w:t>
      </w:r>
      <w:r>
        <w:rPr>
          <w:i/>
        </w:rPr>
        <w:t>L</w:t>
      </w:r>
      <w:r>
        <w:rPr>
          <w:vertAlign w:val="subscript"/>
        </w:rPr>
        <w:t>3</w:t>
      </w:r>
      <w:r>
        <w:t>+</w:t>
      </w:r>
      <w:r>
        <w:rPr>
          <w:i/>
        </w:rPr>
        <w:t>L</w:t>
      </w:r>
      <w:r>
        <w:rPr>
          <w:vertAlign w:val="subscript"/>
        </w:rPr>
        <w:t>4</w:t>
      </w:r>
      <w:r>
        <w:t>+</w:t>
      </w:r>
      <w:r>
        <w:rPr>
          <w:i/>
        </w:rPr>
        <w:t>S</w:t>
      </w:r>
      <w:r>
        <w:rPr>
          <w:vertAlign w:val="subscript"/>
        </w:rPr>
        <w:t>1</w:t>
      </w:r>
      <w:r>
        <w:t>+</w:t>
      </w:r>
      <w:r>
        <w:rPr>
          <w:i/>
        </w:rPr>
        <w:t>S</w:t>
      </w:r>
      <w:r>
        <w:rPr>
          <w:vertAlign w:val="subscript"/>
        </w:rPr>
        <w:t>2</w:t>
      </w:r>
      <w:r>
        <w:t>+</w:t>
      </w:r>
      <w:r>
        <w:rPr>
          <w:i/>
        </w:rPr>
        <w:t>S</w:t>
      </w:r>
      <w:r>
        <w:rPr>
          <w:vertAlign w:val="subscript"/>
        </w:rPr>
        <w:t>3</w:t>
      </w:r>
      <w:r>
        <w:t xml:space="preserve">                   （5.</w:t>
      </w:r>
      <w:r>
        <w:rPr>
          <w:rFonts w:hint="eastAsia"/>
        </w:rPr>
        <w:t>7</w:t>
      </w:r>
      <w:r>
        <w:t>.5-2）</w:t>
      </w:r>
    </w:p>
    <w:p>
      <w:r>
        <w:t>式中：</w:t>
      </w:r>
      <w:r>
        <w:rPr>
          <w:i/>
        </w:rPr>
        <w:t>L</w:t>
      </w:r>
      <w:r>
        <w:rPr>
          <w:vertAlign w:val="subscript"/>
        </w:rPr>
        <w:t>2</w:t>
      </w:r>
      <w:r>
        <w:t>——管节安装长度，取2.5倍管节长度（m）；</w:t>
      </w:r>
    </w:p>
    <w:p>
      <w:pPr>
        <w:snapToGrid w:val="0"/>
        <w:ind w:firstLine="482" w:firstLineChars="200"/>
      </w:pPr>
      <w:r>
        <w:rPr>
          <w:b/>
          <w:bCs/>
        </w:rPr>
        <w:t>3</w:t>
      </w:r>
      <w:r>
        <w:t xml:space="preserve">  始发井的最小净长度应按本条第1款和第2款两种方法计算结果取大值，并</w:t>
      </w:r>
      <w:r>
        <w:rPr>
          <w:rFonts w:hint="eastAsia"/>
        </w:rPr>
        <w:t>应</w:t>
      </w:r>
      <w:r>
        <w:t>与井内接管工艺要求综合确定</w:t>
      </w:r>
      <w:r>
        <w:rPr>
          <w:rFonts w:hint="eastAsia"/>
        </w:rPr>
        <w:t>；</w:t>
      </w:r>
    </w:p>
    <w:p>
      <w:pPr>
        <w:snapToGrid w:val="0"/>
        <w:ind w:firstLine="482" w:firstLineChars="200"/>
      </w:pPr>
      <w:r>
        <w:rPr>
          <w:b/>
        </w:rPr>
        <w:t>4</w:t>
      </w:r>
      <w:r>
        <w:t xml:space="preserve">  始发井的最小净宽度宜按下式计算：</w:t>
      </w:r>
    </w:p>
    <w:p>
      <w:pPr>
        <w:snapToGrid w:val="0"/>
        <w:ind w:firstLine="1440" w:firstLineChars="600"/>
        <w:jc w:val="right"/>
      </w:pPr>
      <w:r>
        <w:rPr>
          <w:position w:val="-12"/>
        </w:rPr>
        <w:object>
          <v:shape id="_x0000_i1123" o:spt="75" type="#_x0000_t75" style="height:19.5pt;width:54.75pt;" o:ole="t" filled="f" o:preferrelative="t" stroked="f" coordsize="21600,21600">
            <v:path/>
            <v:fill on="f" focussize="0,0"/>
            <v:stroke on="f" joinstyle="miter"/>
            <v:imagedata r:id="rId203" o:title=""/>
            <o:lock v:ext="edit" aspectratio="t"/>
            <w10:wrap type="none"/>
            <w10:anchorlock/>
          </v:shape>
          <o:OLEObject Type="Embed" ProgID="Equation.DSMT4" ShapeID="_x0000_i1123" DrawAspect="Content" ObjectID="_1468075823" r:id="rId202">
            <o:LockedField>false</o:LockedField>
          </o:OLEObject>
        </w:object>
      </w:r>
      <w:r>
        <w:t xml:space="preserve">                         （5.</w:t>
      </w:r>
      <w:r>
        <w:rPr>
          <w:rFonts w:hint="eastAsia"/>
        </w:rPr>
        <w:t>7</w:t>
      </w:r>
      <w:r>
        <w:t>.5-3）</w:t>
      </w:r>
    </w:p>
    <w:p>
      <w:pPr>
        <w:snapToGrid w:val="0"/>
      </w:pPr>
      <w:r>
        <w:t>式中：</w:t>
      </w:r>
      <w:r>
        <w:rPr>
          <w:position w:val="-4"/>
        </w:rPr>
        <w:object>
          <v:shape id="_x0000_i1124" o:spt="75" type="#_x0000_t75" style="height:13.5pt;width:12pt;" o:ole="t" filled="f" o:preferrelative="t" stroked="f" coordsize="21600,21600">
            <v:path/>
            <v:fill on="f" focussize="0,0"/>
            <v:stroke on="f" joinstyle="miter"/>
            <v:imagedata r:id="rId12" o:title=""/>
            <o:lock v:ext="edit" aspectratio="t"/>
            <w10:wrap type="none"/>
            <w10:anchorlock/>
          </v:shape>
          <o:OLEObject Type="Embed" ProgID="Equation.DSMT4" ShapeID="_x0000_i1124" DrawAspect="Content" ObjectID="_1468075824" r:id="rId204">
            <o:LockedField>false</o:LockedField>
          </o:OLEObject>
        </w:object>
      </w:r>
      <w:r>
        <w:t>——始发井的最小净宽度（m）；</w:t>
      </w:r>
    </w:p>
    <w:p>
      <w:pPr>
        <w:snapToGrid w:val="0"/>
        <w:ind w:firstLine="708" w:firstLineChars="295"/>
        <w:jc w:val="left"/>
      </w:pPr>
      <w:r>
        <w:rPr>
          <w:position w:val="-10"/>
        </w:rPr>
        <w:object>
          <v:shape id="_x0000_i1125" o:spt="75" type="#_x0000_t75" style="height:16.5pt;width:13.5pt;" o:ole="t" filled="f" o:preferrelative="t" stroked="f" coordsize="21600,21600">
            <v:path/>
            <v:fill on="f" focussize="0,0"/>
            <v:stroke on="f" joinstyle="miter"/>
            <v:imagedata r:id="rId206" o:title=""/>
            <o:lock v:ext="edit" aspectratio="t"/>
            <w10:wrap type="none"/>
            <w10:anchorlock/>
          </v:shape>
          <o:OLEObject Type="Embed" ProgID="Equation.DSMT4" ShapeID="_x0000_i1125" DrawAspect="Content" ObjectID="_1468075825" r:id="rId205">
            <o:LockedField>false</o:LockedField>
          </o:OLEObject>
        </w:object>
      </w:r>
      <w:r>
        <w:t>——矩形管节外边宽（m）；</w:t>
      </w:r>
    </w:p>
    <w:p>
      <w:pPr>
        <w:snapToGrid w:val="0"/>
        <w:ind w:firstLine="708" w:firstLineChars="295"/>
        <w:jc w:val="left"/>
      </w:pPr>
      <w:r>
        <w:rPr>
          <w:i/>
        </w:rPr>
        <w:t>b</w:t>
      </w:r>
      <w:r>
        <w:rPr>
          <w:iCs/>
          <w:vertAlign w:val="subscript"/>
        </w:rPr>
        <w:t>2</w:t>
      </w:r>
      <w:r>
        <w:t>——施工操作空间（m），取0.8m～1.5m。</w:t>
      </w:r>
    </w:p>
    <w:p>
      <w:pPr>
        <w:snapToGrid w:val="0"/>
        <w:ind w:firstLine="482" w:firstLineChars="200"/>
        <w:rPr>
          <w:b/>
        </w:rPr>
      </w:pPr>
      <w:r>
        <w:rPr>
          <w:b/>
        </w:rPr>
        <w:t xml:space="preserve">5  </w:t>
      </w:r>
      <w:r>
        <w:t>始发井的最小深度可按下式计算：</w:t>
      </w:r>
    </w:p>
    <w:p>
      <w:pPr>
        <w:snapToGrid w:val="0"/>
        <w:ind w:firstLine="1440" w:firstLineChars="600"/>
        <w:jc w:val="right"/>
      </w:pPr>
      <w:r>
        <w:rPr>
          <w:position w:val="-12"/>
        </w:rPr>
        <w:object>
          <v:shape id="_x0000_i1126" o:spt="75" type="#_x0000_t75" style="height:26.25pt;width:87.8pt;" o:ole="t" filled="f" o:preferrelative="t" stroked="f" coordsize="21600,21600">
            <v:path/>
            <v:fill on="f" focussize="0,0"/>
            <v:stroke on="f" joinstyle="miter"/>
            <v:imagedata r:id="rId208" o:title=""/>
            <o:lock v:ext="edit" aspectratio="t"/>
            <w10:wrap type="none"/>
            <w10:anchorlock/>
          </v:shape>
          <o:OLEObject Type="Embed" ProgID="Equation.DSMT4" ShapeID="_x0000_i1126" DrawAspect="Content" ObjectID="_1468075826" r:id="rId207">
            <o:LockedField>false</o:LockedField>
          </o:OLEObject>
        </w:object>
      </w:r>
      <w:r>
        <w:t xml:space="preserve">                     （5.7.5-4）</w:t>
      </w:r>
    </w:p>
    <w:p>
      <w:pPr>
        <w:snapToGrid w:val="0"/>
      </w:pPr>
      <w:r>
        <w:t>式中：</w:t>
      </w:r>
      <w:bookmarkStart w:id="246" w:name="MTBlankEqn"/>
      <w:r>
        <w:rPr>
          <w:position w:val="-4"/>
        </w:rPr>
        <w:object>
          <v:shape id="_x0000_i1127" o:spt="75" type="#_x0000_t75" style="height:15.75pt;width:16.5pt;" o:ole="t" filled="f" o:preferrelative="t" stroked="f" coordsize="21600,21600">
            <v:path/>
            <v:fill on="f" focussize="0,0"/>
            <v:stroke on="f" joinstyle="miter"/>
            <v:imagedata r:id="rId210" o:title=""/>
            <o:lock v:ext="edit" aspectratio="t"/>
            <w10:wrap type="none"/>
            <w10:anchorlock/>
          </v:shape>
          <o:OLEObject Type="Embed" ProgID="Equation.DSMT4" ShapeID="_x0000_i1127" DrawAspect="Content" ObjectID="_1468075827" r:id="rId209">
            <o:LockedField>false</o:LockedField>
          </o:OLEObject>
        </w:object>
      </w:r>
      <w:bookmarkEnd w:id="246"/>
      <w:r>
        <w:t>——始发井最小深度（m）；</w:t>
      </w:r>
    </w:p>
    <w:p>
      <w:pPr>
        <w:snapToGrid w:val="0"/>
        <w:ind w:firstLine="720" w:firstLineChars="300"/>
      </w:pPr>
      <w:r>
        <w:rPr>
          <w:position w:val="-12"/>
        </w:rPr>
        <w:object>
          <v:shape id="_x0000_i1128" o:spt="75" type="#_x0000_t75" style="height:21.75pt;width:16.5pt;" o:ole="t" filled="f" o:preferrelative="t" stroked="f" coordsize="21600,21600">
            <v:path/>
            <v:fill on="f" focussize="0,0"/>
            <v:stroke on="f" joinstyle="miter"/>
            <v:imagedata r:id="rId212" o:title=""/>
            <o:lock v:ext="edit" aspectratio="t"/>
            <w10:wrap type="none"/>
            <w10:anchorlock/>
          </v:shape>
          <o:OLEObject Type="Embed" ProgID="Equation.DSMT4" ShapeID="_x0000_i1128" DrawAspect="Content" ObjectID="_1468075828" r:id="rId211">
            <o:LockedField>false</o:LockedField>
          </o:OLEObject>
        </w:object>
      </w:r>
      <w:r>
        <w:t>——管顶至原状土地面覆土层厚度（m）；</w:t>
      </w:r>
    </w:p>
    <w:p>
      <w:pPr>
        <w:snapToGrid w:val="0"/>
        <w:ind w:firstLine="720" w:firstLineChars="300"/>
        <w:rPr>
          <w:sz w:val="21"/>
        </w:rPr>
      </w:pPr>
      <w:r>
        <w:rPr>
          <w:position w:val="-12"/>
        </w:rPr>
        <w:object>
          <v:shape id="_x0000_i1129" o:spt="75" type="#_x0000_t75" style="height:24pt;width:18.75pt;" o:ole="t" filled="f" o:preferrelative="t" stroked="f" coordsize="21600,21600">
            <v:path/>
            <v:fill on="f" focussize="0,0"/>
            <v:stroke on="f" joinstyle="miter"/>
            <v:imagedata r:id="rId30" o:title=""/>
            <o:lock v:ext="edit" aspectratio="t"/>
            <w10:wrap type="none"/>
            <w10:anchorlock/>
          </v:shape>
          <o:OLEObject Type="Embed" ProgID="Equation.DSMT4" ShapeID="_x0000_i1129" DrawAspect="Content" ObjectID="_1468075829" r:id="rId213">
            <o:LockedField>false</o:LockedField>
          </o:OLEObject>
        </w:object>
      </w:r>
      <w:r>
        <w:rPr>
          <w:lang w:bidi="ar"/>
        </w:rPr>
        <w:t>——</w:t>
      </w:r>
      <w:r>
        <w:t>矩形管节外边高（m）；</w:t>
      </w:r>
    </w:p>
    <w:p>
      <w:pPr>
        <w:snapToGrid w:val="0"/>
        <w:ind w:firstLine="720" w:firstLineChars="300"/>
      </w:pPr>
      <w:r>
        <w:rPr>
          <w:i/>
          <w:position w:val="-10"/>
        </w:rPr>
        <w:object>
          <v:shape id="_x0000_i1130" o:spt="75" type="#_x0000_t75" style="height:20.25pt;width:15.75pt;" o:ole="t" filled="f" o:preferrelative="t" stroked="f" coordsize="21600,21600">
            <v:path/>
            <v:fill on="f" focussize="0,0"/>
            <v:stroke on="f" joinstyle="miter"/>
            <v:imagedata r:id="rId215" o:title=""/>
            <o:lock v:ext="edit" aspectratio="t"/>
            <w10:wrap type="none"/>
            <w10:anchorlock/>
          </v:shape>
          <o:OLEObject Type="Embed" ProgID="Equation.3" ShapeID="_x0000_i1130" DrawAspect="Content" ObjectID="_1468075830" r:id="rId214">
            <o:LockedField>false</o:LockedField>
          </o:OLEObject>
        </w:object>
      </w:r>
      <w:r>
        <w:t>——管底下的操作空间（m），取0.4m～0.5m。</w:t>
      </w:r>
    </w:p>
    <w:p>
      <w:pPr>
        <w:snapToGrid w:val="0"/>
        <w:ind w:firstLine="482" w:firstLineChars="200"/>
      </w:pPr>
      <w:r>
        <w:rPr>
          <w:b/>
        </w:rPr>
        <w:t xml:space="preserve">6  </w:t>
      </w:r>
      <w:r>
        <w:t>始发井的穿墙洞尺寸可按下列公式计算：</w:t>
      </w:r>
    </w:p>
    <w:p>
      <w:pPr>
        <w:snapToGrid w:val="0"/>
        <w:ind w:firstLine="1440" w:firstLineChars="600"/>
        <w:jc w:val="right"/>
      </w:pPr>
      <w:r>
        <w:rPr>
          <w:position w:val="-12"/>
        </w:rPr>
        <w:object>
          <v:shape id="_x0000_i1131" o:spt="75" type="#_x0000_t75" style="height:18.75pt;width:87.75pt;" o:ole="t" filled="f" o:preferrelative="t" stroked="f" coordsize="21600,21600">
            <v:path/>
            <v:fill on="f" focussize="0,0"/>
            <v:stroke on="f" joinstyle="miter"/>
            <v:imagedata r:id="rId217" o:title=""/>
            <o:lock v:ext="edit" aspectratio="t"/>
            <w10:wrap type="none"/>
            <w10:anchorlock/>
          </v:shape>
          <o:OLEObject Type="Embed" ProgID="Equation.3" ShapeID="_x0000_i1131" DrawAspect="Content" ObjectID="_1468075831" r:id="rId216">
            <o:LockedField>false</o:LockedField>
          </o:OLEObject>
        </w:object>
      </w:r>
      <w:r>
        <w:t xml:space="preserve">                      （5.</w:t>
      </w:r>
      <w:r>
        <w:rPr>
          <w:rFonts w:hint="eastAsia"/>
        </w:rPr>
        <w:t>7</w:t>
      </w:r>
      <w:r>
        <w:t>.5-5）</w:t>
      </w:r>
    </w:p>
    <w:p>
      <w:pPr>
        <w:snapToGrid w:val="0"/>
        <w:jc w:val="right"/>
      </w:pPr>
      <w:r>
        <w:rPr>
          <w:position w:val="-12"/>
        </w:rPr>
        <w:object>
          <v:shape id="_x0000_i1132" o:spt="75" type="#_x0000_t75" style="height:18.75pt;width:82.5pt;" o:ole="t" filled="f" o:preferrelative="t" stroked="f" coordsize="21600,21600">
            <v:path/>
            <v:fill on="f" focussize="0,0"/>
            <v:stroke on="f" joinstyle="miter"/>
            <v:imagedata r:id="rId219" o:title=""/>
            <o:lock v:ext="edit" aspectratio="t"/>
            <w10:wrap type="none"/>
            <w10:anchorlock/>
          </v:shape>
          <o:OLEObject Type="Embed" ProgID="Equation.3" ShapeID="_x0000_i1132" DrawAspect="Content" ObjectID="_1468075832" r:id="rId218">
            <o:LockedField>false</o:LockedField>
          </o:OLEObject>
        </w:object>
      </w:r>
      <w:r>
        <w:t xml:space="preserve">                       （5.</w:t>
      </w:r>
      <w:r>
        <w:rPr>
          <w:rFonts w:hint="eastAsia"/>
        </w:rPr>
        <w:t>7</w:t>
      </w:r>
      <w:r>
        <w:t>.5-6）</w:t>
      </w:r>
    </w:p>
    <w:p>
      <w:pPr>
        <w:snapToGrid w:val="0"/>
      </w:pPr>
      <w:r>
        <w:t>式中：</w:t>
      </w:r>
      <w:r>
        <w:rPr>
          <w:position w:val="-12"/>
        </w:rPr>
        <w:object>
          <v:shape id="_x0000_i1133" o:spt="75" type="#_x0000_t75" style="height:18.75pt;width:20.25pt;" o:ole="t" filled="f" o:preferrelative="t" stroked="f" coordsize="21600,21600">
            <v:path/>
            <v:fill on="f" focussize="0,0"/>
            <v:stroke on="f" joinstyle="miter"/>
            <v:imagedata r:id="rId221" o:title=""/>
            <o:lock v:ext="edit" aspectratio="t"/>
            <w10:wrap type="none"/>
            <w10:anchorlock/>
          </v:shape>
          <o:OLEObject Type="Embed" ProgID="Equation.DSMT4" ShapeID="_x0000_i1133" DrawAspect="Content" ObjectID="_1468075833" r:id="rId220">
            <o:LockedField>false</o:LockedField>
          </o:OLEObject>
        </w:object>
      </w:r>
      <w:r>
        <w:t>——始发井的穿墙洞高度（m）；</w:t>
      </w:r>
    </w:p>
    <w:p>
      <w:pPr>
        <w:snapToGrid w:val="0"/>
        <w:ind w:firstLine="720" w:firstLineChars="300"/>
      </w:pPr>
      <w:r>
        <w:rPr>
          <w:position w:val="-12"/>
        </w:rPr>
        <w:object>
          <v:shape id="_x0000_i1134" o:spt="75" type="#_x0000_t75" style="height:18.75pt;width:18.75pt;" o:ole="t" filled="f" o:preferrelative="t" stroked="f" coordsize="21600,21600">
            <v:path/>
            <v:fill on="f" focussize="0,0"/>
            <v:stroke on="f" joinstyle="miter"/>
            <v:imagedata r:id="rId16" o:title=""/>
            <o:lock v:ext="edit" aspectratio="t"/>
            <w10:wrap type="none"/>
            <w10:anchorlock/>
          </v:shape>
          <o:OLEObject Type="Embed" ProgID="Equation.DSMT4" ShapeID="_x0000_i1134" DrawAspect="Content" ObjectID="_1468075834" r:id="rId222">
            <o:LockedField>false</o:LockedField>
          </o:OLEObject>
        </w:object>
      </w:r>
      <w:r>
        <w:t>——始发井的穿墙洞宽度（m）。</w:t>
      </w:r>
    </w:p>
    <w:p>
      <w:pPr>
        <w:snapToGrid w:val="0"/>
      </w:pPr>
      <w:r>
        <w:rPr>
          <w:b/>
        </w:rPr>
        <w:t>5.</w:t>
      </w:r>
      <w:r>
        <w:rPr>
          <w:rFonts w:hint="eastAsia"/>
          <w:b/>
        </w:rPr>
        <w:t>7</w:t>
      </w:r>
      <w:r>
        <w:rPr>
          <w:b/>
        </w:rPr>
        <w:t xml:space="preserve">.6  </w:t>
      </w:r>
      <w:r>
        <w:t>接</w:t>
      </w:r>
      <w:r>
        <w:rPr>
          <w:rFonts w:hint="eastAsia"/>
        </w:rPr>
        <w:t>收</w:t>
      </w:r>
      <w:r>
        <w:t>井的尺寸应符合下列规定：</w:t>
      </w:r>
    </w:p>
    <w:p>
      <w:pPr>
        <w:ind w:firstLine="482" w:firstLineChars="200"/>
      </w:pPr>
      <w:r>
        <w:rPr>
          <w:b/>
        </w:rPr>
        <w:t xml:space="preserve">1  </w:t>
      </w:r>
      <w:r>
        <w:t>接收井的最小净长度和净宽度应满足顶管机在井内拆除和吊出的要求；</w:t>
      </w:r>
    </w:p>
    <w:p>
      <w:pPr>
        <w:ind w:firstLine="482" w:firstLineChars="200"/>
      </w:pPr>
      <w:r>
        <w:rPr>
          <w:b/>
        </w:rPr>
        <w:t xml:space="preserve">2  </w:t>
      </w:r>
      <w:r>
        <w:t>接收井的穿墙洞应满足止水要求，穿墙洞尺寸可按</w:t>
      </w:r>
      <w:r>
        <w:rPr>
          <w:rFonts w:hint="eastAsia"/>
        </w:rPr>
        <w:t>下列公式</w:t>
      </w:r>
      <w:r>
        <w:t>计算：</w:t>
      </w:r>
    </w:p>
    <w:p>
      <w:pPr>
        <w:ind w:firstLine="1440" w:firstLineChars="600"/>
        <w:jc w:val="right"/>
      </w:pPr>
      <w:r>
        <w:rPr>
          <w:position w:val="-14"/>
        </w:rPr>
        <w:object>
          <v:shape id="_x0000_i1135" o:spt="75" type="#_x0000_t75" style="height:18.75pt;width:81pt;" o:ole="t" filled="f" o:preferrelative="t" stroked="f" coordsize="21600,21600">
            <v:path/>
            <v:fill on="f" focussize="0,0"/>
            <v:stroke on="f" joinstyle="miter"/>
            <v:imagedata r:id="rId224" o:title=""/>
            <o:lock v:ext="edit" aspectratio="t"/>
            <w10:wrap type="none"/>
            <w10:anchorlock/>
          </v:shape>
          <o:OLEObject Type="Embed" ProgID="Equation.3" ShapeID="_x0000_i1135" DrawAspect="Content" ObjectID="_1468075835" r:id="rId223">
            <o:LockedField>false</o:LockedField>
          </o:OLEObject>
        </w:object>
      </w:r>
      <w:r>
        <w:t xml:space="preserve">                       （5.</w:t>
      </w:r>
      <w:r>
        <w:rPr>
          <w:rFonts w:hint="eastAsia"/>
        </w:rPr>
        <w:t>7</w:t>
      </w:r>
      <w:r>
        <w:t>.6-1）</w:t>
      </w:r>
    </w:p>
    <w:p>
      <w:pPr>
        <w:ind w:firstLine="1440" w:firstLineChars="600"/>
        <w:jc w:val="right"/>
      </w:pPr>
      <w:r>
        <w:rPr>
          <w:position w:val="-14"/>
        </w:rPr>
        <w:object>
          <v:shape id="_x0000_i1136" o:spt="75" type="#_x0000_t75" style="height:18.75pt;width:76.5pt;" o:ole="t" filled="f" o:preferrelative="t" stroked="f" coordsize="21600,21600">
            <v:path/>
            <v:fill on="f" focussize="0,0"/>
            <v:stroke on="f" joinstyle="miter"/>
            <v:imagedata r:id="rId226" o:title=""/>
            <o:lock v:ext="edit" aspectratio="t"/>
            <w10:wrap type="none"/>
            <w10:anchorlock/>
          </v:shape>
          <o:OLEObject Type="Embed" ProgID="Equation.3" ShapeID="_x0000_i1136" DrawAspect="Content" ObjectID="_1468075836" r:id="rId225">
            <o:LockedField>false</o:LockedField>
          </o:OLEObject>
        </w:object>
      </w:r>
      <w:r>
        <w:t xml:space="preserve">                        （5.</w:t>
      </w:r>
      <w:r>
        <w:rPr>
          <w:rFonts w:hint="eastAsia"/>
        </w:rPr>
        <w:t>7</w:t>
      </w:r>
      <w:r>
        <w:t>.6-2）</w:t>
      </w:r>
    </w:p>
    <w:p>
      <w:pPr>
        <w:snapToGrid w:val="0"/>
      </w:pPr>
      <w:r>
        <w:t>式中：</w:t>
      </w:r>
      <w:r>
        <w:rPr>
          <w:position w:val="-16"/>
        </w:rPr>
        <w:object>
          <v:shape id="_x0000_i1137" o:spt="75" type="#_x0000_t75" style="height:20.25pt;width:20.25pt;" o:ole="t" filled="f" o:preferrelative="t" stroked="f" coordsize="21600,21600">
            <v:path/>
            <v:fill on="f" focussize="0,0"/>
            <v:stroke on="f" joinstyle="miter"/>
            <v:imagedata r:id="rId34" o:title=""/>
            <o:lock v:ext="edit" aspectratio="t"/>
            <w10:wrap type="none"/>
            <w10:anchorlock/>
          </v:shape>
          <o:OLEObject Type="Embed" ProgID="Equation.DSMT4" ShapeID="_x0000_i1137" DrawAspect="Content" ObjectID="_1468075837" r:id="rId227">
            <o:LockedField>false</o:LockedField>
          </o:OLEObject>
        </w:object>
      </w:r>
      <w:r>
        <w:t>——接收井的穿墙洞高（m）；</w:t>
      </w:r>
    </w:p>
    <w:p>
      <w:pPr>
        <w:snapToGrid w:val="0"/>
        <w:ind w:firstLine="849" w:firstLineChars="354"/>
      </w:pPr>
      <w:r>
        <w:rPr>
          <w:position w:val="-16"/>
        </w:rPr>
        <w:object>
          <v:shape id="_x0000_i1138" o:spt="75" type="#_x0000_t75" style="height:20.25pt;width:16.5pt;" o:ole="t" filled="f" o:preferrelative="t" stroked="f" coordsize="21600,21600">
            <v:path/>
            <v:fill on="f" focussize="0,0"/>
            <v:stroke on="f" joinstyle="miter"/>
            <v:imagedata r:id="rId18" o:title=""/>
            <o:lock v:ext="edit" aspectratio="t"/>
            <w10:wrap type="none"/>
            <w10:anchorlock/>
          </v:shape>
          <o:OLEObject Type="Embed" ProgID="Equation.DSMT4" ShapeID="_x0000_i1138" DrawAspect="Content" ObjectID="_1468075838" r:id="rId228">
            <o:LockedField>false</o:LockedField>
          </o:OLEObject>
        </w:object>
      </w:r>
      <w:r>
        <w:t>——接收井的穿墙洞宽（m）。</w:t>
      </w:r>
    </w:p>
    <w:p>
      <w:r>
        <w:rPr>
          <w:b/>
          <w:bCs/>
        </w:rPr>
        <w:t>5.</w:t>
      </w:r>
      <w:r>
        <w:rPr>
          <w:rFonts w:hint="eastAsia"/>
          <w:b/>
          <w:bCs/>
        </w:rPr>
        <w:t>7</w:t>
      </w:r>
      <w:r>
        <w:rPr>
          <w:b/>
          <w:bCs/>
        </w:rPr>
        <w:t xml:space="preserve">.7  </w:t>
      </w:r>
      <w:r>
        <w:t>反力墙设计应符合下列规定：</w:t>
      </w:r>
    </w:p>
    <w:p>
      <w:pPr>
        <w:ind w:firstLine="482" w:firstLineChars="200"/>
      </w:pPr>
      <w:r>
        <w:rPr>
          <w:b/>
          <w:bCs/>
        </w:rPr>
        <w:t>1</w:t>
      </w:r>
      <w:r>
        <w:t xml:space="preserve">  墙体在顶管施工中应能承受主顶工作站液压缸的最大反作用力而不致破坏；</w:t>
      </w:r>
    </w:p>
    <w:p>
      <w:pPr>
        <w:ind w:firstLine="482" w:firstLineChars="200"/>
      </w:pPr>
      <w:r>
        <w:rPr>
          <w:b/>
          <w:bCs/>
        </w:rPr>
        <w:t>2</w:t>
      </w:r>
      <w:r>
        <w:t xml:space="preserve">  反力墙表面应平</w:t>
      </w:r>
      <w:r>
        <w:rPr>
          <w:rFonts w:hint="eastAsia"/>
        </w:rPr>
        <w:t>整</w:t>
      </w:r>
      <w:r>
        <w:t>，并应垂直于顶进管道的轴线；</w:t>
      </w:r>
    </w:p>
    <w:p>
      <w:pPr>
        <w:ind w:firstLine="482" w:firstLineChars="200"/>
      </w:pPr>
      <w:r>
        <w:rPr>
          <w:b/>
          <w:bCs/>
        </w:rPr>
        <w:t>3</w:t>
      </w:r>
      <w:r>
        <w:t xml:space="preserve">  结构应简单</w:t>
      </w:r>
      <w:r>
        <w:rPr>
          <w:rFonts w:hint="eastAsia"/>
        </w:rPr>
        <w:t>，</w:t>
      </w:r>
      <w:r>
        <w:t>装拆</w:t>
      </w:r>
      <w:r>
        <w:rPr>
          <w:rFonts w:hint="eastAsia"/>
        </w:rPr>
        <w:t>应</w:t>
      </w:r>
      <w:r>
        <w:t>方便。</w:t>
      </w:r>
    </w:p>
    <w:p>
      <w:r>
        <w:rPr>
          <w:b/>
          <w:bCs/>
        </w:rPr>
        <w:t>5.</w:t>
      </w:r>
      <w:r>
        <w:rPr>
          <w:rFonts w:hint="eastAsia"/>
          <w:b/>
          <w:bCs/>
        </w:rPr>
        <w:t>7</w:t>
      </w:r>
      <w:r>
        <w:rPr>
          <w:b/>
          <w:bCs/>
        </w:rPr>
        <w:t xml:space="preserve">.8  </w:t>
      </w:r>
      <w:r>
        <w:t>采用装配式反力墙时，应符合下列规定：</w:t>
      </w:r>
    </w:p>
    <w:p>
      <w:pPr>
        <w:ind w:firstLine="482" w:firstLineChars="200"/>
      </w:pPr>
      <w:r>
        <w:rPr>
          <w:b/>
          <w:bCs/>
        </w:rPr>
        <w:t>1</w:t>
      </w:r>
      <w:r>
        <w:t xml:space="preserve">  装配式反力墙宜采用型钢、钢板等组装，组装后的反力墙应有足够的强度和刚度；</w:t>
      </w:r>
    </w:p>
    <w:p>
      <w:pPr>
        <w:ind w:firstLine="482" w:firstLineChars="200"/>
      </w:pPr>
      <w:r>
        <w:rPr>
          <w:b/>
          <w:bCs/>
        </w:rPr>
        <w:t>2</w:t>
      </w:r>
      <w:r>
        <w:t xml:space="preserve">  反力墙土体壁面应平整，并</w:t>
      </w:r>
      <w:r>
        <w:rPr>
          <w:rFonts w:hint="eastAsia"/>
        </w:rPr>
        <w:t>应</w:t>
      </w:r>
      <w:r>
        <w:t>与管道顶进方向垂直；</w:t>
      </w:r>
    </w:p>
    <w:p>
      <w:pPr>
        <w:ind w:firstLine="482" w:firstLineChars="200"/>
      </w:pPr>
      <w:r>
        <w:rPr>
          <w:b/>
          <w:bCs/>
        </w:rPr>
        <w:t>3</w:t>
      </w:r>
      <w:r>
        <w:t xml:space="preserve">  装配式反力墙的底端宜在始发井底下不小于50cm；</w:t>
      </w:r>
    </w:p>
    <w:p>
      <w:pPr>
        <w:ind w:firstLine="482" w:firstLineChars="200"/>
      </w:pPr>
      <w:r>
        <w:rPr>
          <w:b/>
          <w:bCs/>
        </w:rPr>
        <w:t>4</w:t>
      </w:r>
      <w:r>
        <w:t xml:space="preserve">  反力墙完成后应于</w:t>
      </w:r>
      <w:r>
        <w:rPr>
          <w:rFonts w:hint="eastAsia"/>
        </w:rPr>
        <w:t>始发</w:t>
      </w:r>
      <w:r>
        <w:t>井内衬结构贴紧，有间隙时应采用灌注细石混凝土等方式填塞密实；</w:t>
      </w:r>
    </w:p>
    <w:p>
      <w:pPr>
        <w:ind w:firstLine="482" w:firstLineChars="200"/>
      </w:pPr>
      <w:r>
        <w:rPr>
          <w:b/>
          <w:bCs/>
        </w:rPr>
        <w:t>5</w:t>
      </w:r>
      <w:r>
        <w:t xml:space="preserve">  组装反力墙的构件在同层内的规格应一致，各层之间的接触应紧贴，并</w:t>
      </w:r>
      <w:r>
        <w:rPr>
          <w:rFonts w:hint="eastAsia"/>
        </w:rPr>
        <w:t>应</w:t>
      </w:r>
      <w:r>
        <w:t>层层固定。</w:t>
      </w:r>
    </w:p>
    <w:p>
      <w:r>
        <w:rPr>
          <w:b/>
          <w:bCs/>
        </w:rPr>
        <w:t>5.</w:t>
      </w:r>
      <w:r>
        <w:rPr>
          <w:rFonts w:hint="eastAsia"/>
          <w:b/>
          <w:bCs/>
        </w:rPr>
        <w:t>7</w:t>
      </w:r>
      <w:r>
        <w:rPr>
          <w:b/>
          <w:bCs/>
        </w:rPr>
        <w:t>.9</w:t>
      </w:r>
      <w:r>
        <w:t xml:space="preserve">  现场浇筑整体式反力墙抗冲切验算应符合</w:t>
      </w:r>
      <w:bookmarkStart w:id="247" w:name="_Hlk17379249"/>
      <w:r>
        <w:t>现行国家标准《混凝土结构设计规范》GB 5001</w:t>
      </w:r>
      <w:bookmarkEnd w:id="247"/>
      <w:r>
        <w:t>0的有关规定。</w:t>
      </w:r>
    </w:p>
    <w:p>
      <w:r>
        <w:rPr>
          <w:b/>
          <w:bCs/>
        </w:rPr>
        <w:t>5.</w:t>
      </w:r>
      <w:r>
        <w:rPr>
          <w:rFonts w:hint="eastAsia"/>
          <w:b/>
          <w:bCs/>
        </w:rPr>
        <w:t>7</w:t>
      </w:r>
      <w:r>
        <w:rPr>
          <w:b/>
          <w:bCs/>
        </w:rPr>
        <w:t xml:space="preserve">.10  </w:t>
      </w:r>
      <w:r>
        <w:t>洞口临时封堵结构的设计应符合下列规定：</w:t>
      </w:r>
    </w:p>
    <w:p>
      <w:pPr>
        <w:ind w:firstLine="482" w:firstLineChars="200"/>
      </w:pPr>
      <w:r>
        <w:rPr>
          <w:b/>
          <w:bCs/>
        </w:rPr>
        <w:t>1</w:t>
      </w:r>
      <w:r>
        <w:t xml:space="preserve">  临时封堵结构</w:t>
      </w:r>
      <w:r>
        <w:rPr>
          <w:rFonts w:hint="eastAsia"/>
        </w:rPr>
        <w:t>应</w:t>
      </w:r>
      <w:r>
        <w:t>能支承侧向水土压力；</w:t>
      </w:r>
    </w:p>
    <w:p>
      <w:pPr>
        <w:ind w:firstLine="482" w:firstLineChars="200"/>
      </w:pPr>
      <w:r>
        <w:rPr>
          <w:b/>
          <w:bCs/>
        </w:rPr>
        <w:t>2</w:t>
      </w:r>
      <w:r>
        <w:t xml:space="preserve">  临时封堵结构</w:t>
      </w:r>
      <w:r>
        <w:rPr>
          <w:rFonts w:hint="eastAsia"/>
        </w:rPr>
        <w:t>应能</w:t>
      </w:r>
      <w:r>
        <w:t>防止地下水侧向渗漏；</w:t>
      </w:r>
    </w:p>
    <w:p>
      <w:pPr>
        <w:ind w:firstLine="482" w:firstLineChars="200"/>
      </w:pPr>
      <w:r>
        <w:rPr>
          <w:b/>
          <w:bCs/>
        </w:rPr>
        <w:t>3</w:t>
      </w:r>
      <w:r>
        <w:t xml:space="preserve">  进出洞时</w:t>
      </w:r>
      <w:r>
        <w:rPr>
          <w:rFonts w:hint="eastAsia"/>
        </w:rPr>
        <w:t>应</w:t>
      </w:r>
      <w:r>
        <w:t>方便拆除或打开；</w:t>
      </w:r>
    </w:p>
    <w:p>
      <w:pPr>
        <w:ind w:firstLine="482" w:firstLineChars="200"/>
      </w:pPr>
      <w:r>
        <w:rPr>
          <w:b/>
          <w:bCs/>
        </w:rPr>
        <w:t>4</w:t>
      </w:r>
      <w:r>
        <w:t xml:space="preserve">  采用沉井结构时，洞口临时封门可采用钢封门、砖砌封门、钢筋混凝土封门、型钢封门等形式或以上几种</w:t>
      </w:r>
      <w:r>
        <w:rPr>
          <w:rFonts w:hint="eastAsia"/>
        </w:rPr>
        <w:t>形式</w:t>
      </w:r>
      <w:r>
        <w:t>的组合。</w:t>
      </w:r>
    </w:p>
    <w:p>
      <w:r>
        <w:rPr>
          <w:b/>
          <w:bCs/>
        </w:rPr>
        <w:t>5.</w:t>
      </w:r>
      <w:r>
        <w:rPr>
          <w:rFonts w:hint="eastAsia"/>
          <w:b/>
          <w:bCs/>
        </w:rPr>
        <w:t>7</w:t>
      </w:r>
      <w:r>
        <w:rPr>
          <w:b/>
          <w:bCs/>
        </w:rPr>
        <w:t xml:space="preserve">.11  </w:t>
      </w:r>
      <w:r>
        <w:t>洞口土体加固应符合下列规定：</w:t>
      </w:r>
    </w:p>
    <w:p>
      <w:pPr>
        <w:ind w:firstLine="482" w:firstLineChars="200"/>
      </w:pPr>
      <w:r>
        <w:rPr>
          <w:b/>
          <w:bCs/>
        </w:rPr>
        <w:t>1</w:t>
      </w:r>
      <w:r>
        <w:t xml:space="preserve">  土体加固可采用水泥土搅拌桩、高压旋喷桩等形式；</w:t>
      </w:r>
    </w:p>
    <w:p>
      <w:pPr>
        <w:ind w:firstLine="482" w:firstLineChars="200"/>
      </w:pPr>
      <w:r>
        <w:rPr>
          <w:b/>
          <w:bCs/>
        </w:rPr>
        <w:t>2</w:t>
      </w:r>
      <w:r>
        <w:rPr>
          <w:rFonts w:hint="eastAsia"/>
        </w:rPr>
        <w:t xml:space="preserve"> </w:t>
      </w:r>
      <w:r>
        <w:t xml:space="preserve"> 加固的范围应结合工程地质及水文条件、顶管机型、管</w:t>
      </w:r>
      <w:r>
        <w:rPr>
          <w:rFonts w:hint="eastAsia"/>
        </w:rPr>
        <w:t>节</w:t>
      </w:r>
      <w:r>
        <w:t>尺寸、顶管推进方向、坡度、埋深和周围环境等情况确定；</w:t>
      </w:r>
    </w:p>
    <w:p>
      <w:pPr>
        <w:ind w:firstLine="482" w:firstLineChars="200"/>
      </w:pPr>
      <w:r>
        <w:rPr>
          <w:b/>
          <w:bCs/>
        </w:rPr>
        <w:t>3</w:t>
      </w:r>
      <w:r>
        <w:t xml:space="preserve">  应对加固土体整体</w:t>
      </w:r>
      <w:r>
        <w:rPr>
          <w:rFonts w:hint="eastAsia"/>
        </w:rPr>
        <w:t>稳定性、安全性</w:t>
      </w:r>
      <w:r>
        <w:t>进行验算</w:t>
      </w:r>
      <w:r>
        <w:rPr>
          <w:rFonts w:hint="eastAsia"/>
        </w:rPr>
        <w:t>；</w:t>
      </w:r>
    </w:p>
    <w:p>
      <w:pPr>
        <w:ind w:firstLine="482" w:firstLineChars="200"/>
      </w:pPr>
      <w:r>
        <w:rPr>
          <w:b/>
          <w:bCs/>
        </w:rPr>
        <w:t>4</w:t>
      </w:r>
      <w:r>
        <w:t xml:space="preserve">  加固效果应采用钻芯取样的方式进行检验，加固体的无侧限抗压强度不宜</w:t>
      </w:r>
      <w:r>
        <w:rPr>
          <w:rFonts w:hint="eastAsia"/>
        </w:rPr>
        <w:t>小</w:t>
      </w:r>
      <w:r>
        <w:t>于1MPa，渗透系数不宜大于1×10</w:t>
      </w:r>
      <w:r>
        <w:rPr>
          <w:vertAlign w:val="superscript"/>
        </w:rPr>
        <w:t>-6</w:t>
      </w:r>
      <w:r>
        <w:t>cm/s，并应检查加固体的整体性和均匀性；</w:t>
      </w:r>
    </w:p>
    <w:p>
      <w:pPr>
        <w:ind w:firstLine="482" w:firstLineChars="200"/>
      </w:pPr>
      <w:r>
        <w:rPr>
          <w:b/>
          <w:bCs/>
        </w:rPr>
        <w:t>5</w:t>
      </w:r>
      <w:r>
        <w:t xml:space="preserve">  始发、接收前应在洞门上</w:t>
      </w:r>
      <w:r>
        <w:rPr>
          <w:rFonts w:hint="eastAsia"/>
        </w:rPr>
        <w:t>钻</w:t>
      </w:r>
      <w:r>
        <w:t>打</w:t>
      </w:r>
      <w:r>
        <w:rPr>
          <w:rFonts w:hint="eastAsia"/>
        </w:rPr>
        <w:t>探明土体加固效果的探测孔</w:t>
      </w:r>
      <w:r>
        <w:t>；</w:t>
      </w:r>
    </w:p>
    <w:p>
      <w:r>
        <w:rPr>
          <w:b/>
          <w:bCs/>
        </w:rPr>
        <w:t>5.</w:t>
      </w:r>
      <w:r>
        <w:rPr>
          <w:rFonts w:hint="eastAsia"/>
          <w:b/>
          <w:bCs/>
        </w:rPr>
        <w:t>7</w:t>
      </w:r>
      <w:r>
        <w:rPr>
          <w:b/>
          <w:bCs/>
        </w:rPr>
        <w:t xml:space="preserve">.12 </w:t>
      </w:r>
      <w:r>
        <w:t xml:space="preserve"> </w:t>
      </w:r>
      <w:r>
        <w:rPr>
          <w:rFonts w:hint="eastAsia"/>
        </w:rPr>
        <w:t>反力墙后方土体加固</w:t>
      </w:r>
      <w:r>
        <w:t>应满足顶进</w:t>
      </w:r>
      <w:r>
        <w:rPr>
          <w:rFonts w:hint="eastAsia"/>
        </w:rPr>
        <w:t>过程中最大</w:t>
      </w:r>
      <w:r>
        <w:t>顶力的要求</w:t>
      </w:r>
      <w:r>
        <w:rPr>
          <w:rFonts w:hint="eastAsia"/>
        </w:rPr>
        <w:t>。</w:t>
      </w:r>
    </w:p>
    <w:p>
      <w:r>
        <w:rPr>
          <w:b/>
          <w:bCs/>
        </w:rPr>
        <w:t>5.</w:t>
      </w:r>
      <w:r>
        <w:rPr>
          <w:rFonts w:hint="eastAsia"/>
          <w:b/>
          <w:bCs/>
        </w:rPr>
        <w:t>7</w:t>
      </w:r>
      <w:r>
        <w:rPr>
          <w:b/>
          <w:bCs/>
        </w:rPr>
        <w:t>.13</w:t>
      </w:r>
      <w:r>
        <w:t xml:space="preserve">  洞口止水装置设计应符合下列规定：</w:t>
      </w:r>
    </w:p>
    <w:p>
      <w:pPr>
        <w:ind w:firstLine="482" w:firstLineChars="200"/>
      </w:pPr>
      <w:r>
        <w:rPr>
          <w:b/>
          <w:bCs/>
        </w:rPr>
        <w:t>1</w:t>
      </w:r>
      <w:r>
        <w:t xml:space="preserve">  应结合工作井的具体条件、地层特点确定止水装置构造形式；</w:t>
      </w:r>
    </w:p>
    <w:p>
      <w:pPr>
        <w:ind w:firstLine="482" w:firstLineChars="200"/>
      </w:pPr>
      <w:r>
        <w:rPr>
          <w:b/>
          <w:bCs/>
        </w:rPr>
        <w:t>2</w:t>
      </w:r>
      <w:r>
        <w:t xml:space="preserve">  始发</w:t>
      </w:r>
      <w:r>
        <w:rPr>
          <w:rFonts w:hint="eastAsia"/>
        </w:rPr>
        <w:t>井</w:t>
      </w:r>
      <w:r>
        <w:t>可根据埋深采用橡胶法兰、帘布橡胶板、气囊、钢丝刷并压注油脂等措施。</w:t>
      </w:r>
    </w:p>
    <w:p>
      <w:pPr>
        <w:ind w:firstLine="482" w:firstLineChars="200"/>
      </w:pPr>
      <w:r>
        <w:rPr>
          <w:b/>
          <w:bCs/>
        </w:rPr>
        <w:t>3</w:t>
      </w:r>
      <w:r>
        <w:t xml:space="preserve">  接收井可采用加固洞口土体的方式进行止水。</w:t>
      </w:r>
    </w:p>
    <w:p>
      <w:r>
        <w:rPr>
          <w:b/>
          <w:bCs/>
        </w:rPr>
        <w:t>5.</w:t>
      </w:r>
      <w:r>
        <w:rPr>
          <w:rFonts w:hint="eastAsia"/>
          <w:b/>
          <w:bCs/>
        </w:rPr>
        <w:t>7</w:t>
      </w:r>
      <w:r>
        <w:rPr>
          <w:b/>
          <w:bCs/>
        </w:rPr>
        <w:t xml:space="preserve">.14  </w:t>
      </w:r>
      <w:r>
        <w:t>顶管始发井的预留洞口应安装帘布橡胶板密封，不得有漏泥、漏水现象，并</w:t>
      </w:r>
      <w:r>
        <w:rPr>
          <w:rFonts w:hint="eastAsia"/>
        </w:rPr>
        <w:t>宜</w:t>
      </w:r>
      <w:r>
        <w:t>采用可调节的钢压板作后靠（图5.</w:t>
      </w:r>
      <w:r>
        <w:rPr>
          <w:rFonts w:hint="eastAsia"/>
        </w:rPr>
        <w:t>7</w:t>
      </w:r>
      <w:r>
        <w:t>.14-1）。当覆土深度超过10m且地层为透水层时，应设置井壁预埋钢环，宜采用双层止水橡胶板（</w:t>
      </w:r>
      <w:r>
        <w:rPr>
          <w:bCs/>
        </w:rPr>
        <w:t>图5.</w:t>
      </w:r>
      <w:r>
        <w:rPr>
          <w:rFonts w:hint="eastAsia"/>
          <w:bCs/>
        </w:rPr>
        <w:t>7</w:t>
      </w:r>
      <w:r>
        <w:rPr>
          <w:bCs/>
        </w:rPr>
        <w:t>.14-2）</w:t>
      </w:r>
      <w:r>
        <w:t>。</w:t>
      </w:r>
      <w:r>
        <w:rPr>
          <w:rFonts w:hint="eastAsia"/>
        </w:rPr>
        <w:t>在强透水层</w:t>
      </w:r>
      <w:r>
        <w:t>中当覆土深度超过15m时宜增加钢丝刷止水装置（</w:t>
      </w:r>
      <w:r>
        <w:rPr>
          <w:bCs/>
        </w:rPr>
        <w:t>图5.</w:t>
      </w:r>
      <w:r>
        <w:rPr>
          <w:rFonts w:hint="eastAsia"/>
          <w:bCs/>
        </w:rPr>
        <w:t>7</w:t>
      </w:r>
      <w:r>
        <w:rPr>
          <w:bCs/>
        </w:rPr>
        <w:t>.14-3）</w:t>
      </w:r>
      <w:r>
        <w:t>。</w:t>
      </w:r>
    </w:p>
    <w:p>
      <w:pPr>
        <w:jc w:val="center"/>
      </w:pPr>
      <w:r>
        <w:drawing>
          <wp:inline distT="0" distB="0" distL="0" distR="0">
            <wp:extent cx="2411730" cy="1836420"/>
            <wp:effectExtent l="0" t="0" r="7620"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9"/>
                    <a:stretch>
                      <a:fillRect/>
                    </a:stretch>
                  </pic:blipFill>
                  <pic:spPr>
                    <a:xfrm>
                      <a:off x="0" y="0"/>
                      <a:ext cx="2411730" cy="1836420"/>
                    </a:xfrm>
                    <a:prstGeom prst="rect">
                      <a:avLst/>
                    </a:prstGeom>
                  </pic:spPr>
                </pic:pic>
              </a:graphicData>
            </a:graphic>
          </wp:inline>
        </w:drawing>
      </w:r>
    </w:p>
    <w:p>
      <w:pPr>
        <w:jc w:val="center"/>
        <w:rPr>
          <w:b/>
          <w:sz w:val="21"/>
          <w:szCs w:val="18"/>
        </w:rPr>
      </w:pPr>
      <w:r>
        <w:rPr>
          <w:b/>
          <w:sz w:val="21"/>
          <w:szCs w:val="18"/>
        </w:rPr>
        <w:t>图5.</w:t>
      </w:r>
      <w:r>
        <w:rPr>
          <w:rFonts w:hint="eastAsia"/>
          <w:b/>
          <w:sz w:val="21"/>
          <w:szCs w:val="18"/>
        </w:rPr>
        <w:t>7</w:t>
      </w:r>
      <w:r>
        <w:rPr>
          <w:b/>
          <w:sz w:val="21"/>
          <w:szCs w:val="18"/>
        </w:rPr>
        <w:t>.14-1  止水装置示意图</w:t>
      </w:r>
    </w:p>
    <w:p>
      <w:pPr>
        <w:spacing w:line="240" w:lineRule="auto"/>
        <w:jc w:val="center"/>
        <w:rPr>
          <w:sz w:val="18"/>
        </w:rPr>
      </w:pPr>
      <w:r>
        <w:rPr>
          <w:sz w:val="18"/>
        </w:rPr>
        <w:t>1—围护结构；2—井内衬墙；3—预埋洞口钢环；4—止水橡胶帘布；5—压板；</w:t>
      </w:r>
    </w:p>
    <w:p>
      <w:pPr>
        <w:spacing w:line="240" w:lineRule="auto"/>
        <w:jc w:val="center"/>
        <w:rPr>
          <w:sz w:val="18"/>
        </w:rPr>
      </w:pPr>
      <w:r>
        <w:rPr>
          <w:sz w:val="18"/>
        </w:rPr>
        <w:t>6—固定螺栓；7—翻板；8—2寸管（有压土需要时选用）</w:t>
      </w:r>
    </w:p>
    <w:p>
      <w:pPr>
        <w:jc w:val="center"/>
      </w:pPr>
      <w:r>
        <w:drawing>
          <wp:inline distT="0" distB="0" distL="0" distR="0">
            <wp:extent cx="2401570" cy="1864360"/>
            <wp:effectExtent l="0" t="0" r="1778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0"/>
                    <a:stretch>
                      <a:fillRect/>
                    </a:stretch>
                  </pic:blipFill>
                  <pic:spPr>
                    <a:xfrm>
                      <a:off x="0" y="0"/>
                      <a:ext cx="2401570" cy="1864360"/>
                    </a:xfrm>
                    <a:prstGeom prst="rect">
                      <a:avLst/>
                    </a:prstGeom>
                  </pic:spPr>
                </pic:pic>
              </a:graphicData>
            </a:graphic>
          </wp:inline>
        </w:drawing>
      </w:r>
    </w:p>
    <w:p>
      <w:pPr>
        <w:ind w:firstLine="422" w:firstLineChars="200"/>
        <w:jc w:val="center"/>
        <w:rPr>
          <w:b/>
          <w:bCs/>
          <w:sz w:val="21"/>
          <w:szCs w:val="18"/>
        </w:rPr>
      </w:pPr>
      <w:r>
        <w:rPr>
          <w:b/>
          <w:sz w:val="21"/>
          <w:szCs w:val="18"/>
        </w:rPr>
        <w:t>图5.</w:t>
      </w:r>
      <w:r>
        <w:rPr>
          <w:rFonts w:hint="eastAsia"/>
          <w:b/>
          <w:sz w:val="21"/>
          <w:szCs w:val="18"/>
        </w:rPr>
        <w:t>7</w:t>
      </w:r>
      <w:r>
        <w:rPr>
          <w:b/>
          <w:sz w:val="21"/>
          <w:szCs w:val="18"/>
        </w:rPr>
        <w:t>.14-2</w:t>
      </w:r>
      <w:r>
        <w:rPr>
          <w:b/>
          <w:bCs/>
          <w:sz w:val="21"/>
          <w:szCs w:val="18"/>
        </w:rPr>
        <w:t xml:space="preserve">  洞口双道橡胶止水装置细部构造示意图</w:t>
      </w:r>
    </w:p>
    <w:p>
      <w:pPr>
        <w:spacing w:line="240" w:lineRule="auto"/>
        <w:jc w:val="center"/>
        <w:rPr>
          <w:sz w:val="18"/>
        </w:rPr>
      </w:pPr>
      <w:r>
        <w:rPr>
          <w:sz w:val="18"/>
        </w:rPr>
        <w:t>1—井壁侧墙；2—锚固钢筋；3—止水橡胶帘布；4—压板；5—翻板；</w:t>
      </w:r>
    </w:p>
    <w:p>
      <w:pPr>
        <w:spacing w:line="240" w:lineRule="auto"/>
        <w:jc w:val="center"/>
        <w:rPr>
          <w:b/>
          <w:bCs/>
          <w:sz w:val="18"/>
        </w:rPr>
      </w:pPr>
      <w:r>
        <w:rPr>
          <w:sz w:val="18"/>
        </w:rPr>
        <w:t>6—中间止水钢环；7—固定螺栓；8—预埋洞口钢环</w:t>
      </w:r>
    </w:p>
    <w:p>
      <w:pPr>
        <w:jc w:val="center"/>
        <w:rPr>
          <w:b/>
          <w:bCs/>
          <w:sz w:val="21"/>
          <w:szCs w:val="18"/>
        </w:rPr>
      </w:pPr>
      <w:r>
        <w:drawing>
          <wp:inline distT="0" distB="0" distL="0" distR="0">
            <wp:extent cx="2168525" cy="2110105"/>
            <wp:effectExtent l="0" t="0" r="317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1"/>
                    <a:stretch>
                      <a:fillRect/>
                    </a:stretch>
                  </pic:blipFill>
                  <pic:spPr>
                    <a:xfrm>
                      <a:off x="0" y="0"/>
                      <a:ext cx="2168525" cy="2110105"/>
                    </a:xfrm>
                    <a:prstGeom prst="rect">
                      <a:avLst/>
                    </a:prstGeom>
                  </pic:spPr>
                </pic:pic>
              </a:graphicData>
            </a:graphic>
          </wp:inline>
        </w:drawing>
      </w:r>
    </w:p>
    <w:p>
      <w:pPr>
        <w:spacing w:line="240" w:lineRule="auto"/>
        <w:jc w:val="center"/>
        <w:rPr>
          <w:b/>
          <w:bCs/>
          <w:sz w:val="21"/>
          <w:szCs w:val="18"/>
        </w:rPr>
      </w:pPr>
      <w:r>
        <w:rPr>
          <w:b/>
          <w:bCs/>
          <w:sz w:val="21"/>
          <w:szCs w:val="18"/>
        </w:rPr>
        <w:t>图5.</w:t>
      </w:r>
      <w:r>
        <w:rPr>
          <w:rFonts w:hint="eastAsia"/>
          <w:b/>
          <w:bCs/>
          <w:sz w:val="21"/>
          <w:szCs w:val="18"/>
        </w:rPr>
        <w:t>7</w:t>
      </w:r>
      <w:r>
        <w:rPr>
          <w:b/>
          <w:bCs/>
          <w:sz w:val="21"/>
          <w:szCs w:val="18"/>
        </w:rPr>
        <w:t>.14-3  带有注浆的洞口双道橡胶止水装置细部构造示意图</w:t>
      </w:r>
    </w:p>
    <w:p>
      <w:pPr>
        <w:jc w:val="center"/>
      </w:pPr>
      <w:r>
        <w:rPr>
          <w:sz w:val="18"/>
        </w:rPr>
        <w:t>1—内衬墙；2—密封</w:t>
      </w:r>
      <w:r>
        <w:rPr>
          <w:rFonts w:hint="eastAsia"/>
          <w:sz w:val="18"/>
        </w:rPr>
        <w:t>油脂</w:t>
      </w:r>
      <w:r>
        <w:rPr>
          <w:sz w:val="18"/>
        </w:rPr>
        <w:t>管路；3—洞口防水门帘；4—钢丝刷</w:t>
      </w:r>
    </w:p>
    <w:p>
      <w:pPr>
        <w:rPr>
          <w:rFonts w:eastAsia="华文仿宋"/>
        </w:rPr>
        <w:sectPr>
          <w:pgSz w:w="11906" w:h="16838"/>
          <w:pgMar w:top="1440" w:right="1800" w:bottom="1440" w:left="1800" w:header="851" w:footer="992" w:gutter="0"/>
          <w:cols w:space="425" w:num="1"/>
          <w:docGrid w:type="lines" w:linePitch="312" w:charSpace="0"/>
        </w:sectPr>
      </w:pPr>
    </w:p>
    <w:p>
      <w:pPr>
        <w:keepNext/>
        <w:keepLines/>
        <w:jc w:val="center"/>
        <w:outlineLvl w:val="0"/>
        <w:rPr>
          <w:b/>
          <w:bCs/>
          <w:kern w:val="44"/>
          <w:sz w:val="32"/>
          <w:szCs w:val="44"/>
        </w:rPr>
      </w:pPr>
      <w:bookmarkStart w:id="248" w:name="_Toc9698"/>
      <w:bookmarkStart w:id="249" w:name="_Toc15621"/>
      <w:bookmarkStart w:id="250" w:name="_Toc19466"/>
      <w:bookmarkStart w:id="251" w:name="_Toc9940"/>
      <w:bookmarkStart w:id="252" w:name="_Toc3433"/>
      <w:bookmarkStart w:id="253" w:name="_Toc5981"/>
      <w:bookmarkStart w:id="254" w:name="_Toc27409"/>
      <w:r>
        <w:rPr>
          <w:b/>
          <w:bCs/>
          <w:kern w:val="44"/>
          <w:sz w:val="32"/>
          <w:szCs w:val="44"/>
        </w:rPr>
        <w:fldChar w:fldCharType="begin"/>
      </w:r>
      <w:r>
        <w:rPr>
          <w:b/>
          <w:bCs/>
          <w:kern w:val="44"/>
          <w:sz w:val="32"/>
          <w:szCs w:val="44"/>
        </w:rPr>
        <w:instrText xml:space="preserve"> HYPERLINK \l "_Toc9712" </w:instrText>
      </w:r>
      <w:r>
        <w:rPr>
          <w:b/>
          <w:bCs/>
          <w:kern w:val="44"/>
          <w:sz w:val="32"/>
          <w:szCs w:val="44"/>
        </w:rPr>
        <w:fldChar w:fldCharType="separate"/>
      </w:r>
      <w:bookmarkStart w:id="255" w:name="_Toc60173789"/>
      <w:bookmarkStart w:id="256" w:name="_Toc47692161"/>
      <w:bookmarkStart w:id="257" w:name="_Toc60172902"/>
      <w:bookmarkStart w:id="258" w:name="_Toc18057043"/>
      <w:r>
        <w:rPr>
          <w:b/>
          <w:bCs/>
          <w:kern w:val="44"/>
          <w:sz w:val="32"/>
          <w:szCs w:val="44"/>
        </w:rPr>
        <w:t>6  管节</w:t>
      </w:r>
      <w:r>
        <w:rPr>
          <w:b/>
          <w:bCs/>
          <w:kern w:val="44"/>
          <w:sz w:val="32"/>
          <w:szCs w:val="44"/>
        </w:rPr>
        <w:fldChar w:fldCharType="end"/>
      </w:r>
      <w:r>
        <w:rPr>
          <w:b/>
          <w:bCs/>
          <w:kern w:val="44"/>
          <w:sz w:val="32"/>
          <w:szCs w:val="44"/>
        </w:rPr>
        <w:t>制作</w:t>
      </w:r>
      <w:bookmarkEnd w:id="248"/>
      <w:bookmarkEnd w:id="249"/>
      <w:bookmarkEnd w:id="250"/>
      <w:bookmarkEnd w:id="251"/>
      <w:bookmarkEnd w:id="252"/>
      <w:bookmarkEnd w:id="253"/>
      <w:bookmarkEnd w:id="254"/>
      <w:bookmarkEnd w:id="255"/>
      <w:bookmarkEnd w:id="256"/>
      <w:bookmarkEnd w:id="257"/>
      <w:bookmarkEnd w:id="258"/>
    </w:p>
    <w:p>
      <w:pPr>
        <w:keepNext/>
        <w:keepLines/>
        <w:jc w:val="center"/>
        <w:outlineLvl w:val="1"/>
        <w:rPr>
          <w:rFonts w:eastAsia="黑体"/>
          <w:bCs/>
          <w:sz w:val="28"/>
          <w:szCs w:val="32"/>
        </w:rPr>
      </w:pPr>
      <w:bookmarkStart w:id="259" w:name="_Toc1711"/>
      <w:bookmarkStart w:id="260" w:name="_Toc25005"/>
      <w:bookmarkStart w:id="261" w:name="_Toc28257"/>
      <w:bookmarkStart w:id="262" w:name="_Toc1900"/>
      <w:bookmarkStart w:id="263" w:name="_Toc24444"/>
      <w:bookmarkStart w:id="264" w:name="_Toc8003"/>
      <w:bookmarkStart w:id="265" w:name="_Toc6350"/>
      <w:r>
        <w:rPr>
          <w:rFonts w:eastAsia="黑体"/>
          <w:bCs/>
          <w:sz w:val="28"/>
          <w:szCs w:val="32"/>
        </w:rPr>
        <w:fldChar w:fldCharType="begin"/>
      </w:r>
      <w:r>
        <w:rPr>
          <w:rFonts w:eastAsia="黑体"/>
          <w:bCs/>
          <w:sz w:val="28"/>
          <w:szCs w:val="32"/>
        </w:rPr>
        <w:instrText xml:space="preserve"> HYPERLINK "file:///C:\\Users\\xy155\\Desktop\\矩形顶管工程技术规程2019.3.22.docx" \l "_Toc23090" </w:instrText>
      </w:r>
      <w:r>
        <w:rPr>
          <w:rFonts w:eastAsia="黑体"/>
          <w:bCs/>
          <w:sz w:val="28"/>
          <w:szCs w:val="32"/>
        </w:rPr>
        <w:fldChar w:fldCharType="separate"/>
      </w:r>
      <w:bookmarkStart w:id="266" w:name="_Toc60172903"/>
      <w:bookmarkStart w:id="267" w:name="_Toc60173790"/>
      <w:bookmarkStart w:id="268" w:name="_Toc47692162"/>
      <w:bookmarkStart w:id="269" w:name="_Toc18057044"/>
      <w:r>
        <w:rPr>
          <w:rFonts w:eastAsia="黑体"/>
          <w:b/>
          <w:bCs/>
          <w:sz w:val="28"/>
          <w:szCs w:val="32"/>
        </w:rPr>
        <w:t>6.1</w:t>
      </w:r>
      <w:r>
        <w:rPr>
          <w:rFonts w:eastAsia="黑体"/>
          <w:bCs/>
          <w:sz w:val="28"/>
          <w:szCs w:val="32"/>
        </w:rPr>
        <w:t xml:space="preserve">  一般规定</w:t>
      </w:r>
      <w:bookmarkEnd w:id="266"/>
      <w:bookmarkEnd w:id="267"/>
      <w:bookmarkEnd w:id="268"/>
      <w:bookmarkEnd w:id="269"/>
      <w:r>
        <w:rPr>
          <w:rFonts w:eastAsia="黑体"/>
          <w:bCs/>
          <w:sz w:val="28"/>
          <w:szCs w:val="32"/>
        </w:rPr>
        <w:fldChar w:fldCharType="end"/>
      </w:r>
      <w:bookmarkEnd w:id="259"/>
      <w:bookmarkEnd w:id="260"/>
      <w:bookmarkEnd w:id="261"/>
      <w:bookmarkEnd w:id="262"/>
      <w:bookmarkEnd w:id="263"/>
      <w:bookmarkEnd w:id="264"/>
      <w:bookmarkEnd w:id="265"/>
    </w:p>
    <w:p>
      <w:pPr>
        <w:rPr>
          <w:b/>
        </w:rPr>
      </w:pPr>
      <w:r>
        <w:rPr>
          <w:b/>
          <w:bCs/>
        </w:rPr>
        <w:t>6.1.1</w:t>
      </w:r>
      <w:r>
        <w:t xml:space="preserve">  管节投入生产前应对生产厂家进行技术交底。技术交底应包括下列内容：</w:t>
      </w:r>
    </w:p>
    <w:p>
      <w:pPr>
        <w:ind w:firstLine="482" w:firstLineChars="200"/>
      </w:pPr>
      <w:r>
        <w:rPr>
          <w:b/>
          <w:bCs/>
        </w:rPr>
        <w:t>1</w:t>
      </w:r>
      <w:r>
        <w:t xml:space="preserve">  设计规定的钢筋规格、数量、间距、分布与钢筋之间搭接长度、连接方式、钢筋保护层厚度、插口端和钢承口端钢环的材质和尺寸等；</w:t>
      </w:r>
    </w:p>
    <w:p>
      <w:pPr>
        <w:ind w:firstLine="482" w:firstLineChars="200"/>
      </w:pPr>
      <w:r>
        <w:rPr>
          <w:b/>
          <w:bCs/>
        </w:rPr>
        <w:t>2</w:t>
      </w:r>
      <w:r>
        <w:t xml:space="preserve">  各类预埋件尺寸、预埋方式、数量、与管节本体内钢筋连接等；</w:t>
      </w:r>
    </w:p>
    <w:p>
      <w:pPr>
        <w:ind w:firstLine="482" w:firstLineChars="200"/>
      </w:pPr>
      <w:r>
        <w:rPr>
          <w:b/>
          <w:bCs/>
        </w:rPr>
        <w:t>3</w:t>
      </w:r>
      <w:r>
        <w:t xml:space="preserve">  吊装孔、注浆孔、压浆孔及接驳器的定制尺寸、固定方式等；</w:t>
      </w:r>
    </w:p>
    <w:p>
      <w:pPr>
        <w:ind w:firstLine="482" w:firstLineChars="200"/>
      </w:pPr>
      <w:r>
        <w:rPr>
          <w:b/>
          <w:bCs/>
        </w:rPr>
        <w:t>4</w:t>
      </w:r>
      <w:r>
        <w:t xml:space="preserve">  混凝土的强度等级、</w:t>
      </w:r>
      <w:r>
        <w:rPr>
          <w:rFonts w:hint="eastAsia"/>
        </w:rPr>
        <w:t>抗渗要求、</w:t>
      </w:r>
      <w:r>
        <w:t>管节成型方式以及养护等工艺要求；</w:t>
      </w:r>
    </w:p>
    <w:p>
      <w:pPr>
        <w:ind w:firstLine="482" w:firstLineChars="200"/>
      </w:pPr>
      <w:r>
        <w:rPr>
          <w:b/>
          <w:bCs/>
        </w:rPr>
        <w:t>5</w:t>
      </w:r>
      <w:r>
        <w:t xml:space="preserve">  管节的后期养护与防护</w:t>
      </w:r>
      <w:r>
        <w:rPr>
          <w:rFonts w:hint="eastAsia"/>
        </w:rPr>
        <w:t>、运输保护</w:t>
      </w:r>
      <w:r>
        <w:t>等。</w:t>
      </w:r>
    </w:p>
    <w:p>
      <w:r>
        <w:rPr>
          <w:b/>
          <w:bCs/>
        </w:rPr>
        <w:t xml:space="preserve">6.1.2  </w:t>
      </w:r>
      <w:r>
        <w:t>每套新模具应进行不少于3节管节的生产试制，管节检验合格后方可批量生产。</w:t>
      </w:r>
    </w:p>
    <w:p>
      <w:r>
        <w:rPr>
          <w:b/>
          <w:bCs/>
        </w:rPr>
        <w:t xml:space="preserve">6.1.3  </w:t>
      </w:r>
      <w:r>
        <w:t>管节出厂前应对合格的管节进行标识，标识内容应包括生产企业名称、产品商标、产品标志、产品生产日期以及检验合格标识等。</w:t>
      </w:r>
    </w:p>
    <w:p/>
    <w:p>
      <w:pPr>
        <w:keepNext/>
        <w:keepLines/>
        <w:jc w:val="center"/>
        <w:outlineLvl w:val="1"/>
        <w:rPr>
          <w:rFonts w:eastAsia="黑体"/>
          <w:bCs/>
          <w:sz w:val="28"/>
          <w:szCs w:val="32"/>
        </w:rPr>
      </w:pPr>
      <w:bookmarkStart w:id="270" w:name="_Toc8495"/>
      <w:bookmarkStart w:id="271" w:name="_Toc13338"/>
      <w:bookmarkStart w:id="272" w:name="_Toc20735"/>
      <w:bookmarkStart w:id="273" w:name="_Toc25310"/>
      <w:bookmarkStart w:id="274" w:name="_Toc18158"/>
      <w:r>
        <w:rPr>
          <w:rFonts w:eastAsia="黑体"/>
          <w:bCs/>
          <w:sz w:val="28"/>
          <w:szCs w:val="32"/>
        </w:rPr>
        <w:fldChar w:fldCharType="begin"/>
      </w:r>
      <w:r>
        <w:rPr>
          <w:rFonts w:eastAsia="黑体"/>
          <w:bCs/>
          <w:sz w:val="28"/>
          <w:szCs w:val="32"/>
        </w:rPr>
        <w:instrText xml:space="preserve"> HYPERLINK "file:///C:\\Users\\xy155\\Desktop\\矩形顶管工程技术规程2019.3.22.docx" \l "_Toc13214" </w:instrText>
      </w:r>
      <w:r>
        <w:rPr>
          <w:rFonts w:eastAsia="黑体"/>
          <w:bCs/>
          <w:sz w:val="28"/>
          <w:szCs w:val="32"/>
        </w:rPr>
        <w:fldChar w:fldCharType="separate"/>
      </w:r>
      <w:bookmarkStart w:id="275" w:name="_Toc60172904"/>
      <w:bookmarkStart w:id="276" w:name="_Toc47692163"/>
      <w:bookmarkStart w:id="277" w:name="_Toc60173791"/>
      <w:r>
        <w:rPr>
          <w:rFonts w:eastAsia="黑体"/>
          <w:b/>
          <w:bCs/>
          <w:sz w:val="28"/>
          <w:szCs w:val="32"/>
        </w:rPr>
        <w:t>6.2</w:t>
      </w:r>
      <w:r>
        <w:rPr>
          <w:rFonts w:eastAsia="黑体"/>
          <w:bCs/>
          <w:sz w:val="28"/>
          <w:szCs w:val="32"/>
        </w:rPr>
        <w:t xml:space="preserve">  材料</w:t>
      </w:r>
      <w:r>
        <w:rPr>
          <w:rFonts w:eastAsia="黑体"/>
          <w:bCs/>
          <w:sz w:val="28"/>
          <w:szCs w:val="32"/>
        </w:rPr>
        <w:fldChar w:fldCharType="end"/>
      </w:r>
      <w:r>
        <w:rPr>
          <w:rFonts w:eastAsia="黑体"/>
          <w:bCs/>
          <w:sz w:val="28"/>
          <w:szCs w:val="32"/>
        </w:rPr>
        <w:t>性能</w:t>
      </w:r>
      <w:bookmarkEnd w:id="270"/>
      <w:bookmarkEnd w:id="271"/>
      <w:bookmarkEnd w:id="272"/>
      <w:bookmarkEnd w:id="273"/>
      <w:bookmarkEnd w:id="274"/>
      <w:bookmarkEnd w:id="275"/>
      <w:bookmarkEnd w:id="276"/>
      <w:bookmarkEnd w:id="277"/>
    </w:p>
    <w:p>
      <w:r>
        <w:rPr>
          <w:b/>
        </w:rPr>
        <w:t>6.2.1</w:t>
      </w:r>
      <w:r>
        <w:t xml:space="preserve">  钢筋混凝土管节制作质量应符合现行国家标准《混凝土和钢筋混凝土排水管》GB/T 11836的有关规定，管节及接口的尺寸精度和抗渗性能应满足设计要求。</w:t>
      </w:r>
    </w:p>
    <w:p>
      <w:r>
        <w:rPr>
          <w:b/>
        </w:rPr>
        <w:t xml:space="preserve">6.2.2  </w:t>
      </w:r>
      <w:r>
        <w:t>管节水泥宜采用强度等级不低于42.5</w:t>
      </w:r>
      <w:r>
        <w:rPr>
          <w:rFonts w:hint="eastAsia"/>
        </w:rPr>
        <w:t>级</w:t>
      </w:r>
      <w:r>
        <w:t>的硅酸盐水泥，水泥性能应符合现行国家标准《通用硅酸盐水泥》GB 175、《抗硫酸盐硅酸盐水泥》GB 748与《硫铝酸盐水泥》GB 20472的有关规定。不同厂商、不同品种和不同等级的水泥不得混用。</w:t>
      </w:r>
    </w:p>
    <w:p>
      <w:r>
        <w:rPr>
          <w:b/>
          <w:bCs/>
        </w:rPr>
        <w:t>6.2.3</w:t>
      </w:r>
      <w:r>
        <w:t xml:space="preserve">  管节细骨料宜采用中</w:t>
      </w:r>
      <w:r>
        <w:rPr>
          <w:rFonts w:hint="eastAsia"/>
        </w:rPr>
        <w:t>粗砂</w:t>
      </w:r>
      <w:r>
        <w:t>，细度模数宜为2.3～3.3，含泥量不宜大于2%，骨料性能应符合现行国家标准《建设用砂》GB/T 14684的有关规定。</w:t>
      </w:r>
    </w:p>
    <w:p>
      <w:r>
        <w:rPr>
          <w:b/>
          <w:bCs/>
        </w:rPr>
        <w:t>6.2.4</w:t>
      </w:r>
      <w:r>
        <w:t xml:space="preserve">  管节粗骨料宜采用碎石或卵石，粗骨料最大粒径不宜大于31.5mm，且不应大于钢筋净间距的3/4，含泥量不宜大于1%，骨料性能应符合现行国家标准《建设用碎石、卵石》GB/T 14685的有关规定。</w:t>
      </w:r>
    </w:p>
    <w:p>
      <w:r>
        <w:rPr>
          <w:b/>
          <w:bCs/>
        </w:rPr>
        <w:t>6.2.5</w:t>
      </w:r>
      <w:r>
        <w:t xml:space="preserve">  管节混凝土可掺加外加剂或掺合料，不得使用氯盐类外加剂或其他对钢筋有腐蚀作用的外加剂，且掺加外加剂应符合现行国家标准《混凝土外加剂》GB 8076的有关规定。</w:t>
      </w:r>
    </w:p>
    <w:p>
      <w:pPr>
        <w:rPr>
          <w:b/>
        </w:rPr>
      </w:pPr>
      <w:r>
        <w:rPr>
          <w:b/>
          <w:bCs/>
        </w:rPr>
        <w:t>6.2.6</w:t>
      </w:r>
      <w:r>
        <w:t xml:space="preserve">  管节混凝土用掺合料应符合下列规定：</w:t>
      </w:r>
    </w:p>
    <w:p>
      <w:pPr>
        <w:ind w:firstLine="482" w:firstLineChars="200"/>
      </w:pPr>
      <w:r>
        <w:rPr>
          <w:b/>
          <w:bCs/>
        </w:rPr>
        <w:t>1</w:t>
      </w:r>
      <w:r>
        <w:t xml:space="preserve">  粉煤灰应符合现行国家标准《用于水泥和混凝土中的粉煤灰》GB/T 1596与《粉煤灰混凝土应用技术规范》GB/T 50146的有关规定；</w:t>
      </w:r>
    </w:p>
    <w:p>
      <w:pPr>
        <w:ind w:firstLine="482" w:firstLineChars="200"/>
      </w:pPr>
      <w:r>
        <w:rPr>
          <w:b/>
          <w:bCs/>
        </w:rPr>
        <w:t>2</w:t>
      </w:r>
      <w:r>
        <w:t xml:space="preserve">  矿渣粉的技术等级不应低于S95，并应符合现行国家标准《用于水泥、砂浆和混凝土中的粒化高炉矿渣粉》GBT 18046的有关规定；</w:t>
      </w:r>
    </w:p>
    <w:p>
      <w:pPr>
        <w:ind w:firstLine="482" w:firstLineChars="200"/>
      </w:pPr>
      <w:r>
        <w:rPr>
          <w:b/>
          <w:bCs/>
        </w:rPr>
        <w:t>3</w:t>
      </w:r>
      <w:r>
        <w:t xml:space="preserve">  采用其他掺合料不得对产品产生有害影响，使用前应进行试验验证。</w:t>
      </w:r>
    </w:p>
    <w:p>
      <w:r>
        <w:rPr>
          <w:b/>
          <w:bCs/>
        </w:rPr>
        <w:t>6.2.7</w:t>
      </w:r>
      <w:r>
        <w:t xml:space="preserve">  管节混凝土拌合用水应符合现行行业标准《混凝土用水标准》JGJ 63的有关规定。</w:t>
      </w:r>
    </w:p>
    <w:p>
      <w:r>
        <w:rPr>
          <w:b/>
          <w:bCs/>
        </w:rPr>
        <w:t>6.2.8</w:t>
      </w:r>
      <w:r>
        <w:t xml:space="preserve">  管节接头采用弹性橡胶密封圈防水时，宜采用氯丁橡胶、三元乙丙橡胶。弹性橡胶密封圈的硬度、拉伸强度、拉断伸长率、压缩永久变形等性能指标，应</w:t>
      </w:r>
      <w:r>
        <w:rPr>
          <w:rFonts w:hint="eastAsia"/>
        </w:rPr>
        <w:t>符合</w:t>
      </w:r>
      <w:r>
        <w:t>设计</w:t>
      </w:r>
      <w:r>
        <w:rPr>
          <w:rFonts w:hint="eastAsia"/>
        </w:rPr>
        <w:t>文件</w:t>
      </w:r>
      <w:r>
        <w:t>和现行国家标准《橡胶密封件给、排水管及污水管道用接口密封圈  材料规范》GB/T 21873的有关规定</w:t>
      </w:r>
      <w:r>
        <w:rPr>
          <w:rFonts w:hint="eastAsia"/>
        </w:rPr>
        <w:t>，</w:t>
      </w:r>
      <w:r>
        <w:t>且防霉等级应优于二级，抗老化性能应</w:t>
      </w:r>
      <w:r>
        <w:rPr>
          <w:rFonts w:hint="eastAsia"/>
        </w:rPr>
        <w:t>满足</w:t>
      </w:r>
      <w:r>
        <w:t>管节使用寿命</w:t>
      </w:r>
      <w:r>
        <w:rPr>
          <w:rFonts w:hint="eastAsia"/>
        </w:rPr>
        <w:t>的</w:t>
      </w:r>
      <w:r>
        <w:t>要求。</w:t>
      </w:r>
    </w:p>
    <w:p>
      <w:r>
        <w:rPr>
          <w:b/>
          <w:bCs/>
        </w:rPr>
        <w:t>6.2.</w:t>
      </w:r>
      <w:r>
        <w:rPr>
          <w:rFonts w:hint="eastAsia"/>
          <w:b/>
          <w:bCs/>
        </w:rPr>
        <w:t>9</w:t>
      </w:r>
      <w:r>
        <w:t xml:space="preserve">  管节接头采用</w:t>
      </w:r>
      <w:r>
        <w:rPr>
          <w:rFonts w:hint="eastAsia"/>
        </w:rPr>
        <w:t>遇</w:t>
      </w:r>
      <w:r>
        <w:t>水膨胀橡胶圈防水时，遇水膨胀橡胶圈的体积膨胀倍率、硬度、拉伸强度、拉断伸长率等性能指标</w:t>
      </w:r>
      <w:r>
        <w:rPr>
          <w:rFonts w:hint="eastAsia"/>
        </w:rPr>
        <w:t>，</w:t>
      </w:r>
      <w:r>
        <w:t>应满足设计要求和现行国家标准《高分子防水材料  第3部分：遇水膨胀橡胶》GB/T 18173.3的有关规定，且防霉等级应优于二级。</w:t>
      </w:r>
    </w:p>
    <w:p>
      <w:r>
        <w:rPr>
          <w:b/>
          <w:bCs/>
        </w:rPr>
        <w:t>6.2.</w:t>
      </w:r>
      <w:r>
        <w:rPr>
          <w:rFonts w:hint="eastAsia"/>
          <w:b/>
          <w:bCs/>
        </w:rPr>
        <w:t>10</w:t>
      </w:r>
      <w:r>
        <w:t xml:space="preserve">  管节接头采用其他密封材料防水时，应满足设计要求。</w:t>
      </w:r>
    </w:p>
    <w:p>
      <w:r>
        <w:rPr>
          <w:b/>
          <w:bCs/>
        </w:rPr>
        <w:t>6.2.</w:t>
      </w:r>
      <w:r>
        <w:rPr>
          <w:rFonts w:hint="eastAsia"/>
          <w:b/>
          <w:bCs/>
        </w:rPr>
        <w:t>11</w:t>
      </w:r>
      <w:r>
        <w:t xml:space="preserve">  氯丁橡胶、三元乙丙橡胶及聚氨酯密封胶的物理力学性能指标应符合表6.2.1</w:t>
      </w:r>
      <w:r>
        <w:rPr>
          <w:rFonts w:hint="eastAsia"/>
        </w:rPr>
        <w:t>1</w:t>
      </w:r>
      <w:r>
        <w:t>-1</w:t>
      </w:r>
      <w:r>
        <w:rPr>
          <w:bCs/>
          <w:sz w:val="21"/>
        </w:rPr>
        <w:t>～</w:t>
      </w:r>
      <w:r>
        <w:rPr>
          <w:rFonts w:hint="eastAsia"/>
          <w:bCs/>
          <w:sz w:val="21"/>
        </w:rPr>
        <w:t>表</w:t>
      </w:r>
      <w:r>
        <w:t>6.2.1</w:t>
      </w:r>
      <w:r>
        <w:rPr>
          <w:rFonts w:hint="eastAsia"/>
        </w:rPr>
        <w:t>1</w:t>
      </w:r>
      <w:r>
        <w:t>-3的规定。</w:t>
      </w:r>
    </w:p>
    <w:p>
      <w:pPr>
        <w:ind w:firstLine="422" w:firstLineChars="200"/>
        <w:jc w:val="center"/>
        <w:rPr>
          <w:b/>
          <w:bCs/>
          <w:sz w:val="21"/>
          <w:szCs w:val="18"/>
        </w:rPr>
      </w:pPr>
      <w:r>
        <w:rPr>
          <w:b/>
          <w:bCs/>
          <w:sz w:val="21"/>
          <w:szCs w:val="18"/>
        </w:rPr>
        <w:t>表6.2.1</w:t>
      </w:r>
      <w:r>
        <w:rPr>
          <w:rFonts w:hint="eastAsia"/>
          <w:b/>
          <w:bCs/>
          <w:sz w:val="21"/>
          <w:szCs w:val="18"/>
        </w:rPr>
        <w:t>1</w:t>
      </w:r>
      <w:r>
        <w:rPr>
          <w:b/>
          <w:bCs/>
          <w:sz w:val="21"/>
          <w:szCs w:val="18"/>
        </w:rPr>
        <w:t>-1  氯丁橡胶的物理力学性能指标</w:t>
      </w:r>
    </w:p>
    <w:tbl>
      <w:tblPr>
        <w:tblStyle w:val="48"/>
        <w:tblW w:w="8572"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68"/>
        <w:gridCol w:w="1647"/>
        <w:gridCol w:w="28"/>
        <w:gridCol w:w="1585"/>
        <w:gridCol w:w="741"/>
        <w:gridCol w:w="1402"/>
        <w:gridCol w:w="25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Align w:val="center"/>
          </w:tcPr>
          <w:p>
            <w:pPr>
              <w:spacing w:line="240" w:lineRule="auto"/>
              <w:jc w:val="center"/>
              <w:rPr>
                <w:sz w:val="21"/>
              </w:rPr>
            </w:pPr>
            <w:r>
              <w:rPr>
                <w:sz w:val="21"/>
              </w:rPr>
              <w:t>序号</w:t>
            </w:r>
          </w:p>
        </w:tc>
        <w:tc>
          <w:tcPr>
            <w:tcW w:w="3260" w:type="dxa"/>
            <w:gridSpan w:val="3"/>
            <w:vAlign w:val="center"/>
          </w:tcPr>
          <w:p>
            <w:pPr>
              <w:spacing w:line="240" w:lineRule="auto"/>
              <w:jc w:val="center"/>
              <w:rPr>
                <w:sz w:val="21"/>
              </w:rPr>
            </w:pPr>
            <w:r>
              <w:rPr>
                <w:rFonts w:hint="eastAsia"/>
                <w:sz w:val="21"/>
              </w:rPr>
              <w:t>检测</w:t>
            </w:r>
            <w:r>
              <w:rPr>
                <w:sz w:val="21"/>
              </w:rPr>
              <w:t>项目</w:t>
            </w:r>
          </w:p>
        </w:tc>
        <w:tc>
          <w:tcPr>
            <w:tcW w:w="741" w:type="dxa"/>
            <w:vAlign w:val="center"/>
          </w:tcPr>
          <w:p>
            <w:pPr>
              <w:spacing w:line="240" w:lineRule="auto"/>
              <w:jc w:val="center"/>
              <w:rPr>
                <w:sz w:val="21"/>
              </w:rPr>
            </w:pPr>
            <w:r>
              <w:rPr>
                <w:sz w:val="21"/>
              </w:rPr>
              <w:t>单位</w:t>
            </w:r>
          </w:p>
        </w:tc>
        <w:tc>
          <w:tcPr>
            <w:tcW w:w="1402" w:type="dxa"/>
            <w:vAlign w:val="center"/>
          </w:tcPr>
          <w:p>
            <w:pPr>
              <w:spacing w:line="240" w:lineRule="auto"/>
              <w:jc w:val="center"/>
              <w:rPr>
                <w:sz w:val="21"/>
              </w:rPr>
            </w:pPr>
            <w:r>
              <w:rPr>
                <w:sz w:val="21"/>
              </w:rPr>
              <w:t>性能指标</w:t>
            </w:r>
          </w:p>
        </w:tc>
        <w:tc>
          <w:tcPr>
            <w:tcW w:w="2501" w:type="dxa"/>
            <w:vAlign w:val="center"/>
          </w:tcPr>
          <w:p>
            <w:pPr>
              <w:spacing w:line="240" w:lineRule="auto"/>
              <w:jc w:val="center"/>
              <w:rPr>
                <w:sz w:val="21"/>
              </w:rPr>
            </w:pPr>
            <w:r>
              <w:rPr>
                <w:sz w:val="21"/>
              </w:rPr>
              <w:t>检测方法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Align w:val="center"/>
          </w:tcPr>
          <w:p>
            <w:pPr>
              <w:spacing w:line="240" w:lineRule="auto"/>
              <w:jc w:val="center"/>
              <w:rPr>
                <w:sz w:val="21"/>
              </w:rPr>
            </w:pPr>
            <w:r>
              <w:rPr>
                <w:sz w:val="21"/>
              </w:rPr>
              <w:t>1</w:t>
            </w:r>
          </w:p>
        </w:tc>
        <w:tc>
          <w:tcPr>
            <w:tcW w:w="3260" w:type="dxa"/>
            <w:gridSpan w:val="3"/>
            <w:vAlign w:val="center"/>
          </w:tcPr>
          <w:p>
            <w:pPr>
              <w:spacing w:line="240" w:lineRule="auto"/>
              <w:jc w:val="center"/>
              <w:rPr>
                <w:sz w:val="21"/>
              </w:rPr>
            </w:pPr>
            <w:r>
              <w:rPr>
                <w:sz w:val="21"/>
              </w:rPr>
              <w:t>硬度（邵尔A）</w:t>
            </w:r>
          </w:p>
        </w:tc>
        <w:tc>
          <w:tcPr>
            <w:tcW w:w="741" w:type="dxa"/>
            <w:vAlign w:val="center"/>
          </w:tcPr>
          <w:p>
            <w:pPr>
              <w:spacing w:line="240" w:lineRule="auto"/>
              <w:jc w:val="center"/>
              <w:rPr>
                <w:sz w:val="21"/>
              </w:rPr>
            </w:pPr>
            <w:r>
              <w:rPr>
                <w:sz w:val="21"/>
              </w:rPr>
              <w:t>度</w:t>
            </w:r>
          </w:p>
        </w:tc>
        <w:tc>
          <w:tcPr>
            <w:tcW w:w="1402" w:type="dxa"/>
            <w:vAlign w:val="center"/>
          </w:tcPr>
          <w:p>
            <w:pPr>
              <w:spacing w:line="240" w:lineRule="auto"/>
              <w:jc w:val="center"/>
              <w:rPr>
                <w:sz w:val="21"/>
              </w:rPr>
            </w:pPr>
            <w:r>
              <w:rPr>
                <w:sz w:val="21"/>
              </w:rPr>
              <w:t>60±5</w:t>
            </w:r>
          </w:p>
        </w:tc>
        <w:tc>
          <w:tcPr>
            <w:tcW w:w="2501" w:type="dxa"/>
            <w:vMerge w:val="restart"/>
            <w:vAlign w:val="center"/>
          </w:tcPr>
          <w:p>
            <w:pPr>
              <w:spacing w:line="240" w:lineRule="auto"/>
              <w:jc w:val="left"/>
              <w:rPr>
                <w:sz w:val="21"/>
              </w:rPr>
            </w:pPr>
            <w:r>
              <w:rPr>
                <w:sz w:val="21"/>
              </w:rPr>
              <w:t>现行国家标准《橡胶密封件  给、排水管及污水管道用接口密封圈  材料规范》GB/T 21873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Align w:val="center"/>
          </w:tcPr>
          <w:p>
            <w:pPr>
              <w:spacing w:line="240" w:lineRule="auto"/>
              <w:jc w:val="center"/>
              <w:rPr>
                <w:sz w:val="21"/>
              </w:rPr>
            </w:pPr>
            <w:r>
              <w:rPr>
                <w:sz w:val="21"/>
              </w:rPr>
              <w:t>2</w:t>
            </w:r>
          </w:p>
        </w:tc>
        <w:tc>
          <w:tcPr>
            <w:tcW w:w="3260" w:type="dxa"/>
            <w:gridSpan w:val="3"/>
            <w:vAlign w:val="center"/>
          </w:tcPr>
          <w:p>
            <w:pPr>
              <w:spacing w:line="240" w:lineRule="auto"/>
              <w:jc w:val="center"/>
              <w:rPr>
                <w:sz w:val="21"/>
              </w:rPr>
            </w:pPr>
            <w:r>
              <w:rPr>
                <w:sz w:val="21"/>
              </w:rPr>
              <w:t>拉伸强度</w:t>
            </w:r>
          </w:p>
        </w:tc>
        <w:tc>
          <w:tcPr>
            <w:tcW w:w="741" w:type="dxa"/>
            <w:vAlign w:val="center"/>
          </w:tcPr>
          <w:p>
            <w:pPr>
              <w:spacing w:line="240" w:lineRule="auto"/>
              <w:jc w:val="center"/>
              <w:rPr>
                <w:sz w:val="21"/>
              </w:rPr>
            </w:pPr>
            <w:r>
              <w:rPr>
                <w:sz w:val="21"/>
              </w:rPr>
              <w:t>MPa</w:t>
            </w:r>
          </w:p>
        </w:tc>
        <w:tc>
          <w:tcPr>
            <w:tcW w:w="1402" w:type="dxa"/>
            <w:vAlign w:val="center"/>
          </w:tcPr>
          <w:p>
            <w:pPr>
              <w:spacing w:line="240" w:lineRule="auto"/>
              <w:jc w:val="center"/>
              <w:rPr>
                <w:sz w:val="21"/>
              </w:rPr>
            </w:pPr>
            <w:r>
              <w:rPr>
                <w:sz w:val="21"/>
              </w:rPr>
              <w:t>≥15</w:t>
            </w:r>
          </w:p>
        </w:tc>
        <w:tc>
          <w:tcPr>
            <w:tcW w:w="2501" w:type="dxa"/>
            <w:vMerge w:val="continue"/>
            <w:vAlign w:val="center"/>
          </w:tcPr>
          <w:p>
            <w:pPr>
              <w:spacing w:line="240" w:lineRule="auto"/>
              <w:jc w:val="left"/>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Align w:val="center"/>
          </w:tcPr>
          <w:p>
            <w:pPr>
              <w:spacing w:line="240" w:lineRule="auto"/>
              <w:jc w:val="center"/>
              <w:rPr>
                <w:sz w:val="21"/>
              </w:rPr>
            </w:pPr>
            <w:r>
              <w:rPr>
                <w:sz w:val="21"/>
              </w:rPr>
              <w:t>3</w:t>
            </w:r>
          </w:p>
        </w:tc>
        <w:tc>
          <w:tcPr>
            <w:tcW w:w="3260" w:type="dxa"/>
            <w:gridSpan w:val="3"/>
            <w:vAlign w:val="center"/>
          </w:tcPr>
          <w:p>
            <w:pPr>
              <w:spacing w:line="240" w:lineRule="auto"/>
              <w:jc w:val="center"/>
              <w:rPr>
                <w:sz w:val="21"/>
              </w:rPr>
            </w:pPr>
            <w:r>
              <w:rPr>
                <w:sz w:val="21"/>
              </w:rPr>
              <w:t>扯断延伸率</w:t>
            </w:r>
          </w:p>
        </w:tc>
        <w:tc>
          <w:tcPr>
            <w:tcW w:w="741" w:type="dxa"/>
            <w:vAlign w:val="center"/>
          </w:tcPr>
          <w:p>
            <w:pPr>
              <w:spacing w:line="240" w:lineRule="auto"/>
              <w:jc w:val="center"/>
              <w:rPr>
                <w:sz w:val="21"/>
              </w:rPr>
            </w:pPr>
            <w:r>
              <w:rPr>
                <w:sz w:val="21"/>
              </w:rPr>
              <w:t>%</w:t>
            </w:r>
          </w:p>
        </w:tc>
        <w:tc>
          <w:tcPr>
            <w:tcW w:w="1402" w:type="dxa"/>
            <w:vAlign w:val="center"/>
          </w:tcPr>
          <w:p>
            <w:pPr>
              <w:spacing w:line="240" w:lineRule="auto"/>
              <w:jc w:val="center"/>
              <w:rPr>
                <w:sz w:val="21"/>
              </w:rPr>
            </w:pPr>
            <w:r>
              <w:rPr>
                <w:sz w:val="21"/>
              </w:rPr>
              <w:t>≥380</w:t>
            </w:r>
          </w:p>
        </w:tc>
        <w:tc>
          <w:tcPr>
            <w:tcW w:w="2501" w:type="dxa"/>
            <w:vMerge w:val="continue"/>
            <w:vAlign w:val="center"/>
          </w:tcPr>
          <w:p>
            <w:pPr>
              <w:spacing w:line="240" w:lineRule="auto"/>
              <w:jc w:val="left"/>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Merge w:val="restart"/>
            <w:vAlign w:val="center"/>
          </w:tcPr>
          <w:p>
            <w:pPr>
              <w:spacing w:line="240" w:lineRule="auto"/>
              <w:jc w:val="center"/>
              <w:rPr>
                <w:sz w:val="21"/>
              </w:rPr>
            </w:pPr>
            <w:r>
              <w:rPr>
                <w:sz w:val="21"/>
              </w:rPr>
              <w:t>4</w:t>
            </w:r>
          </w:p>
        </w:tc>
        <w:tc>
          <w:tcPr>
            <w:tcW w:w="1675" w:type="dxa"/>
            <w:gridSpan w:val="2"/>
            <w:vMerge w:val="restart"/>
            <w:tcBorders>
              <w:right w:val="single" w:color="000000" w:sz="6" w:space="0"/>
            </w:tcBorders>
            <w:vAlign w:val="center"/>
          </w:tcPr>
          <w:p>
            <w:pPr>
              <w:spacing w:line="240" w:lineRule="auto"/>
              <w:jc w:val="center"/>
              <w:rPr>
                <w:sz w:val="21"/>
              </w:rPr>
            </w:pPr>
            <w:r>
              <w:rPr>
                <w:sz w:val="21"/>
              </w:rPr>
              <w:t>压缩永久变形</w:t>
            </w:r>
          </w:p>
        </w:tc>
        <w:tc>
          <w:tcPr>
            <w:tcW w:w="1585" w:type="dxa"/>
            <w:tcBorders>
              <w:top w:val="single" w:color="000000" w:sz="6" w:space="0"/>
              <w:left w:val="single" w:color="000000" w:sz="6" w:space="0"/>
              <w:bottom w:val="single" w:color="000000" w:sz="6" w:space="0"/>
            </w:tcBorders>
            <w:vAlign w:val="center"/>
          </w:tcPr>
          <w:p>
            <w:pPr>
              <w:spacing w:line="240" w:lineRule="auto"/>
              <w:jc w:val="center"/>
              <w:rPr>
                <w:sz w:val="21"/>
              </w:rPr>
            </w:pPr>
            <w:r>
              <w:rPr>
                <w:sz w:val="21"/>
              </w:rPr>
              <w:t>70°C×24h</w:t>
            </w:r>
          </w:p>
        </w:tc>
        <w:tc>
          <w:tcPr>
            <w:tcW w:w="741" w:type="dxa"/>
            <w:vAlign w:val="center"/>
          </w:tcPr>
          <w:p>
            <w:pPr>
              <w:spacing w:line="240" w:lineRule="auto"/>
              <w:jc w:val="center"/>
              <w:rPr>
                <w:sz w:val="21"/>
              </w:rPr>
            </w:pPr>
            <w:r>
              <w:rPr>
                <w:sz w:val="21"/>
              </w:rPr>
              <w:t>%</w:t>
            </w:r>
          </w:p>
        </w:tc>
        <w:tc>
          <w:tcPr>
            <w:tcW w:w="1402" w:type="dxa"/>
            <w:vAlign w:val="center"/>
          </w:tcPr>
          <w:p>
            <w:pPr>
              <w:spacing w:line="240" w:lineRule="auto"/>
              <w:jc w:val="center"/>
              <w:rPr>
                <w:sz w:val="21"/>
              </w:rPr>
            </w:pPr>
            <w:r>
              <w:rPr>
                <w:sz w:val="21"/>
              </w:rPr>
              <w:t>≤35</w:t>
            </w:r>
          </w:p>
        </w:tc>
        <w:tc>
          <w:tcPr>
            <w:tcW w:w="2501" w:type="dxa"/>
            <w:vMerge w:val="restart"/>
            <w:vAlign w:val="center"/>
          </w:tcPr>
          <w:p>
            <w:pPr>
              <w:spacing w:line="240" w:lineRule="auto"/>
              <w:jc w:val="left"/>
              <w:rPr>
                <w:sz w:val="21"/>
              </w:rPr>
            </w:pPr>
            <w:r>
              <w:rPr>
                <w:sz w:val="21"/>
              </w:rPr>
              <w:t>现行国家标准《硫化橡胶或热塑性橡胶  压缩永久变形的测定  第1部分：在常温及高温条件下》GB/T 7759.1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Merge w:val="continue"/>
            <w:vAlign w:val="center"/>
          </w:tcPr>
          <w:p>
            <w:pPr>
              <w:spacing w:line="240" w:lineRule="auto"/>
              <w:jc w:val="center"/>
              <w:rPr>
                <w:sz w:val="21"/>
              </w:rPr>
            </w:pPr>
          </w:p>
        </w:tc>
        <w:tc>
          <w:tcPr>
            <w:tcW w:w="1675" w:type="dxa"/>
            <w:gridSpan w:val="2"/>
            <w:vMerge w:val="continue"/>
            <w:tcBorders>
              <w:right w:val="single" w:color="000000" w:sz="6" w:space="0"/>
            </w:tcBorders>
            <w:vAlign w:val="center"/>
          </w:tcPr>
          <w:p>
            <w:pPr>
              <w:spacing w:line="240" w:lineRule="auto"/>
              <w:jc w:val="center"/>
              <w:rPr>
                <w:sz w:val="21"/>
              </w:rPr>
            </w:pPr>
          </w:p>
        </w:tc>
        <w:tc>
          <w:tcPr>
            <w:tcW w:w="1585" w:type="dxa"/>
            <w:tcBorders>
              <w:top w:val="single" w:color="000000" w:sz="6" w:space="0"/>
              <w:left w:val="single" w:color="000000" w:sz="6" w:space="0"/>
              <w:bottom w:val="single" w:color="000000" w:sz="6" w:space="0"/>
            </w:tcBorders>
            <w:vAlign w:val="center"/>
          </w:tcPr>
          <w:p>
            <w:pPr>
              <w:spacing w:line="240" w:lineRule="auto"/>
              <w:jc w:val="center"/>
              <w:rPr>
                <w:sz w:val="21"/>
              </w:rPr>
            </w:pPr>
            <w:r>
              <w:rPr>
                <w:sz w:val="21"/>
              </w:rPr>
              <w:t>23°C×168h</w:t>
            </w:r>
          </w:p>
        </w:tc>
        <w:tc>
          <w:tcPr>
            <w:tcW w:w="741" w:type="dxa"/>
            <w:vAlign w:val="center"/>
          </w:tcPr>
          <w:p>
            <w:pPr>
              <w:spacing w:line="240" w:lineRule="auto"/>
              <w:jc w:val="center"/>
              <w:rPr>
                <w:sz w:val="21"/>
              </w:rPr>
            </w:pPr>
            <w:r>
              <w:rPr>
                <w:sz w:val="21"/>
              </w:rPr>
              <w:t>%</w:t>
            </w:r>
          </w:p>
        </w:tc>
        <w:tc>
          <w:tcPr>
            <w:tcW w:w="1402" w:type="dxa"/>
            <w:vAlign w:val="center"/>
          </w:tcPr>
          <w:p>
            <w:pPr>
              <w:spacing w:line="240" w:lineRule="auto"/>
              <w:jc w:val="center"/>
              <w:rPr>
                <w:sz w:val="21"/>
              </w:rPr>
            </w:pPr>
            <w:r>
              <w:rPr>
                <w:sz w:val="21"/>
              </w:rPr>
              <w:t>≤20</w:t>
            </w:r>
          </w:p>
        </w:tc>
        <w:tc>
          <w:tcPr>
            <w:tcW w:w="2501" w:type="dxa"/>
            <w:vMerge w:val="continue"/>
            <w:vAlign w:val="center"/>
          </w:tcPr>
          <w:p>
            <w:pPr>
              <w:spacing w:line="240" w:lineRule="auto"/>
              <w:jc w:val="left"/>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Align w:val="center"/>
          </w:tcPr>
          <w:p>
            <w:pPr>
              <w:spacing w:line="240" w:lineRule="auto"/>
              <w:jc w:val="center"/>
              <w:rPr>
                <w:sz w:val="21"/>
              </w:rPr>
            </w:pPr>
            <w:r>
              <w:rPr>
                <w:sz w:val="21"/>
              </w:rPr>
              <w:t>5</w:t>
            </w:r>
          </w:p>
        </w:tc>
        <w:tc>
          <w:tcPr>
            <w:tcW w:w="3260" w:type="dxa"/>
            <w:gridSpan w:val="3"/>
            <w:vAlign w:val="center"/>
          </w:tcPr>
          <w:p>
            <w:pPr>
              <w:spacing w:line="240" w:lineRule="auto"/>
              <w:jc w:val="center"/>
              <w:rPr>
                <w:sz w:val="21"/>
              </w:rPr>
            </w:pPr>
            <w:r>
              <w:rPr>
                <w:sz w:val="21"/>
              </w:rPr>
              <w:t>撕裂强度</w:t>
            </w:r>
          </w:p>
        </w:tc>
        <w:tc>
          <w:tcPr>
            <w:tcW w:w="741" w:type="dxa"/>
            <w:vAlign w:val="center"/>
          </w:tcPr>
          <w:p>
            <w:pPr>
              <w:spacing w:line="240" w:lineRule="auto"/>
              <w:jc w:val="center"/>
              <w:rPr>
                <w:sz w:val="21"/>
              </w:rPr>
            </w:pPr>
            <w:r>
              <w:rPr>
                <w:sz w:val="21"/>
              </w:rPr>
              <w:t>kN/m</w:t>
            </w:r>
          </w:p>
        </w:tc>
        <w:tc>
          <w:tcPr>
            <w:tcW w:w="1402" w:type="dxa"/>
            <w:vAlign w:val="center"/>
          </w:tcPr>
          <w:p>
            <w:pPr>
              <w:spacing w:line="240" w:lineRule="auto"/>
              <w:jc w:val="center"/>
              <w:rPr>
                <w:sz w:val="21"/>
              </w:rPr>
            </w:pPr>
            <w:r>
              <w:rPr>
                <w:sz w:val="21"/>
              </w:rPr>
              <w:t>≥30</w:t>
            </w:r>
          </w:p>
        </w:tc>
        <w:tc>
          <w:tcPr>
            <w:tcW w:w="2501" w:type="dxa"/>
            <w:vAlign w:val="center"/>
          </w:tcPr>
          <w:p>
            <w:pPr>
              <w:spacing w:line="240" w:lineRule="auto"/>
              <w:jc w:val="left"/>
              <w:rPr>
                <w:sz w:val="21"/>
              </w:rPr>
            </w:pPr>
            <w:r>
              <w:rPr>
                <w:sz w:val="21"/>
              </w:rPr>
              <w:t>现行国家标准《硫化橡胶或热塑性橡胶撕裂强度的测定（裤形、直角形和新月形试样）》GB/T 529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Align w:val="center"/>
          </w:tcPr>
          <w:p>
            <w:pPr>
              <w:spacing w:line="240" w:lineRule="auto"/>
              <w:jc w:val="center"/>
              <w:rPr>
                <w:sz w:val="21"/>
              </w:rPr>
            </w:pPr>
            <w:r>
              <w:rPr>
                <w:sz w:val="21"/>
              </w:rPr>
              <w:t>6</w:t>
            </w:r>
          </w:p>
        </w:tc>
        <w:tc>
          <w:tcPr>
            <w:tcW w:w="3260" w:type="dxa"/>
            <w:gridSpan w:val="3"/>
            <w:vAlign w:val="center"/>
          </w:tcPr>
          <w:p>
            <w:pPr>
              <w:spacing w:line="240" w:lineRule="auto"/>
              <w:jc w:val="center"/>
              <w:rPr>
                <w:sz w:val="21"/>
              </w:rPr>
            </w:pPr>
            <w:r>
              <w:rPr>
                <w:sz w:val="21"/>
              </w:rPr>
              <w:t>脆性温度</w:t>
            </w:r>
          </w:p>
        </w:tc>
        <w:tc>
          <w:tcPr>
            <w:tcW w:w="741" w:type="dxa"/>
            <w:vAlign w:val="center"/>
          </w:tcPr>
          <w:p>
            <w:pPr>
              <w:spacing w:line="240" w:lineRule="auto"/>
              <w:jc w:val="center"/>
              <w:rPr>
                <w:sz w:val="21"/>
              </w:rPr>
            </w:pPr>
            <w:r>
              <w:rPr>
                <w:sz w:val="21"/>
              </w:rPr>
              <w:t>℃</w:t>
            </w:r>
          </w:p>
        </w:tc>
        <w:tc>
          <w:tcPr>
            <w:tcW w:w="1402" w:type="dxa"/>
            <w:vAlign w:val="center"/>
          </w:tcPr>
          <w:p>
            <w:pPr>
              <w:spacing w:line="240" w:lineRule="auto"/>
              <w:jc w:val="center"/>
              <w:rPr>
                <w:sz w:val="21"/>
              </w:rPr>
            </w:pPr>
            <w:r>
              <w:rPr>
                <w:sz w:val="21"/>
              </w:rPr>
              <w:t>≤-45</w:t>
            </w:r>
          </w:p>
        </w:tc>
        <w:tc>
          <w:tcPr>
            <w:tcW w:w="2501" w:type="dxa"/>
            <w:vAlign w:val="center"/>
          </w:tcPr>
          <w:p>
            <w:pPr>
              <w:spacing w:line="240" w:lineRule="auto"/>
              <w:jc w:val="left"/>
              <w:rPr>
                <w:sz w:val="21"/>
              </w:rPr>
            </w:pPr>
            <w:r>
              <w:rPr>
                <w:sz w:val="21"/>
              </w:rPr>
              <w:t>现行国家标准《硫化橡胶或热塑性橡胶  低温脆性的测定（多试样法）》GB/T 15256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Merge w:val="restart"/>
            <w:vAlign w:val="center"/>
          </w:tcPr>
          <w:p>
            <w:pPr>
              <w:spacing w:line="240" w:lineRule="auto"/>
              <w:jc w:val="center"/>
              <w:rPr>
                <w:sz w:val="21"/>
              </w:rPr>
            </w:pPr>
            <w:r>
              <w:rPr>
                <w:sz w:val="21"/>
              </w:rPr>
              <w:t>7</w:t>
            </w:r>
          </w:p>
        </w:tc>
        <w:tc>
          <w:tcPr>
            <w:tcW w:w="1647" w:type="dxa"/>
            <w:vMerge w:val="restart"/>
            <w:vAlign w:val="center"/>
          </w:tcPr>
          <w:p>
            <w:pPr>
              <w:spacing w:line="240" w:lineRule="auto"/>
              <w:jc w:val="center"/>
              <w:rPr>
                <w:sz w:val="21"/>
              </w:rPr>
            </w:pPr>
            <w:r>
              <w:rPr>
                <w:sz w:val="21"/>
              </w:rPr>
              <w:t>热空气老化</w:t>
            </w:r>
          </w:p>
        </w:tc>
        <w:tc>
          <w:tcPr>
            <w:tcW w:w="1613" w:type="dxa"/>
            <w:gridSpan w:val="2"/>
            <w:vAlign w:val="center"/>
          </w:tcPr>
          <w:p>
            <w:pPr>
              <w:spacing w:line="240" w:lineRule="auto"/>
              <w:jc w:val="center"/>
              <w:rPr>
                <w:sz w:val="21"/>
              </w:rPr>
            </w:pPr>
            <w:r>
              <w:rPr>
                <w:sz w:val="21"/>
              </w:rPr>
              <w:t>硬度（邵尔A）</w:t>
            </w:r>
          </w:p>
        </w:tc>
        <w:tc>
          <w:tcPr>
            <w:tcW w:w="741" w:type="dxa"/>
            <w:vAlign w:val="center"/>
          </w:tcPr>
          <w:p>
            <w:pPr>
              <w:spacing w:line="240" w:lineRule="auto"/>
              <w:jc w:val="center"/>
              <w:rPr>
                <w:sz w:val="21"/>
              </w:rPr>
            </w:pPr>
            <w:r>
              <w:rPr>
                <w:sz w:val="21"/>
              </w:rPr>
              <w:t>度</w:t>
            </w:r>
          </w:p>
        </w:tc>
        <w:tc>
          <w:tcPr>
            <w:tcW w:w="1402" w:type="dxa"/>
            <w:vAlign w:val="center"/>
          </w:tcPr>
          <w:p>
            <w:pPr>
              <w:spacing w:line="240" w:lineRule="auto"/>
              <w:jc w:val="center"/>
              <w:rPr>
                <w:sz w:val="21"/>
              </w:rPr>
            </w:pPr>
            <w:r>
              <w:rPr>
                <w:sz w:val="21"/>
              </w:rPr>
              <w:t>≤8</w:t>
            </w:r>
          </w:p>
        </w:tc>
        <w:tc>
          <w:tcPr>
            <w:tcW w:w="2501" w:type="dxa"/>
            <w:vMerge w:val="restart"/>
            <w:vAlign w:val="center"/>
          </w:tcPr>
          <w:p>
            <w:pPr>
              <w:spacing w:line="240" w:lineRule="auto"/>
              <w:jc w:val="left"/>
              <w:rPr>
                <w:sz w:val="21"/>
              </w:rPr>
            </w:pPr>
            <w:r>
              <w:rPr>
                <w:sz w:val="21"/>
              </w:rPr>
              <w:t>现行国家标准《橡胶密封件  给、排水管及污水管道用接口密封圈  材料规范》GB/T 21873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Merge w:val="continue"/>
            <w:vAlign w:val="center"/>
          </w:tcPr>
          <w:p>
            <w:pPr>
              <w:spacing w:line="240" w:lineRule="auto"/>
              <w:jc w:val="center"/>
              <w:rPr>
                <w:sz w:val="21"/>
              </w:rPr>
            </w:pPr>
          </w:p>
        </w:tc>
        <w:tc>
          <w:tcPr>
            <w:tcW w:w="1647" w:type="dxa"/>
            <w:vMerge w:val="continue"/>
            <w:vAlign w:val="center"/>
          </w:tcPr>
          <w:p>
            <w:pPr>
              <w:spacing w:line="240" w:lineRule="auto"/>
              <w:jc w:val="center"/>
              <w:rPr>
                <w:sz w:val="21"/>
              </w:rPr>
            </w:pPr>
          </w:p>
        </w:tc>
        <w:tc>
          <w:tcPr>
            <w:tcW w:w="1613" w:type="dxa"/>
            <w:gridSpan w:val="2"/>
            <w:vAlign w:val="center"/>
          </w:tcPr>
          <w:p>
            <w:pPr>
              <w:spacing w:line="240" w:lineRule="auto"/>
              <w:jc w:val="center"/>
              <w:rPr>
                <w:sz w:val="21"/>
              </w:rPr>
            </w:pPr>
            <w:r>
              <w:rPr>
                <w:sz w:val="21"/>
              </w:rPr>
              <w:t>拉伸强度</w:t>
            </w:r>
          </w:p>
        </w:tc>
        <w:tc>
          <w:tcPr>
            <w:tcW w:w="741" w:type="dxa"/>
            <w:vAlign w:val="center"/>
          </w:tcPr>
          <w:p>
            <w:pPr>
              <w:spacing w:line="240" w:lineRule="auto"/>
              <w:jc w:val="center"/>
              <w:rPr>
                <w:sz w:val="21"/>
              </w:rPr>
            </w:pPr>
            <w:r>
              <w:rPr>
                <w:sz w:val="21"/>
              </w:rPr>
              <w:t>MPa</w:t>
            </w:r>
          </w:p>
        </w:tc>
        <w:tc>
          <w:tcPr>
            <w:tcW w:w="1402" w:type="dxa"/>
            <w:vAlign w:val="center"/>
          </w:tcPr>
          <w:p>
            <w:pPr>
              <w:spacing w:line="240" w:lineRule="auto"/>
              <w:jc w:val="center"/>
              <w:rPr>
                <w:sz w:val="21"/>
              </w:rPr>
            </w:pPr>
            <w:r>
              <w:rPr>
                <w:sz w:val="21"/>
              </w:rPr>
              <w:t>≥12</w:t>
            </w:r>
          </w:p>
        </w:tc>
        <w:tc>
          <w:tcPr>
            <w:tcW w:w="2501" w:type="dxa"/>
            <w:vMerge w:val="continue"/>
            <w:vAlign w:val="center"/>
          </w:tcPr>
          <w:p>
            <w:pPr>
              <w:spacing w:line="240" w:lineRule="auto"/>
              <w:jc w:val="left"/>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Merge w:val="continue"/>
            <w:vAlign w:val="center"/>
          </w:tcPr>
          <w:p>
            <w:pPr>
              <w:spacing w:line="240" w:lineRule="auto"/>
              <w:jc w:val="center"/>
              <w:rPr>
                <w:sz w:val="21"/>
              </w:rPr>
            </w:pPr>
          </w:p>
        </w:tc>
        <w:tc>
          <w:tcPr>
            <w:tcW w:w="1647" w:type="dxa"/>
            <w:vAlign w:val="center"/>
          </w:tcPr>
          <w:p>
            <w:pPr>
              <w:spacing w:line="240" w:lineRule="auto"/>
              <w:jc w:val="center"/>
              <w:rPr>
                <w:sz w:val="21"/>
              </w:rPr>
            </w:pPr>
            <w:r>
              <w:rPr>
                <w:sz w:val="21"/>
              </w:rPr>
              <w:t>70°C×168h</w:t>
            </w:r>
          </w:p>
        </w:tc>
        <w:tc>
          <w:tcPr>
            <w:tcW w:w="1613" w:type="dxa"/>
            <w:gridSpan w:val="2"/>
            <w:vAlign w:val="center"/>
          </w:tcPr>
          <w:p>
            <w:pPr>
              <w:spacing w:line="240" w:lineRule="auto"/>
              <w:jc w:val="center"/>
              <w:rPr>
                <w:sz w:val="21"/>
              </w:rPr>
            </w:pPr>
            <w:r>
              <w:rPr>
                <w:sz w:val="21"/>
              </w:rPr>
              <w:t>扯断伸长率</w:t>
            </w:r>
          </w:p>
        </w:tc>
        <w:tc>
          <w:tcPr>
            <w:tcW w:w="741" w:type="dxa"/>
            <w:vAlign w:val="center"/>
          </w:tcPr>
          <w:p>
            <w:pPr>
              <w:spacing w:line="240" w:lineRule="auto"/>
              <w:jc w:val="center"/>
              <w:rPr>
                <w:sz w:val="21"/>
              </w:rPr>
            </w:pPr>
            <w:r>
              <w:rPr>
                <w:sz w:val="21"/>
              </w:rPr>
              <w:t>%</w:t>
            </w:r>
          </w:p>
        </w:tc>
        <w:tc>
          <w:tcPr>
            <w:tcW w:w="1402" w:type="dxa"/>
            <w:vAlign w:val="center"/>
          </w:tcPr>
          <w:p>
            <w:pPr>
              <w:spacing w:line="240" w:lineRule="auto"/>
              <w:jc w:val="center"/>
              <w:rPr>
                <w:sz w:val="21"/>
              </w:rPr>
            </w:pPr>
            <w:r>
              <w:rPr>
                <w:sz w:val="21"/>
              </w:rPr>
              <w:t>≥300</w:t>
            </w:r>
          </w:p>
        </w:tc>
        <w:tc>
          <w:tcPr>
            <w:tcW w:w="2501" w:type="dxa"/>
            <w:vMerge w:val="continue"/>
            <w:vAlign w:val="center"/>
          </w:tcPr>
          <w:p>
            <w:pPr>
              <w:spacing w:line="240" w:lineRule="auto"/>
              <w:jc w:val="left"/>
              <w:rPr>
                <w:sz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668" w:type="dxa"/>
            <w:vAlign w:val="center"/>
          </w:tcPr>
          <w:p>
            <w:pPr>
              <w:spacing w:line="240" w:lineRule="auto"/>
              <w:jc w:val="center"/>
              <w:rPr>
                <w:sz w:val="21"/>
              </w:rPr>
            </w:pPr>
            <w:r>
              <w:rPr>
                <w:sz w:val="21"/>
              </w:rPr>
              <w:t>8</w:t>
            </w:r>
          </w:p>
        </w:tc>
        <w:tc>
          <w:tcPr>
            <w:tcW w:w="3260" w:type="dxa"/>
            <w:gridSpan w:val="3"/>
            <w:vAlign w:val="center"/>
          </w:tcPr>
          <w:p>
            <w:pPr>
              <w:spacing w:line="240" w:lineRule="auto"/>
              <w:jc w:val="center"/>
              <w:rPr>
                <w:sz w:val="21"/>
              </w:rPr>
            </w:pPr>
            <w:r>
              <w:rPr>
                <w:sz w:val="21"/>
              </w:rPr>
              <w:t>臭氧老化50pphm，20%，48h</w:t>
            </w:r>
          </w:p>
        </w:tc>
        <w:tc>
          <w:tcPr>
            <w:tcW w:w="741" w:type="dxa"/>
            <w:vAlign w:val="center"/>
          </w:tcPr>
          <w:p>
            <w:pPr>
              <w:spacing w:line="240" w:lineRule="auto"/>
              <w:jc w:val="center"/>
              <w:rPr>
                <w:sz w:val="21"/>
              </w:rPr>
            </w:pPr>
          </w:p>
        </w:tc>
        <w:tc>
          <w:tcPr>
            <w:tcW w:w="1402" w:type="dxa"/>
            <w:vAlign w:val="center"/>
          </w:tcPr>
          <w:p>
            <w:pPr>
              <w:spacing w:line="240" w:lineRule="auto"/>
              <w:jc w:val="center"/>
              <w:rPr>
                <w:sz w:val="21"/>
              </w:rPr>
            </w:pPr>
            <w:r>
              <w:rPr>
                <w:sz w:val="21"/>
              </w:rPr>
              <w:t>2级</w:t>
            </w:r>
          </w:p>
        </w:tc>
        <w:tc>
          <w:tcPr>
            <w:tcW w:w="2501" w:type="dxa"/>
            <w:vAlign w:val="center"/>
          </w:tcPr>
          <w:p>
            <w:pPr>
              <w:spacing w:line="240" w:lineRule="auto"/>
              <w:jc w:val="left"/>
              <w:rPr>
                <w:sz w:val="21"/>
              </w:rPr>
            </w:pPr>
            <w:r>
              <w:rPr>
                <w:sz w:val="21"/>
              </w:rPr>
              <w:t>现行国家标准《硫化橡胶或热塑性橡胶  耐臭氧龟裂  静态拉伸试验》GB/T 7762</w:t>
            </w:r>
          </w:p>
        </w:tc>
      </w:tr>
    </w:tbl>
    <w:p>
      <w:pPr>
        <w:jc w:val="left"/>
      </w:pPr>
    </w:p>
    <w:p>
      <w:pPr>
        <w:jc w:val="center"/>
        <w:rPr>
          <w:b/>
          <w:bCs/>
          <w:sz w:val="21"/>
          <w:szCs w:val="18"/>
        </w:rPr>
      </w:pPr>
      <w:r>
        <w:rPr>
          <w:b/>
          <w:bCs/>
          <w:sz w:val="21"/>
          <w:szCs w:val="18"/>
        </w:rPr>
        <w:t>表6.2.1</w:t>
      </w:r>
      <w:r>
        <w:rPr>
          <w:rFonts w:hint="eastAsia"/>
          <w:b/>
          <w:bCs/>
          <w:sz w:val="21"/>
          <w:szCs w:val="18"/>
        </w:rPr>
        <w:t>1</w:t>
      </w:r>
      <w:r>
        <w:rPr>
          <w:b/>
          <w:bCs/>
          <w:sz w:val="21"/>
          <w:szCs w:val="18"/>
        </w:rPr>
        <w:t>-2  三元乙丙橡胶的物理力学性能指标</w:t>
      </w:r>
    </w:p>
    <w:tbl>
      <w:tblPr>
        <w:tblStyle w:val="48"/>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600"/>
        <w:gridCol w:w="1669"/>
        <w:gridCol w:w="741"/>
        <w:gridCol w:w="1384"/>
        <w:gridCol w:w="24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671" w:type="dxa"/>
            <w:vAlign w:val="center"/>
          </w:tcPr>
          <w:p>
            <w:pPr>
              <w:spacing w:line="240" w:lineRule="auto"/>
              <w:jc w:val="center"/>
              <w:rPr>
                <w:sz w:val="21"/>
              </w:rPr>
            </w:pPr>
            <w:r>
              <w:rPr>
                <w:rFonts w:hint="eastAsia"/>
                <w:sz w:val="21"/>
              </w:rPr>
              <w:t>序号</w:t>
            </w:r>
          </w:p>
        </w:tc>
        <w:tc>
          <w:tcPr>
            <w:tcW w:w="3269" w:type="dxa"/>
            <w:gridSpan w:val="2"/>
            <w:vAlign w:val="center"/>
          </w:tcPr>
          <w:p>
            <w:pPr>
              <w:spacing w:line="240" w:lineRule="auto"/>
              <w:jc w:val="center"/>
              <w:rPr>
                <w:sz w:val="21"/>
              </w:rPr>
            </w:pPr>
            <w:r>
              <w:rPr>
                <w:rFonts w:hint="eastAsia"/>
                <w:sz w:val="21"/>
              </w:rPr>
              <w:t>检测项目</w:t>
            </w:r>
          </w:p>
        </w:tc>
        <w:tc>
          <w:tcPr>
            <w:tcW w:w="741" w:type="dxa"/>
            <w:vAlign w:val="center"/>
          </w:tcPr>
          <w:p>
            <w:pPr>
              <w:spacing w:line="240" w:lineRule="auto"/>
              <w:jc w:val="center"/>
              <w:rPr>
                <w:sz w:val="21"/>
              </w:rPr>
            </w:pPr>
            <w:r>
              <w:rPr>
                <w:rFonts w:hint="eastAsia"/>
                <w:sz w:val="21"/>
              </w:rPr>
              <w:t>单位</w:t>
            </w:r>
          </w:p>
        </w:tc>
        <w:tc>
          <w:tcPr>
            <w:tcW w:w="1384" w:type="dxa"/>
            <w:vAlign w:val="center"/>
          </w:tcPr>
          <w:p>
            <w:pPr>
              <w:spacing w:line="240" w:lineRule="auto"/>
              <w:jc w:val="center"/>
              <w:rPr>
                <w:sz w:val="21"/>
              </w:rPr>
            </w:pPr>
            <w:r>
              <w:rPr>
                <w:rFonts w:hint="eastAsia"/>
                <w:sz w:val="21"/>
              </w:rPr>
              <w:t>性能指标</w:t>
            </w:r>
          </w:p>
        </w:tc>
        <w:tc>
          <w:tcPr>
            <w:tcW w:w="2457" w:type="dxa"/>
            <w:vAlign w:val="center"/>
          </w:tcPr>
          <w:p>
            <w:pPr>
              <w:spacing w:line="240" w:lineRule="auto"/>
              <w:jc w:val="center"/>
              <w:rPr>
                <w:sz w:val="21"/>
              </w:rPr>
            </w:pPr>
            <w:r>
              <w:rPr>
                <w:rFonts w:hint="eastAsia"/>
                <w:sz w:val="21"/>
              </w:rPr>
              <w:t>检测方法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71" w:type="dxa"/>
            <w:vAlign w:val="center"/>
          </w:tcPr>
          <w:p>
            <w:pPr>
              <w:spacing w:line="240" w:lineRule="auto"/>
              <w:jc w:val="center"/>
              <w:rPr>
                <w:sz w:val="21"/>
              </w:rPr>
            </w:pPr>
            <w:r>
              <w:rPr>
                <w:rFonts w:hint="eastAsia"/>
                <w:sz w:val="21"/>
              </w:rPr>
              <w:t>1</w:t>
            </w:r>
          </w:p>
        </w:tc>
        <w:tc>
          <w:tcPr>
            <w:tcW w:w="3269" w:type="dxa"/>
            <w:gridSpan w:val="2"/>
            <w:vAlign w:val="center"/>
          </w:tcPr>
          <w:p>
            <w:pPr>
              <w:spacing w:line="240" w:lineRule="auto"/>
              <w:jc w:val="center"/>
              <w:rPr>
                <w:sz w:val="21"/>
              </w:rPr>
            </w:pPr>
            <w:r>
              <w:rPr>
                <w:rFonts w:hint="eastAsia"/>
                <w:sz w:val="21"/>
              </w:rPr>
              <w:t>硬度（邵氏A）</w:t>
            </w:r>
          </w:p>
        </w:tc>
        <w:tc>
          <w:tcPr>
            <w:tcW w:w="741" w:type="dxa"/>
            <w:vAlign w:val="center"/>
          </w:tcPr>
          <w:p>
            <w:pPr>
              <w:spacing w:line="240" w:lineRule="auto"/>
              <w:jc w:val="center"/>
              <w:rPr>
                <w:sz w:val="21"/>
              </w:rPr>
            </w:pPr>
            <w:r>
              <w:rPr>
                <w:rFonts w:hint="eastAsia"/>
                <w:sz w:val="21"/>
              </w:rPr>
              <w:t>度</w:t>
            </w:r>
          </w:p>
        </w:tc>
        <w:tc>
          <w:tcPr>
            <w:tcW w:w="1384" w:type="dxa"/>
            <w:vAlign w:val="center"/>
          </w:tcPr>
          <w:p>
            <w:pPr>
              <w:spacing w:line="240" w:lineRule="auto"/>
              <w:jc w:val="center"/>
              <w:rPr>
                <w:sz w:val="21"/>
              </w:rPr>
            </w:pPr>
            <w:r>
              <w:rPr>
                <w:rFonts w:hint="eastAsia"/>
                <w:sz w:val="21"/>
              </w:rPr>
              <w:t>50</w:t>
            </w:r>
            <w:r>
              <w:rPr>
                <w:rFonts w:hint="eastAsia" w:ascii="宋体" w:hAnsi="宋体"/>
                <w:sz w:val="21"/>
              </w:rPr>
              <w:t>±</w:t>
            </w:r>
            <w:r>
              <w:rPr>
                <w:rFonts w:hint="eastAsia"/>
                <w:sz w:val="21"/>
              </w:rPr>
              <w:t>5</w:t>
            </w:r>
          </w:p>
        </w:tc>
        <w:tc>
          <w:tcPr>
            <w:tcW w:w="2457" w:type="dxa"/>
            <w:vMerge w:val="restart"/>
            <w:vAlign w:val="center"/>
          </w:tcPr>
          <w:p>
            <w:pPr>
              <w:spacing w:line="240" w:lineRule="auto"/>
              <w:jc w:val="left"/>
              <w:rPr>
                <w:sz w:val="21"/>
              </w:rPr>
            </w:pPr>
            <w:r>
              <w:rPr>
                <w:sz w:val="21"/>
              </w:rPr>
              <w:t>现行国家标准《橡胶密封件  给、排水管及污水管道用接口密封圈  材料规范》GB/T 21873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71" w:type="dxa"/>
            <w:vAlign w:val="center"/>
          </w:tcPr>
          <w:p>
            <w:pPr>
              <w:spacing w:line="240" w:lineRule="auto"/>
              <w:jc w:val="center"/>
              <w:rPr>
                <w:sz w:val="21"/>
              </w:rPr>
            </w:pPr>
            <w:r>
              <w:rPr>
                <w:rFonts w:hint="eastAsia"/>
                <w:sz w:val="21"/>
              </w:rPr>
              <w:t>2</w:t>
            </w:r>
          </w:p>
        </w:tc>
        <w:tc>
          <w:tcPr>
            <w:tcW w:w="3269" w:type="dxa"/>
            <w:gridSpan w:val="2"/>
            <w:vAlign w:val="center"/>
          </w:tcPr>
          <w:p>
            <w:pPr>
              <w:spacing w:line="240" w:lineRule="auto"/>
              <w:jc w:val="center"/>
              <w:rPr>
                <w:sz w:val="21"/>
              </w:rPr>
            </w:pPr>
            <w:r>
              <w:rPr>
                <w:rFonts w:hint="eastAsia"/>
                <w:sz w:val="21"/>
              </w:rPr>
              <w:t>拉伸强度</w:t>
            </w:r>
          </w:p>
        </w:tc>
        <w:tc>
          <w:tcPr>
            <w:tcW w:w="741" w:type="dxa"/>
            <w:vAlign w:val="center"/>
          </w:tcPr>
          <w:p>
            <w:pPr>
              <w:spacing w:line="240" w:lineRule="auto"/>
              <w:jc w:val="center"/>
              <w:rPr>
                <w:sz w:val="21"/>
              </w:rPr>
            </w:pPr>
            <w:r>
              <w:rPr>
                <w:rFonts w:hint="eastAsia"/>
                <w:sz w:val="21"/>
              </w:rPr>
              <w:t>MPa</w:t>
            </w:r>
          </w:p>
        </w:tc>
        <w:tc>
          <w:tcPr>
            <w:tcW w:w="1384" w:type="dxa"/>
            <w:vAlign w:val="center"/>
          </w:tcPr>
          <w:p>
            <w:pPr>
              <w:spacing w:line="240" w:lineRule="auto"/>
              <w:jc w:val="center"/>
              <w:rPr>
                <w:sz w:val="21"/>
              </w:rPr>
            </w:pPr>
            <w:r>
              <w:rPr>
                <w:rFonts w:hint="eastAsia" w:asciiTheme="minorEastAsia" w:hAnsiTheme="minorEastAsia"/>
                <w:sz w:val="21"/>
              </w:rPr>
              <w:t>≥</w:t>
            </w:r>
            <w:r>
              <w:rPr>
                <w:rFonts w:hint="eastAsia"/>
                <w:sz w:val="21"/>
              </w:rPr>
              <w:t>9</w:t>
            </w:r>
          </w:p>
        </w:tc>
        <w:tc>
          <w:tcPr>
            <w:tcW w:w="2457" w:type="dxa"/>
            <w:vMerge w:val="continue"/>
            <w:vAlign w:val="center"/>
          </w:tcPr>
          <w:p>
            <w:pPr>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71" w:type="dxa"/>
            <w:vAlign w:val="center"/>
          </w:tcPr>
          <w:p>
            <w:pPr>
              <w:spacing w:line="240" w:lineRule="auto"/>
              <w:jc w:val="center"/>
              <w:rPr>
                <w:sz w:val="21"/>
              </w:rPr>
            </w:pPr>
            <w:r>
              <w:rPr>
                <w:rFonts w:hint="eastAsia"/>
                <w:sz w:val="21"/>
              </w:rPr>
              <w:t>3</w:t>
            </w:r>
          </w:p>
        </w:tc>
        <w:tc>
          <w:tcPr>
            <w:tcW w:w="3269" w:type="dxa"/>
            <w:gridSpan w:val="2"/>
            <w:vAlign w:val="center"/>
          </w:tcPr>
          <w:p>
            <w:pPr>
              <w:spacing w:line="240" w:lineRule="auto"/>
              <w:jc w:val="center"/>
              <w:rPr>
                <w:sz w:val="21"/>
              </w:rPr>
            </w:pPr>
            <w:r>
              <w:rPr>
                <w:rFonts w:hint="eastAsia"/>
                <w:sz w:val="21"/>
              </w:rPr>
              <w:t>拉伸伸长率</w:t>
            </w:r>
          </w:p>
        </w:tc>
        <w:tc>
          <w:tcPr>
            <w:tcW w:w="741" w:type="dxa"/>
            <w:vAlign w:val="center"/>
          </w:tcPr>
          <w:p>
            <w:pPr>
              <w:spacing w:line="240" w:lineRule="auto"/>
              <w:jc w:val="center"/>
              <w:rPr>
                <w:sz w:val="21"/>
              </w:rPr>
            </w:pPr>
            <w:r>
              <w:rPr>
                <w:rFonts w:hint="eastAsia"/>
                <w:sz w:val="21"/>
              </w:rPr>
              <w:t>%</w:t>
            </w:r>
          </w:p>
        </w:tc>
        <w:tc>
          <w:tcPr>
            <w:tcW w:w="1384" w:type="dxa"/>
            <w:vAlign w:val="center"/>
          </w:tcPr>
          <w:p>
            <w:pPr>
              <w:spacing w:line="240" w:lineRule="auto"/>
              <w:jc w:val="center"/>
              <w:rPr>
                <w:sz w:val="21"/>
              </w:rPr>
            </w:pPr>
            <w:r>
              <w:rPr>
                <w:rFonts w:hint="eastAsia" w:asciiTheme="minorEastAsia" w:hAnsiTheme="minorEastAsia"/>
                <w:sz w:val="21"/>
              </w:rPr>
              <w:t>≥375</w:t>
            </w:r>
          </w:p>
        </w:tc>
        <w:tc>
          <w:tcPr>
            <w:tcW w:w="2457" w:type="dxa"/>
            <w:vMerge w:val="continue"/>
            <w:vAlign w:val="center"/>
          </w:tcPr>
          <w:p>
            <w:pPr>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71" w:type="dxa"/>
            <w:vMerge w:val="restart"/>
            <w:vAlign w:val="center"/>
          </w:tcPr>
          <w:p>
            <w:pPr>
              <w:spacing w:line="240" w:lineRule="auto"/>
              <w:jc w:val="center"/>
              <w:rPr>
                <w:sz w:val="21"/>
              </w:rPr>
            </w:pPr>
            <w:r>
              <w:rPr>
                <w:rFonts w:hint="eastAsia"/>
                <w:sz w:val="21"/>
              </w:rPr>
              <w:t>4</w:t>
            </w:r>
          </w:p>
        </w:tc>
        <w:tc>
          <w:tcPr>
            <w:tcW w:w="1600" w:type="dxa"/>
            <w:vMerge w:val="restart"/>
            <w:vAlign w:val="center"/>
          </w:tcPr>
          <w:p>
            <w:pPr>
              <w:spacing w:line="240" w:lineRule="auto"/>
              <w:jc w:val="center"/>
              <w:rPr>
                <w:sz w:val="21"/>
              </w:rPr>
            </w:pPr>
            <w:r>
              <w:rPr>
                <w:rFonts w:hint="eastAsia"/>
                <w:sz w:val="21"/>
              </w:rPr>
              <w:t>压缩永久变形</w:t>
            </w:r>
          </w:p>
        </w:tc>
        <w:tc>
          <w:tcPr>
            <w:tcW w:w="1669" w:type="dxa"/>
            <w:vAlign w:val="center"/>
          </w:tcPr>
          <w:p>
            <w:pPr>
              <w:spacing w:line="240" w:lineRule="auto"/>
              <w:jc w:val="center"/>
              <w:rPr>
                <w:sz w:val="21"/>
              </w:rPr>
            </w:pPr>
            <w:r>
              <w:rPr>
                <w:rFonts w:hint="eastAsia"/>
                <w:sz w:val="21"/>
              </w:rPr>
              <w:t>70</w:t>
            </w:r>
            <w:r>
              <w:rPr>
                <w:bCs/>
                <w:sz w:val="21"/>
              </w:rPr>
              <w:t>℃×</w:t>
            </w:r>
            <w:r>
              <w:rPr>
                <w:rFonts w:hint="eastAsia"/>
                <w:bCs/>
                <w:sz w:val="21"/>
              </w:rPr>
              <w:t>24h</w:t>
            </w:r>
          </w:p>
        </w:tc>
        <w:tc>
          <w:tcPr>
            <w:tcW w:w="741" w:type="dxa"/>
            <w:vAlign w:val="center"/>
          </w:tcPr>
          <w:p>
            <w:pPr>
              <w:spacing w:line="240" w:lineRule="auto"/>
              <w:jc w:val="center"/>
              <w:rPr>
                <w:sz w:val="21"/>
              </w:rPr>
            </w:pPr>
            <w:r>
              <w:rPr>
                <w:rFonts w:hint="eastAsia"/>
                <w:sz w:val="21"/>
              </w:rPr>
              <w:t>%</w:t>
            </w:r>
          </w:p>
        </w:tc>
        <w:tc>
          <w:tcPr>
            <w:tcW w:w="1384" w:type="dxa"/>
            <w:vAlign w:val="center"/>
          </w:tcPr>
          <w:p>
            <w:pPr>
              <w:spacing w:line="240" w:lineRule="auto"/>
              <w:jc w:val="center"/>
              <w:rPr>
                <w:sz w:val="21"/>
              </w:rPr>
            </w:pPr>
            <w:r>
              <w:rPr>
                <w:rFonts w:hint="eastAsia" w:asciiTheme="minorEastAsia" w:hAnsiTheme="minorEastAsia"/>
                <w:sz w:val="21"/>
              </w:rPr>
              <w:t>≤</w:t>
            </w:r>
            <w:r>
              <w:rPr>
                <w:rFonts w:hint="eastAsia"/>
                <w:sz w:val="21"/>
              </w:rPr>
              <w:t>40</w:t>
            </w:r>
          </w:p>
        </w:tc>
        <w:tc>
          <w:tcPr>
            <w:tcW w:w="2457" w:type="dxa"/>
            <w:vMerge w:val="restart"/>
            <w:vAlign w:val="center"/>
          </w:tcPr>
          <w:p>
            <w:pPr>
              <w:spacing w:line="240" w:lineRule="auto"/>
              <w:jc w:val="left"/>
              <w:rPr>
                <w:sz w:val="21"/>
              </w:rPr>
            </w:pPr>
            <w:r>
              <w:rPr>
                <w:sz w:val="21"/>
              </w:rPr>
              <w:t>现行国家标准《硫化橡胶或热塑性橡胶  压缩永久变形的测定  第1部分：在常温及高温条件下》GB/T 7759.1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71" w:type="dxa"/>
            <w:vMerge w:val="continue"/>
            <w:vAlign w:val="center"/>
          </w:tcPr>
          <w:p>
            <w:pPr>
              <w:spacing w:line="240" w:lineRule="auto"/>
              <w:jc w:val="center"/>
              <w:rPr>
                <w:sz w:val="21"/>
              </w:rPr>
            </w:pPr>
          </w:p>
        </w:tc>
        <w:tc>
          <w:tcPr>
            <w:tcW w:w="1600" w:type="dxa"/>
            <w:vMerge w:val="continue"/>
            <w:vAlign w:val="center"/>
          </w:tcPr>
          <w:p>
            <w:pPr>
              <w:spacing w:line="240" w:lineRule="auto"/>
              <w:jc w:val="center"/>
              <w:rPr>
                <w:sz w:val="21"/>
              </w:rPr>
            </w:pPr>
          </w:p>
        </w:tc>
        <w:tc>
          <w:tcPr>
            <w:tcW w:w="1669" w:type="dxa"/>
            <w:vAlign w:val="center"/>
          </w:tcPr>
          <w:p>
            <w:pPr>
              <w:spacing w:line="240" w:lineRule="auto"/>
              <w:jc w:val="center"/>
              <w:rPr>
                <w:sz w:val="21"/>
              </w:rPr>
            </w:pPr>
            <w:r>
              <w:rPr>
                <w:rFonts w:hint="eastAsia"/>
                <w:sz w:val="21"/>
              </w:rPr>
              <w:t>23</w:t>
            </w:r>
            <w:r>
              <w:rPr>
                <w:bCs/>
                <w:sz w:val="21"/>
              </w:rPr>
              <w:t>℃×</w:t>
            </w:r>
            <w:r>
              <w:rPr>
                <w:rFonts w:hint="eastAsia"/>
                <w:bCs/>
                <w:sz w:val="21"/>
              </w:rPr>
              <w:t>168h</w:t>
            </w:r>
          </w:p>
        </w:tc>
        <w:tc>
          <w:tcPr>
            <w:tcW w:w="741" w:type="dxa"/>
            <w:vAlign w:val="center"/>
          </w:tcPr>
          <w:p>
            <w:pPr>
              <w:spacing w:line="240" w:lineRule="auto"/>
              <w:jc w:val="center"/>
              <w:rPr>
                <w:sz w:val="21"/>
              </w:rPr>
            </w:pPr>
            <w:r>
              <w:rPr>
                <w:rFonts w:hint="eastAsia"/>
                <w:sz w:val="21"/>
              </w:rPr>
              <w:t>%</w:t>
            </w:r>
          </w:p>
        </w:tc>
        <w:tc>
          <w:tcPr>
            <w:tcW w:w="1384" w:type="dxa"/>
            <w:vAlign w:val="center"/>
          </w:tcPr>
          <w:p>
            <w:pPr>
              <w:spacing w:line="240" w:lineRule="auto"/>
              <w:jc w:val="center"/>
              <w:rPr>
                <w:sz w:val="21"/>
              </w:rPr>
            </w:pPr>
            <w:r>
              <w:rPr>
                <w:rFonts w:hint="eastAsia" w:asciiTheme="minorEastAsia" w:hAnsiTheme="minorEastAsia"/>
                <w:sz w:val="21"/>
              </w:rPr>
              <w:t>≤</w:t>
            </w:r>
            <w:r>
              <w:rPr>
                <w:rFonts w:hint="eastAsia"/>
                <w:sz w:val="21"/>
              </w:rPr>
              <w:t>20</w:t>
            </w:r>
          </w:p>
        </w:tc>
        <w:tc>
          <w:tcPr>
            <w:tcW w:w="2457" w:type="dxa"/>
            <w:vMerge w:val="continue"/>
            <w:vAlign w:val="center"/>
          </w:tcPr>
          <w:p>
            <w:pPr>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71" w:type="dxa"/>
            <w:vAlign w:val="center"/>
          </w:tcPr>
          <w:p>
            <w:pPr>
              <w:spacing w:line="240" w:lineRule="auto"/>
              <w:jc w:val="center"/>
              <w:rPr>
                <w:sz w:val="21"/>
              </w:rPr>
            </w:pPr>
            <w:r>
              <w:rPr>
                <w:rFonts w:hint="eastAsia"/>
                <w:sz w:val="21"/>
              </w:rPr>
              <w:t>5</w:t>
            </w:r>
          </w:p>
        </w:tc>
        <w:tc>
          <w:tcPr>
            <w:tcW w:w="3269" w:type="dxa"/>
            <w:gridSpan w:val="2"/>
            <w:vAlign w:val="center"/>
          </w:tcPr>
          <w:p>
            <w:pPr>
              <w:spacing w:line="240" w:lineRule="auto"/>
              <w:jc w:val="center"/>
              <w:rPr>
                <w:sz w:val="21"/>
              </w:rPr>
            </w:pPr>
            <w:r>
              <w:rPr>
                <w:rFonts w:hint="eastAsia"/>
                <w:sz w:val="21"/>
              </w:rPr>
              <w:t>撕裂强度</w:t>
            </w:r>
          </w:p>
        </w:tc>
        <w:tc>
          <w:tcPr>
            <w:tcW w:w="741" w:type="dxa"/>
            <w:vAlign w:val="center"/>
          </w:tcPr>
          <w:p>
            <w:pPr>
              <w:spacing w:line="240" w:lineRule="auto"/>
              <w:jc w:val="center"/>
              <w:rPr>
                <w:sz w:val="21"/>
              </w:rPr>
            </w:pPr>
            <w:r>
              <w:rPr>
                <w:sz w:val="21"/>
              </w:rPr>
              <w:t>kN</w:t>
            </w:r>
            <w:r>
              <w:rPr>
                <w:rFonts w:hint="eastAsia"/>
                <w:sz w:val="21"/>
              </w:rPr>
              <w:t>/m</w:t>
            </w:r>
          </w:p>
        </w:tc>
        <w:tc>
          <w:tcPr>
            <w:tcW w:w="1384" w:type="dxa"/>
            <w:vAlign w:val="center"/>
          </w:tcPr>
          <w:p>
            <w:pPr>
              <w:spacing w:line="240" w:lineRule="auto"/>
              <w:jc w:val="center"/>
              <w:rPr>
                <w:sz w:val="21"/>
              </w:rPr>
            </w:pPr>
            <w:r>
              <w:rPr>
                <w:rFonts w:hint="eastAsia" w:asciiTheme="minorEastAsia" w:hAnsiTheme="minorEastAsia"/>
                <w:sz w:val="21"/>
              </w:rPr>
              <w:t>≥19</w:t>
            </w:r>
          </w:p>
        </w:tc>
        <w:tc>
          <w:tcPr>
            <w:tcW w:w="2457" w:type="dxa"/>
            <w:vAlign w:val="center"/>
          </w:tcPr>
          <w:p>
            <w:pPr>
              <w:spacing w:line="240" w:lineRule="auto"/>
              <w:jc w:val="left"/>
              <w:rPr>
                <w:sz w:val="21"/>
              </w:rPr>
            </w:pPr>
            <w:r>
              <w:rPr>
                <w:sz w:val="21"/>
              </w:rPr>
              <w:t>现行国家标准《硫化橡胶或热塑性橡胶撕裂强度的测定（裤形、直角形和新月形试样）》GB/T 529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trPr>
        <w:tc>
          <w:tcPr>
            <w:tcW w:w="671" w:type="dxa"/>
            <w:vAlign w:val="center"/>
          </w:tcPr>
          <w:p>
            <w:pPr>
              <w:spacing w:line="240" w:lineRule="auto"/>
              <w:jc w:val="center"/>
              <w:rPr>
                <w:sz w:val="21"/>
              </w:rPr>
            </w:pPr>
            <w:r>
              <w:rPr>
                <w:rFonts w:hint="eastAsia"/>
                <w:sz w:val="21"/>
              </w:rPr>
              <w:t>6</w:t>
            </w:r>
          </w:p>
        </w:tc>
        <w:tc>
          <w:tcPr>
            <w:tcW w:w="3269" w:type="dxa"/>
            <w:gridSpan w:val="2"/>
            <w:vAlign w:val="center"/>
          </w:tcPr>
          <w:p>
            <w:pPr>
              <w:spacing w:line="240" w:lineRule="auto"/>
              <w:jc w:val="center"/>
              <w:rPr>
                <w:sz w:val="21"/>
              </w:rPr>
            </w:pPr>
            <w:r>
              <w:rPr>
                <w:rFonts w:hint="eastAsia"/>
                <w:sz w:val="21"/>
              </w:rPr>
              <w:t>脆性温度</w:t>
            </w:r>
          </w:p>
        </w:tc>
        <w:tc>
          <w:tcPr>
            <w:tcW w:w="741" w:type="dxa"/>
            <w:vAlign w:val="center"/>
          </w:tcPr>
          <w:p>
            <w:pPr>
              <w:spacing w:line="240" w:lineRule="auto"/>
              <w:jc w:val="center"/>
              <w:rPr>
                <w:sz w:val="21"/>
              </w:rPr>
            </w:pPr>
            <w:r>
              <w:rPr>
                <w:bCs/>
                <w:sz w:val="21"/>
              </w:rPr>
              <w:t>℃</w:t>
            </w:r>
          </w:p>
        </w:tc>
        <w:tc>
          <w:tcPr>
            <w:tcW w:w="1384" w:type="dxa"/>
            <w:vAlign w:val="center"/>
          </w:tcPr>
          <w:p>
            <w:pPr>
              <w:spacing w:line="240" w:lineRule="auto"/>
              <w:jc w:val="center"/>
              <w:rPr>
                <w:sz w:val="21"/>
              </w:rPr>
            </w:pPr>
            <w:r>
              <w:rPr>
                <w:rFonts w:hint="eastAsia" w:asciiTheme="minorEastAsia" w:hAnsiTheme="minorEastAsia"/>
                <w:sz w:val="21"/>
              </w:rPr>
              <w:t>≤-45</w:t>
            </w:r>
          </w:p>
        </w:tc>
        <w:tc>
          <w:tcPr>
            <w:tcW w:w="2457" w:type="dxa"/>
            <w:vAlign w:val="center"/>
          </w:tcPr>
          <w:p>
            <w:pPr>
              <w:spacing w:line="240" w:lineRule="auto"/>
              <w:jc w:val="left"/>
              <w:rPr>
                <w:sz w:val="21"/>
              </w:rPr>
            </w:pPr>
            <w:r>
              <w:rPr>
                <w:sz w:val="21"/>
              </w:rPr>
              <w:t>现行国家标准《硫化橡胶或热塑性橡胶  低温脆性的测定（多试样法）》GB/T 15256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trPr>
        <w:tc>
          <w:tcPr>
            <w:tcW w:w="671" w:type="dxa"/>
            <w:vMerge w:val="restart"/>
            <w:vAlign w:val="center"/>
          </w:tcPr>
          <w:p>
            <w:pPr>
              <w:spacing w:line="240" w:lineRule="auto"/>
              <w:jc w:val="center"/>
              <w:rPr>
                <w:sz w:val="21"/>
              </w:rPr>
            </w:pPr>
            <w:r>
              <w:rPr>
                <w:rFonts w:hint="eastAsia"/>
                <w:sz w:val="21"/>
              </w:rPr>
              <w:t>7</w:t>
            </w:r>
          </w:p>
        </w:tc>
        <w:tc>
          <w:tcPr>
            <w:tcW w:w="1600" w:type="dxa"/>
            <w:vMerge w:val="restart"/>
            <w:vAlign w:val="center"/>
          </w:tcPr>
          <w:p>
            <w:pPr>
              <w:spacing w:line="240" w:lineRule="auto"/>
              <w:jc w:val="center"/>
              <w:rPr>
                <w:sz w:val="21"/>
              </w:rPr>
            </w:pPr>
            <w:r>
              <w:rPr>
                <w:rFonts w:hint="eastAsia"/>
                <w:sz w:val="21"/>
              </w:rPr>
              <w:t>热空气老化（70</w:t>
            </w:r>
            <w:r>
              <w:rPr>
                <w:bCs/>
                <w:sz w:val="21"/>
              </w:rPr>
              <w:t>℃×</w:t>
            </w:r>
            <w:r>
              <w:rPr>
                <w:rFonts w:hint="eastAsia"/>
                <w:bCs/>
                <w:sz w:val="21"/>
              </w:rPr>
              <w:t>168h</w:t>
            </w:r>
            <w:r>
              <w:rPr>
                <w:rFonts w:hint="eastAsia"/>
                <w:sz w:val="21"/>
              </w:rPr>
              <w:t>）</w:t>
            </w:r>
          </w:p>
        </w:tc>
        <w:tc>
          <w:tcPr>
            <w:tcW w:w="1669" w:type="dxa"/>
            <w:vAlign w:val="center"/>
          </w:tcPr>
          <w:p>
            <w:pPr>
              <w:spacing w:line="240" w:lineRule="auto"/>
              <w:jc w:val="center"/>
              <w:rPr>
                <w:sz w:val="21"/>
              </w:rPr>
            </w:pPr>
            <w:r>
              <w:rPr>
                <w:rFonts w:hint="eastAsia"/>
                <w:sz w:val="21"/>
              </w:rPr>
              <w:t>硬度变化</w:t>
            </w:r>
          </w:p>
        </w:tc>
        <w:tc>
          <w:tcPr>
            <w:tcW w:w="741" w:type="dxa"/>
            <w:vAlign w:val="center"/>
          </w:tcPr>
          <w:p>
            <w:pPr>
              <w:spacing w:line="240" w:lineRule="auto"/>
              <w:jc w:val="center"/>
              <w:rPr>
                <w:sz w:val="21"/>
              </w:rPr>
            </w:pPr>
            <w:r>
              <w:rPr>
                <w:rFonts w:hint="eastAsia"/>
                <w:sz w:val="21"/>
              </w:rPr>
              <w:t>度</w:t>
            </w:r>
          </w:p>
        </w:tc>
        <w:tc>
          <w:tcPr>
            <w:tcW w:w="1384" w:type="dxa"/>
            <w:vAlign w:val="center"/>
          </w:tcPr>
          <w:p>
            <w:pPr>
              <w:spacing w:line="240" w:lineRule="auto"/>
              <w:jc w:val="center"/>
              <w:rPr>
                <w:sz w:val="21"/>
              </w:rPr>
            </w:pPr>
            <w:r>
              <w:rPr>
                <w:rFonts w:hint="eastAsia"/>
                <w:sz w:val="21"/>
              </w:rPr>
              <w:t>-5~+8</w:t>
            </w:r>
          </w:p>
        </w:tc>
        <w:tc>
          <w:tcPr>
            <w:tcW w:w="2457" w:type="dxa"/>
            <w:vMerge w:val="restart"/>
            <w:vAlign w:val="center"/>
          </w:tcPr>
          <w:p>
            <w:pPr>
              <w:spacing w:line="240" w:lineRule="auto"/>
              <w:jc w:val="left"/>
              <w:rPr>
                <w:sz w:val="21"/>
              </w:rPr>
            </w:pPr>
            <w:r>
              <w:rPr>
                <w:sz w:val="21"/>
              </w:rPr>
              <w:t>现行国家标准《橡胶密封件  给、排水管及污水管道用接口密封圈  材料规范》GB/T 21873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16" w:hRule="atLeast"/>
        </w:trPr>
        <w:tc>
          <w:tcPr>
            <w:tcW w:w="671" w:type="dxa"/>
            <w:vMerge w:val="continue"/>
            <w:vAlign w:val="center"/>
          </w:tcPr>
          <w:p>
            <w:pPr>
              <w:spacing w:line="240" w:lineRule="auto"/>
              <w:jc w:val="center"/>
              <w:rPr>
                <w:sz w:val="21"/>
              </w:rPr>
            </w:pPr>
          </w:p>
        </w:tc>
        <w:tc>
          <w:tcPr>
            <w:tcW w:w="1600" w:type="dxa"/>
            <w:vMerge w:val="continue"/>
            <w:vAlign w:val="center"/>
          </w:tcPr>
          <w:p>
            <w:pPr>
              <w:spacing w:line="240" w:lineRule="auto"/>
              <w:jc w:val="center"/>
              <w:rPr>
                <w:sz w:val="21"/>
              </w:rPr>
            </w:pPr>
          </w:p>
        </w:tc>
        <w:tc>
          <w:tcPr>
            <w:tcW w:w="1669" w:type="dxa"/>
            <w:vAlign w:val="center"/>
          </w:tcPr>
          <w:p>
            <w:pPr>
              <w:spacing w:line="240" w:lineRule="auto"/>
              <w:jc w:val="center"/>
              <w:rPr>
                <w:sz w:val="21"/>
              </w:rPr>
            </w:pPr>
            <w:r>
              <w:rPr>
                <w:rFonts w:hint="eastAsia"/>
                <w:sz w:val="21"/>
              </w:rPr>
              <w:t>拉升强度变率</w:t>
            </w:r>
          </w:p>
        </w:tc>
        <w:tc>
          <w:tcPr>
            <w:tcW w:w="741" w:type="dxa"/>
            <w:vAlign w:val="center"/>
          </w:tcPr>
          <w:p>
            <w:pPr>
              <w:spacing w:line="240" w:lineRule="auto"/>
              <w:jc w:val="center"/>
              <w:rPr>
                <w:sz w:val="21"/>
              </w:rPr>
            </w:pPr>
            <w:r>
              <w:rPr>
                <w:rFonts w:hint="eastAsia"/>
                <w:sz w:val="21"/>
              </w:rPr>
              <w:t>%</w:t>
            </w:r>
          </w:p>
        </w:tc>
        <w:tc>
          <w:tcPr>
            <w:tcW w:w="1384" w:type="dxa"/>
            <w:vAlign w:val="center"/>
          </w:tcPr>
          <w:p>
            <w:pPr>
              <w:spacing w:line="240" w:lineRule="auto"/>
              <w:jc w:val="center"/>
              <w:rPr>
                <w:sz w:val="21"/>
              </w:rPr>
            </w:pPr>
            <w:r>
              <w:rPr>
                <w:rFonts w:hint="eastAsia" w:asciiTheme="minorEastAsia" w:hAnsiTheme="minorEastAsia"/>
                <w:sz w:val="21"/>
              </w:rPr>
              <w:t>≤-20</w:t>
            </w:r>
          </w:p>
        </w:tc>
        <w:tc>
          <w:tcPr>
            <w:tcW w:w="2457" w:type="dxa"/>
            <w:vMerge w:val="continue"/>
            <w:vAlign w:val="center"/>
          </w:tcPr>
          <w:p>
            <w:pPr>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71" w:type="dxa"/>
            <w:vMerge w:val="continue"/>
            <w:vAlign w:val="center"/>
          </w:tcPr>
          <w:p>
            <w:pPr>
              <w:spacing w:line="240" w:lineRule="auto"/>
              <w:jc w:val="center"/>
              <w:rPr>
                <w:sz w:val="21"/>
              </w:rPr>
            </w:pPr>
          </w:p>
        </w:tc>
        <w:tc>
          <w:tcPr>
            <w:tcW w:w="1600" w:type="dxa"/>
            <w:vMerge w:val="continue"/>
            <w:vAlign w:val="center"/>
          </w:tcPr>
          <w:p>
            <w:pPr>
              <w:spacing w:line="240" w:lineRule="auto"/>
              <w:jc w:val="center"/>
              <w:rPr>
                <w:sz w:val="21"/>
              </w:rPr>
            </w:pPr>
          </w:p>
        </w:tc>
        <w:tc>
          <w:tcPr>
            <w:tcW w:w="1669" w:type="dxa"/>
            <w:vAlign w:val="center"/>
          </w:tcPr>
          <w:p>
            <w:pPr>
              <w:spacing w:line="240" w:lineRule="auto"/>
              <w:jc w:val="center"/>
              <w:rPr>
                <w:sz w:val="21"/>
              </w:rPr>
            </w:pPr>
            <w:r>
              <w:rPr>
                <w:rFonts w:hint="eastAsia"/>
                <w:sz w:val="21"/>
              </w:rPr>
              <w:t>断裂伸长变率</w:t>
            </w:r>
          </w:p>
        </w:tc>
        <w:tc>
          <w:tcPr>
            <w:tcW w:w="741" w:type="dxa"/>
            <w:vAlign w:val="center"/>
          </w:tcPr>
          <w:p>
            <w:pPr>
              <w:spacing w:line="240" w:lineRule="auto"/>
              <w:jc w:val="center"/>
              <w:rPr>
                <w:sz w:val="21"/>
              </w:rPr>
            </w:pPr>
            <w:r>
              <w:rPr>
                <w:rFonts w:hint="eastAsia"/>
                <w:sz w:val="21"/>
              </w:rPr>
              <w:t>%</w:t>
            </w:r>
          </w:p>
        </w:tc>
        <w:tc>
          <w:tcPr>
            <w:tcW w:w="1384" w:type="dxa"/>
            <w:vAlign w:val="center"/>
          </w:tcPr>
          <w:p>
            <w:pPr>
              <w:spacing w:line="240" w:lineRule="auto"/>
              <w:jc w:val="center"/>
              <w:rPr>
                <w:sz w:val="21"/>
              </w:rPr>
            </w:pPr>
            <w:r>
              <w:rPr>
                <w:rFonts w:hint="eastAsia"/>
                <w:sz w:val="21"/>
              </w:rPr>
              <w:t>-30~+10</w:t>
            </w:r>
          </w:p>
        </w:tc>
        <w:tc>
          <w:tcPr>
            <w:tcW w:w="2457" w:type="dxa"/>
            <w:vMerge w:val="continue"/>
            <w:vAlign w:val="center"/>
          </w:tcPr>
          <w:p>
            <w:pPr>
              <w:spacing w:line="240" w:lineRule="auto"/>
              <w:jc w:val="left"/>
              <w:rPr>
                <w:sz w:val="21"/>
              </w:rPr>
            </w:pPr>
          </w:p>
        </w:tc>
      </w:tr>
    </w:tbl>
    <w:p>
      <w:pPr>
        <w:jc w:val="center"/>
        <w:rPr>
          <w:b/>
          <w:bCs/>
          <w:sz w:val="21"/>
          <w:szCs w:val="18"/>
        </w:rPr>
      </w:pPr>
    </w:p>
    <w:p>
      <w:pPr>
        <w:jc w:val="center"/>
        <w:rPr>
          <w:b/>
          <w:bCs/>
          <w:sz w:val="21"/>
          <w:szCs w:val="18"/>
        </w:rPr>
      </w:pPr>
      <w:r>
        <w:rPr>
          <w:b/>
          <w:bCs/>
          <w:sz w:val="21"/>
          <w:szCs w:val="18"/>
        </w:rPr>
        <w:t>表6.2.1</w:t>
      </w:r>
      <w:r>
        <w:rPr>
          <w:rFonts w:hint="eastAsia"/>
          <w:b/>
          <w:bCs/>
          <w:sz w:val="21"/>
          <w:szCs w:val="18"/>
        </w:rPr>
        <w:t>1</w:t>
      </w:r>
      <w:r>
        <w:rPr>
          <w:b/>
          <w:bCs/>
          <w:sz w:val="21"/>
          <w:szCs w:val="18"/>
        </w:rPr>
        <w:t>-3  聚氨酯建筑密封胶的物理力学性能指标</w:t>
      </w:r>
    </w:p>
    <w:tbl>
      <w:tblPr>
        <w:tblStyle w:val="48"/>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560"/>
        <w:gridCol w:w="1701"/>
        <w:gridCol w:w="708"/>
        <w:gridCol w:w="1418"/>
        <w:gridCol w:w="24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3" w:hRule="atLeast"/>
          <w:jc w:val="center"/>
        </w:trPr>
        <w:tc>
          <w:tcPr>
            <w:tcW w:w="675" w:type="dxa"/>
            <w:vAlign w:val="center"/>
          </w:tcPr>
          <w:p>
            <w:pPr>
              <w:spacing w:line="240" w:lineRule="auto"/>
              <w:jc w:val="center"/>
              <w:rPr>
                <w:sz w:val="21"/>
              </w:rPr>
            </w:pPr>
            <w:r>
              <w:rPr>
                <w:sz w:val="21"/>
              </w:rPr>
              <w:t>序号</w:t>
            </w:r>
          </w:p>
        </w:tc>
        <w:tc>
          <w:tcPr>
            <w:tcW w:w="3261" w:type="dxa"/>
            <w:gridSpan w:val="2"/>
            <w:vAlign w:val="center"/>
          </w:tcPr>
          <w:p>
            <w:pPr>
              <w:spacing w:line="240" w:lineRule="auto"/>
              <w:jc w:val="center"/>
              <w:rPr>
                <w:sz w:val="21"/>
              </w:rPr>
            </w:pPr>
            <w:r>
              <w:rPr>
                <w:sz w:val="21"/>
              </w:rPr>
              <w:t>检测项目</w:t>
            </w:r>
          </w:p>
        </w:tc>
        <w:tc>
          <w:tcPr>
            <w:tcW w:w="708" w:type="dxa"/>
            <w:vAlign w:val="center"/>
          </w:tcPr>
          <w:p>
            <w:pPr>
              <w:spacing w:line="240" w:lineRule="auto"/>
              <w:jc w:val="center"/>
              <w:rPr>
                <w:sz w:val="21"/>
              </w:rPr>
            </w:pPr>
            <w:r>
              <w:rPr>
                <w:rFonts w:hint="eastAsia"/>
                <w:sz w:val="21"/>
              </w:rPr>
              <w:t>单位</w:t>
            </w:r>
          </w:p>
        </w:tc>
        <w:tc>
          <w:tcPr>
            <w:tcW w:w="1418" w:type="dxa"/>
            <w:vAlign w:val="center"/>
          </w:tcPr>
          <w:p>
            <w:pPr>
              <w:spacing w:line="240" w:lineRule="auto"/>
              <w:jc w:val="center"/>
              <w:rPr>
                <w:sz w:val="21"/>
              </w:rPr>
            </w:pPr>
            <w:r>
              <w:rPr>
                <w:sz w:val="21"/>
              </w:rPr>
              <w:t>性能指标</w:t>
            </w:r>
          </w:p>
        </w:tc>
        <w:tc>
          <w:tcPr>
            <w:tcW w:w="2460" w:type="dxa"/>
            <w:vAlign w:val="center"/>
          </w:tcPr>
          <w:p>
            <w:pPr>
              <w:spacing w:line="240" w:lineRule="auto"/>
              <w:jc w:val="center"/>
              <w:rPr>
                <w:sz w:val="21"/>
              </w:rPr>
            </w:pPr>
            <w:r>
              <w:rPr>
                <w:bCs/>
                <w:sz w:val="21"/>
              </w:rPr>
              <w:t>检测方法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1</w:t>
            </w:r>
          </w:p>
        </w:tc>
        <w:tc>
          <w:tcPr>
            <w:tcW w:w="3261" w:type="dxa"/>
            <w:gridSpan w:val="2"/>
            <w:vAlign w:val="center"/>
          </w:tcPr>
          <w:p>
            <w:pPr>
              <w:spacing w:line="240" w:lineRule="auto"/>
              <w:jc w:val="center"/>
              <w:rPr>
                <w:sz w:val="21"/>
                <w:vertAlign w:val="superscript"/>
              </w:rPr>
            </w:pPr>
            <w:r>
              <w:rPr>
                <w:sz w:val="21"/>
              </w:rPr>
              <w:t>密度</w:t>
            </w:r>
          </w:p>
        </w:tc>
        <w:tc>
          <w:tcPr>
            <w:tcW w:w="708" w:type="dxa"/>
            <w:vAlign w:val="center"/>
          </w:tcPr>
          <w:p>
            <w:pPr>
              <w:spacing w:line="240" w:lineRule="auto"/>
              <w:jc w:val="center"/>
              <w:rPr>
                <w:sz w:val="21"/>
              </w:rPr>
            </w:pPr>
            <w:r>
              <w:rPr>
                <w:sz w:val="21"/>
              </w:rPr>
              <w:t>g/cm</w:t>
            </w:r>
            <w:r>
              <w:rPr>
                <w:sz w:val="21"/>
                <w:vertAlign w:val="superscript"/>
              </w:rPr>
              <w:t>3</w:t>
            </w:r>
          </w:p>
        </w:tc>
        <w:tc>
          <w:tcPr>
            <w:tcW w:w="1418" w:type="dxa"/>
            <w:vAlign w:val="center"/>
          </w:tcPr>
          <w:p>
            <w:pPr>
              <w:spacing w:line="240" w:lineRule="auto"/>
              <w:jc w:val="center"/>
              <w:rPr>
                <w:sz w:val="21"/>
              </w:rPr>
            </w:pPr>
            <w:r>
              <w:rPr>
                <w:sz w:val="21"/>
              </w:rPr>
              <w:t>规定值±0.1</w:t>
            </w:r>
          </w:p>
        </w:tc>
        <w:tc>
          <w:tcPr>
            <w:tcW w:w="2460" w:type="dxa"/>
            <w:vMerge w:val="restart"/>
            <w:vAlign w:val="center"/>
          </w:tcPr>
          <w:p>
            <w:pPr>
              <w:spacing w:line="240" w:lineRule="auto"/>
              <w:jc w:val="left"/>
              <w:rPr>
                <w:sz w:val="21"/>
              </w:rPr>
            </w:pPr>
            <w:r>
              <w:rPr>
                <w:sz w:val="21"/>
              </w:rPr>
              <w:t>现行行业标准《聚氨酯建筑密封胶》JC/T 482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2</w:t>
            </w:r>
          </w:p>
        </w:tc>
        <w:tc>
          <w:tcPr>
            <w:tcW w:w="3261" w:type="dxa"/>
            <w:gridSpan w:val="2"/>
            <w:vAlign w:val="center"/>
          </w:tcPr>
          <w:p>
            <w:pPr>
              <w:spacing w:line="240" w:lineRule="auto"/>
              <w:jc w:val="center"/>
              <w:rPr>
                <w:sz w:val="21"/>
              </w:rPr>
            </w:pPr>
            <w:r>
              <w:rPr>
                <w:sz w:val="21"/>
              </w:rPr>
              <w:t>下垂度</w:t>
            </w:r>
          </w:p>
        </w:tc>
        <w:tc>
          <w:tcPr>
            <w:tcW w:w="708" w:type="dxa"/>
            <w:vAlign w:val="center"/>
          </w:tcPr>
          <w:p>
            <w:pPr>
              <w:spacing w:line="240" w:lineRule="auto"/>
              <w:jc w:val="center"/>
              <w:rPr>
                <w:sz w:val="21"/>
              </w:rPr>
            </w:pPr>
            <w:r>
              <w:rPr>
                <w:sz w:val="21"/>
              </w:rPr>
              <w:t>mm</w:t>
            </w:r>
          </w:p>
        </w:tc>
        <w:tc>
          <w:tcPr>
            <w:tcW w:w="1418" w:type="dxa"/>
            <w:vAlign w:val="center"/>
          </w:tcPr>
          <w:p>
            <w:pPr>
              <w:spacing w:line="240" w:lineRule="auto"/>
              <w:jc w:val="center"/>
              <w:rPr>
                <w:sz w:val="21"/>
              </w:rPr>
            </w:pPr>
            <w:r>
              <w:rPr>
                <w:sz w:val="21"/>
              </w:rPr>
              <w:t>≤3</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3</w:t>
            </w:r>
          </w:p>
        </w:tc>
        <w:tc>
          <w:tcPr>
            <w:tcW w:w="3261" w:type="dxa"/>
            <w:gridSpan w:val="2"/>
            <w:vAlign w:val="center"/>
          </w:tcPr>
          <w:p>
            <w:pPr>
              <w:spacing w:line="240" w:lineRule="auto"/>
              <w:jc w:val="center"/>
              <w:rPr>
                <w:sz w:val="21"/>
              </w:rPr>
            </w:pPr>
            <w:r>
              <w:rPr>
                <w:sz w:val="21"/>
              </w:rPr>
              <w:t>表干时间</w:t>
            </w:r>
          </w:p>
        </w:tc>
        <w:tc>
          <w:tcPr>
            <w:tcW w:w="708" w:type="dxa"/>
            <w:vAlign w:val="center"/>
          </w:tcPr>
          <w:p>
            <w:pPr>
              <w:spacing w:line="240" w:lineRule="auto"/>
              <w:jc w:val="center"/>
              <w:rPr>
                <w:sz w:val="21"/>
              </w:rPr>
            </w:pPr>
            <w:r>
              <w:rPr>
                <w:sz w:val="21"/>
              </w:rPr>
              <w:t>h</w:t>
            </w:r>
          </w:p>
        </w:tc>
        <w:tc>
          <w:tcPr>
            <w:tcW w:w="1418" w:type="dxa"/>
            <w:vAlign w:val="center"/>
          </w:tcPr>
          <w:p>
            <w:pPr>
              <w:spacing w:line="240" w:lineRule="auto"/>
              <w:jc w:val="center"/>
              <w:rPr>
                <w:sz w:val="21"/>
              </w:rPr>
            </w:pPr>
            <w:r>
              <w:rPr>
                <w:sz w:val="21"/>
              </w:rPr>
              <w:t>≤24</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4</w:t>
            </w:r>
          </w:p>
        </w:tc>
        <w:tc>
          <w:tcPr>
            <w:tcW w:w="3261" w:type="dxa"/>
            <w:gridSpan w:val="2"/>
            <w:vAlign w:val="center"/>
          </w:tcPr>
          <w:p>
            <w:pPr>
              <w:spacing w:line="240" w:lineRule="auto"/>
              <w:jc w:val="center"/>
              <w:rPr>
                <w:sz w:val="21"/>
              </w:rPr>
            </w:pPr>
            <w:r>
              <w:rPr>
                <w:sz w:val="21"/>
              </w:rPr>
              <w:t>挤出性</w:t>
            </w:r>
          </w:p>
        </w:tc>
        <w:tc>
          <w:tcPr>
            <w:tcW w:w="708" w:type="dxa"/>
            <w:vAlign w:val="center"/>
          </w:tcPr>
          <w:p>
            <w:pPr>
              <w:spacing w:line="240" w:lineRule="auto"/>
              <w:jc w:val="center"/>
              <w:rPr>
                <w:sz w:val="21"/>
              </w:rPr>
            </w:pPr>
            <w:r>
              <w:rPr>
                <w:sz w:val="21"/>
              </w:rPr>
              <w:t>ml/min</w:t>
            </w:r>
          </w:p>
        </w:tc>
        <w:tc>
          <w:tcPr>
            <w:tcW w:w="1418" w:type="dxa"/>
            <w:vAlign w:val="center"/>
          </w:tcPr>
          <w:p>
            <w:pPr>
              <w:spacing w:line="240" w:lineRule="auto"/>
              <w:jc w:val="center"/>
              <w:rPr>
                <w:sz w:val="21"/>
              </w:rPr>
            </w:pPr>
            <w:r>
              <w:rPr>
                <w:sz w:val="21"/>
              </w:rPr>
              <w:t>≥80</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5</w:t>
            </w:r>
          </w:p>
        </w:tc>
        <w:tc>
          <w:tcPr>
            <w:tcW w:w="3261" w:type="dxa"/>
            <w:gridSpan w:val="2"/>
            <w:vAlign w:val="center"/>
          </w:tcPr>
          <w:p>
            <w:pPr>
              <w:spacing w:line="240" w:lineRule="auto"/>
              <w:jc w:val="center"/>
              <w:rPr>
                <w:sz w:val="21"/>
              </w:rPr>
            </w:pPr>
            <w:r>
              <w:rPr>
                <w:sz w:val="21"/>
              </w:rPr>
              <w:t>适用期</w:t>
            </w:r>
          </w:p>
        </w:tc>
        <w:tc>
          <w:tcPr>
            <w:tcW w:w="708" w:type="dxa"/>
            <w:vAlign w:val="center"/>
          </w:tcPr>
          <w:p>
            <w:pPr>
              <w:spacing w:line="240" w:lineRule="auto"/>
              <w:jc w:val="center"/>
              <w:rPr>
                <w:sz w:val="21"/>
              </w:rPr>
            </w:pPr>
            <w:r>
              <w:rPr>
                <w:sz w:val="21"/>
              </w:rPr>
              <w:t>h</w:t>
            </w:r>
          </w:p>
        </w:tc>
        <w:tc>
          <w:tcPr>
            <w:tcW w:w="1418" w:type="dxa"/>
            <w:vAlign w:val="center"/>
          </w:tcPr>
          <w:p>
            <w:pPr>
              <w:spacing w:line="240" w:lineRule="auto"/>
              <w:jc w:val="center"/>
              <w:rPr>
                <w:sz w:val="21"/>
              </w:rPr>
            </w:pPr>
            <w:r>
              <w:rPr>
                <w:sz w:val="21"/>
              </w:rPr>
              <w:t>≥1</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6</w:t>
            </w:r>
          </w:p>
        </w:tc>
        <w:tc>
          <w:tcPr>
            <w:tcW w:w="3261" w:type="dxa"/>
            <w:gridSpan w:val="2"/>
            <w:vAlign w:val="center"/>
          </w:tcPr>
          <w:p>
            <w:pPr>
              <w:spacing w:line="240" w:lineRule="auto"/>
              <w:jc w:val="center"/>
              <w:rPr>
                <w:sz w:val="21"/>
              </w:rPr>
            </w:pPr>
            <w:r>
              <w:rPr>
                <w:sz w:val="21"/>
              </w:rPr>
              <w:t>弹性回复率</w:t>
            </w:r>
          </w:p>
        </w:tc>
        <w:tc>
          <w:tcPr>
            <w:tcW w:w="708" w:type="dxa"/>
            <w:vAlign w:val="center"/>
          </w:tcPr>
          <w:p>
            <w:pPr>
              <w:spacing w:line="240" w:lineRule="auto"/>
              <w:jc w:val="center"/>
              <w:rPr>
                <w:sz w:val="21"/>
              </w:rPr>
            </w:pPr>
            <w:r>
              <w:rPr>
                <w:sz w:val="21"/>
              </w:rPr>
              <w:t>%</w:t>
            </w:r>
          </w:p>
        </w:tc>
        <w:tc>
          <w:tcPr>
            <w:tcW w:w="1418" w:type="dxa"/>
            <w:vAlign w:val="center"/>
          </w:tcPr>
          <w:p>
            <w:pPr>
              <w:spacing w:line="240" w:lineRule="auto"/>
              <w:jc w:val="center"/>
              <w:rPr>
                <w:sz w:val="21"/>
              </w:rPr>
            </w:pPr>
            <w:r>
              <w:rPr>
                <w:sz w:val="21"/>
              </w:rPr>
              <w:t>70</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Merge w:val="restart"/>
            <w:vAlign w:val="center"/>
          </w:tcPr>
          <w:p>
            <w:pPr>
              <w:spacing w:line="240" w:lineRule="auto"/>
              <w:jc w:val="center"/>
              <w:rPr>
                <w:sz w:val="21"/>
              </w:rPr>
            </w:pPr>
            <w:r>
              <w:rPr>
                <w:sz w:val="21"/>
              </w:rPr>
              <w:t>7</w:t>
            </w:r>
          </w:p>
        </w:tc>
        <w:tc>
          <w:tcPr>
            <w:tcW w:w="1560" w:type="dxa"/>
            <w:vMerge w:val="restart"/>
            <w:tcBorders>
              <w:right w:val="single" w:color="auto" w:sz="6" w:space="0"/>
            </w:tcBorders>
            <w:vAlign w:val="center"/>
          </w:tcPr>
          <w:p>
            <w:pPr>
              <w:spacing w:line="240" w:lineRule="auto"/>
              <w:jc w:val="center"/>
              <w:rPr>
                <w:sz w:val="21"/>
              </w:rPr>
            </w:pPr>
            <w:r>
              <w:rPr>
                <w:sz w:val="21"/>
              </w:rPr>
              <w:t>拉伸模量</w:t>
            </w:r>
          </w:p>
        </w:tc>
        <w:tc>
          <w:tcPr>
            <w:tcW w:w="1701" w:type="dxa"/>
            <w:tcBorders>
              <w:top w:val="single" w:color="auto" w:sz="6" w:space="0"/>
              <w:left w:val="single" w:color="auto" w:sz="6" w:space="0"/>
              <w:bottom w:val="single" w:color="auto" w:sz="6" w:space="0"/>
            </w:tcBorders>
            <w:vAlign w:val="center"/>
          </w:tcPr>
          <w:p>
            <w:pPr>
              <w:spacing w:line="240" w:lineRule="auto"/>
              <w:jc w:val="center"/>
              <w:rPr>
                <w:sz w:val="21"/>
              </w:rPr>
            </w:pPr>
            <w:r>
              <w:rPr>
                <w:sz w:val="21"/>
              </w:rPr>
              <w:t>23°C</w:t>
            </w:r>
          </w:p>
        </w:tc>
        <w:tc>
          <w:tcPr>
            <w:tcW w:w="708" w:type="dxa"/>
            <w:vMerge w:val="restart"/>
            <w:vAlign w:val="center"/>
          </w:tcPr>
          <w:p>
            <w:pPr>
              <w:spacing w:line="240" w:lineRule="auto"/>
              <w:jc w:val="center"/>
              <w:rPr>
                <w:sz w:val="21"/>
              </w:rPr>
            </w:pPr>
            <w:r>
              <w:rPr>
                <w:sz w:val="21"/>
              </w:rPr>
              <w:t>MPa</w:t>
            </w:r>
          </w:p>
        </w:tc>
        <w:tc>
          <w:tcPr>
            <w:tcW w:w="1418" w:type="dxa"/>
            <w:vAlign w:val="center"/>
          </w:tcPr>
          <w:p>
            <w:pPr>
              <w:spacing w:line="240" w:lineRule="auto"/>
              <w:jc w:val="center"/>
              <w:rPr>
                <w:sz w:val="21"/>
              </w:rPr>
            </w:pPr>
            <w:r>
              <w:rPr>
                <w:sz w:val="21"/>
              </w:rPr>
              <w:t>0.4</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Merge w:val="continue"/>
            <w:vAlign w:val="center"/>
          </w:tcPr>
          <w:p>
            <w:pPr>
              <w:spacing w:line="240" w:lineRule="auto"/>
              <w:jc w:val="center"/>
              <w:rPr>
                <w:sz w:val="21"/>
              </w:rPr>
            </w:pPr>
          </w:p>
        </w:tc>
        <w:tc>
          <w:tcPr>
            <w:tcW w:w="1560" w:type="dxa"/>
            <w:vMerge w:val="continue"/>
            <w:tcBorders>
              <w:right w:val="single" w:color="auto" w:sz="6" w:space="0"/>
            </w:tcBorders>
            <w:vAlign w:val="center"/>
          </w:tcPr>
          <w:p>
            <w:pPr>
              <w:spacing w:line="240" w:lineRule="auto"/>
              <w:jc w:val="center"/>
              <w:rPr>
                <w:sz w:val="21"/>
              </w:rPr>
            </w:pPr>
          </w:p>
        </w:tc>
        <w:tc>
          <w:tcPr>
            <w:tcW w:w="1701" w:type="dxa"/>
            <w:tcBorders>
              <w:top w:val="single" w:color="auto" w:sz="6" w:space="0"/>
              <w:left w:val="single" w:color="auto" w:sz="6" w:space="0"/>
              <w:bottom w:val="single" w:color="auto" w:sz="6" w:space="0"/>
            </w:tcBorders>
            <w:vAlign w:val="center"/>
          </w:tcPr>
          <w:p>
            <w:pPr>
              <w:spacing w:line="240" w:lineRule="auto"/>
              <w:jc w:val="center"/>
              <w:rPr>
                <w:sz w:val="21"/>
              </w:rPr>
            </w:pPr>
            <w:r>
              <w:rPr>
                <w:sz w:val="21"/>
              </w:rPr>
              <w:t>-20°C</w:t>
            </w:r>
          </w:p>
        </w:tc>
        <w:tc>
          <w:tcPr>
            <w:tcW w:w="708" w:type="dxa"/>
            <w:vMerge w:val="continue"/>
            <w:vAlign w:val="center"/>
          </w:tcPr>
          <w:p>
            <w:pPr>
              <w:spacing w:line="240" w:lineRule="auto"/>
              <w:jc w:val="center"/>
              <w:rPr>
                <w:sz w:val="21"/>
              </w:rPr>
            </w:pPr>
          </w:p>
        </w:tc>
        <w:tc>
          <w:tcPr>
            <w:tcW w:w="1418" w:type="dxa"/>
            <w:vAlign w:val="center"/>
          </w:tcPr>
          <w:p>
            <w:pPr>
              <w:spacing w:line="240" w:lineRule="auto"/>
              <w:jc w:val="center"/>
              <w:rPr>
                <w:sz w:val="21"/>
              </w:rPr>
            </w:pPr>
            <w:r>
              <w:rPr>
                <w:sz w:val="21"/>
              </w:rPr>
              <w:t>0.6</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8</w:t>
            </w:r>
          </w:p>
        </w:tc>
        <w:tc>
          <w:tcPr>
            <w:tcW w:w="3261" w:type="dxa"/>
            <w:gridSpan w:val="2"/>
            <w:vAlign w:val="center"/>
          </w:tcPr>
          <w:p>
            <w:pPr>
              <w:spacing w:line="240" w:lineRule="auto"/>
              <w:jc w:val="center"/>
              <w:rPr>
                <w:sz w:val="21"/>
              </w:rPr>
            </w:pPr>
            <w:r>
              <w:rPr>
                <w:sz w:val="21"/>
              </w:rPr>
              <w:t>定伸粘结性</w:t>
            </w:r>
          </w:p>
        </w:tc>
        <w:tc>
          <w:tcPr>
            <w:tcW w:w="708" w:type="dxa"/>
            <w:vAlign w:val="center"/>
          </w:tcPr>
          <w:p>
            <w:pPr>
              <w:spacing w:line="240" w:lineRule="auto"/>
              <w:jc w:val="center"/>
              <w:rPr>
                <w:sz w:val="21"/>
              </w:rPr>
            </w:pPr>
            <w:r>
              <w:rPr>
                <w:bCs/>
                <w:sz w:val="21"/>
              </w:rPr>
              <w:t>—</w:t>
            </w:r>
          </w:p>
        </w:tc>
        <w:tc>
          <w:tcPr>
            <w:tcW w:w="1418" w:type="dxa"/>
            <w:vAlign w:val="center"/>
          </w:tcPr>
          <w:p>
            <w:pPr>
              <w:spacing w:line="240" w:lineRule="auto"/>
              <w:jc w:val="center"/>
              <w:rPr>
                <w:sz w:val="21"/>
              </w:rPr>
            </w:pPr>
            <w:r>
              <w:rPr>
                <w:sz w:val="21"/>
              </w:rPr>
              <w:t>无破坏</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9</w:t>
            </w:r>
          </w:p>
        </w:tc>
        <w:tc>
          <w:tcPr>
            <w:tcW w:w="3261" w:type="dxa"/>
            <w:gridSpan w:val="2"/>
            <w:vAlign w:val="center"/>
          </w:tcPr>
          <w:p>
            <w:pPr>
              <w:spacing w:line="240" w:lineRule="auto"/>
              <w:jc w:val="center"/>
              <w:rPr>
                <w:sz w:val="21"/>
              </w:rPr>
            </w:pPr>
            <w:r>
              <w:rPr>
                <w:sz w:val="21"/>
              </w:rPr>
              <w:t>浸水后定伸粘结性</w:t>
            </w:r>
          </w:p>
        </w:tc>
        <w:tc>
          <w:tcPr>
            <w:tcW w:w="708" w:type="dxa"/>
            <w:vAlign w:val="center"/>
          </w:tcPr>
          <w:p>
            <w:pPr>
              <w:spacing w:line="240" w:lineRule="auto"/>
              <w:jc w:val="center"/>
              <w:rPr>
                <w:sz w:val="21"/>
              </w:rPr>
            </w:pPr>
            <w:r>
              <w:rPr>
                <w:bCs/>
                <w:sz w:val="21"/>
              </w:rPr>
              <w:t>—</w:t>
            </w:r>
          </w:p>
        </w:tc>
        <w:tc>
          <w:tcPr>
            <w:tcW w:w="1418" w:type="dxa"/>
            <w:vAlign w:val="center"/>
          </w:tcPr>
          <w:p>
            <w:pPr>
              <w:spacing w:line="240" w:lineRule="auto"/>
              <w:jc w:val="center"/>
              <w:rPr>
                <w:sz w:val="21"/>
              </w:rPr>
            </w:pPr>
            <w:r>
              <w:rPr>
                <w:sz w:val="21"/>
              </w:rPr>
              <w:t>无破坏</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10</w:t>
            </w:r>
          </w:p>
        </w:tc>
        <w:tc>
          <w:tcPr>
            <w:tcW w:w="3261" w:type="dxa"/>
            <w:gridSpan w:val="2"/>
            <w:vAlign w:val="center"/>
          </w:tcPr>
          <w:p>
            <w:pPr>
              <w:spacing w:line="240" w:lineRule="auto"/>
              <w:jc w:val="center"/>
              <w:rPr>
                <w:sz w:val="21"/>
              </w:rPr>
            </w:pPr>
            <w:r>
              <w:rPr>
                <w:sz w:val="21"/>
              </w:rPr>
              <w:t>冷拉-热压后的粘结性</w:t>
            </w:r>
          </w:p>
        </w:tc>
        <w:tc>
          <w:tcPr>
            <w:tcW w:w="708" w:type="dxa"/>
            <w:vAlign w:val="center"/>
          </w:tcPr>
          <w:p>
            <w:pPr>
              <w:spacing w:line="240" w:lineRule="auto"/>
              <w:jc w:val="center"/>
              <w:rPr>
                <w:sz w:val="21"/>
              </w:rPr>
            </w:pPr>
            <w:r>
              <w:rPr>
                <w:bCs/>
                <w:sz w:val="21"/>
              </w:rPr>
              <w:t>—</w:t>
            </w:r>
          </w:p>
        </w:tc>
        <w:tc>
          <w:tcPr>
            <w:tcW w:w="1418" w:type="dxa"/>
            <w:vAlign w:val="center"/>
          </w:tcPr>
          <w:p>
            <w:pPr>
              <w:spacing w:line="240" w:lineRule="auto"/>
              <w:jc w:val="center"/>
              <w:rPr>
                <w:sz w:val="21"/>
              </w:rPr>
            </w:pPr>
            <w:r>
              <w:rPr>
                <w:sz w:val="21"/>
              </w:rPr>
              <w:t>无破坏</w:t>
            </w:r>
          </w:p>
        </w:tc>
        <w:tc>
          <w:tcPr>
            <w:tcW w:w="2460" w:type="dxa"/>
            <w:vMerge w:val="continue"/>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0" w:hRule="atLeast"/>
          <w:jc w:val="center"/>
        </w:trPr>
        <w:tc>
          <w:tcPr>
            <w:tcW w:w="675" w:type="dxa"/>
            <w:vAlign w:val="center"/>
          </w:tcPr>
          <w:p>
            <w:pPr>
              <w:spacing w:line="240" w:lineRule="auto"/>
              <w:jc w:val="center"/>
              <w:rPr>
                <w:sz w:val="21"/>
              </w:rPr>
            </w:pPr>
            <w:r>
              <w:rPr>
                <w:sz w:val="21"/>
              </w:rPr>
              <w:t>11</w:t>
            </w:r>
          </w:p>
        </w:tc>
        <w:tc>
          <w:tcPr>
            <w:tcW w:w="3261" w:type="dxa"/>
            <w:gridSpan w:val="2"/>
            <w:vAlign w:val="center"/>
          </w:tcPr>
          <w:p>
            <w:pPr>
              <w:spacing w:line="240" w:lineRule="auto"/>
              <w:jc w:val="center"/>
              <w:rPr>
                <w:sz w:val="21"/>
              </w:rPr>
            </w:pPr>
            <w:r>
              <w:rPr>
                <w:sz w:val="21"/>
              </w:rPr>
              <w:t>质量损失率</w:t>
            </w:r>
          </w:p>
        </w:tc>
        <w:tc>
          <w:tcPr>
            <w:tcW w:w="708" w:type="dxa"/>
            <w:vAlign w:val="center"/>
          </w:tcPr>
          <w:p>
            <w:pPr>
              <w:spacing w:line="240" w:lineRule="auto"/>
              <w:jc w:val="center"/>
              <w:rPr>
                <w:sz w:val="21"/>
              </w:rPr>
            </w:pPr>
            <w:r>
              <w:rPr>
                <w:sz w:val="21"/>
              </w:rPr>
              <w:t>%</w:t>
            </w:r>
          </w:p>
        </w:tc>
        <w:tc>
          <w:tcPr>
            <w:tcW w:w="1418" w:type="dxa"/>
            <w:vAlign w:val="center"/>
          </w:tcPr>
          <w:p>
            <w:pPr>
              <w:spacing w:line="240" w:lineRule="auto"/>
              <w:jc w:val="center"/>
              <w:rPr>
                <w:sz w:val="21"/>
              </w:rPr>
            </w:pPr>
            <w:r>
              <w:rPr>
                <w:sz w:val="21"/>
              </w:rPr>
              <w:t>≤7</w:t>
            </w:r>
          </w:p>
        </w:tc>
        <w:tc>
          <w:tcPr>
            <w:tcW w:w="2460" w:type="dxa"/>
            <w:vMerge w:val="continue"/>
            <w:vAlign w:val="center"/>
          </w:tcPr>
          <w:p>
            <w:pPr>
              <w:spacing w:line="240" w:lineRule="auto"/>
              <w:jc w:val="center"/>
              <w:rPr>
                <w:sz w:val="21"/>
              </w:rPr>
            </w:pPr>
          </w:p>
        </w:tc>
      </w:tr>
    </w:tbl>
    <w:p>
      <w:bookmarkStart w:id="278" w:name="_Toc3645"/>
      <w:bookmarkStart w:id="279" w:name="_Toc2355"/>
      <w:bookmarkStart w:id="280" w:name="_Toc29418"/>
      <w:bookmarkStart w:id="281" w:name="_Toc4249"/>
      <w:bookmarkStart w:id="282" w:name="_Toc27444"/>
      <w:bookmarkStart w:id="283" w:name="_Toc17273"/>
    </w:p>
    <w:p>
      <w:pPr>
        <w:keepNext/>
        <w:keepLines/>
        <w:jc w:val="center"/>
        <w:outlineLvl w:val="1"/>
        <w:rPr>
          <w:rFonts w:eastAsia="黑体"/>
          <w:bCs/>
          <w:sz w:val="28"/>
          <w:szCs w:val="32"/>
        </w:rPr>
      </w:pPr>
      <w:bookmarkStart w:id="284" w:name="_Toc11840"/>
      <w:r>
        <w:rPr>
          <w:rFonts w:eastAsia="黑体"/>
          <w:bCs/>
          <w:sz w:val="28"/>
          <w:szCs w:val="32"/>
        </w:rPr>
        <w:fldChar w:fldCharType="begin"/>
      </w:r>
      <w:r>
        <w:rPr>
          <w:rFonts w:eastAsia="黑体"/>
          <w:bCs/>
          <w:sz w:val="28"/>
          <w:szCs w:val="32"/>
        </w:rPr>
        <w:instrText xml:space="preserve"> HYPERLINK "file:///C:\\Users\\xy155\\Desktop\\矩形顶管工程技术规程2019.3.22.docx" \l "_Toc8623" </w:instrText>
      </w:r>
      <w:r>
        <w:rPr>
          <w:rFonts w:eastAsia="黑体"/>
          <w:bCs/>
          <w:sz w:val="28"/>
          <w:szCs w:val="32"/>
        </w:rPr>
        <w:fldChar w:fldCharType="separate"/>
      </w:r>
      <w:bookmarkStart w:id="285" w:name="_Toc60172905"/>
      <w:bookmarkStart w:id="286" w:name="_Toc18057045"/>
      <w:bookmarkStart w:id="287" w:name="_Toc47692164"/>
      <w:bookmarkStart w:id="288" w:name="_Toc60173792"/>
      <w:r>
        <w:rPr>
          <w:rFonts w:eastAsia="黑体"/>
          <w:b/>
          <w:bCs/>
          <w:sz w:val="28"/>
          <w:szCs w:val="32"/>
        </w:rPr>
        <w:t>6.3</w:t>
      </w:r>
      <w:r>
        <w:rPr>
          <w:rFonts w:eastAsia="黑体"/>
          <w:bCs/>
          <w:sz w:val="28"/>
          <w:szCs w:val="32"/>
        </w:rPr>
        <w:t xml:space="preserve"> </w:t>
      </w:r>
      <w:r>
        <w:rPr>
          <w:rFonts w:eastAsia="黑体"/>
          <w:bCs/>
          <w:sz w:val="28"/>
          <w:szCs w:val="32"/>
        </w:rPr>
        <w:fldChar w:fldCharType="end"/>
      </w:r>
      <w:r>
        <w:rPr>
          <w:rFonts w:eastAsia="黑体"/>
          <w:bCs/>
          <w:sz w:val="28"/>
          <w:szCs w:val="32"/>
        </w:rPr>
        <w:t xml:space="preserve"> 接头构造</w:t>
      </w:r>
      <w:bookmarkEnd w:id="278"/>
      <w:bookmarkEnd w:id="279"/>
      <w:bookmarkEnd w:id="280"/>
      <w:bookmarkEnd w:id="281"/>
      <w:bookmarkEnd w:id="282"/>
      <w:bookmarkEnd w:id="283"/>
      <w:bookmarkEnd w:id="284"/>
      <w:bookmarkEnd w:id="285"/>
      <w:bookmarkEnd w:id="286"/>
      <w:bookmarkEnd w:id="287"/>
      <w:bookmarkEnd w:id="288"/>
    </w:p>
    <w:p>
      <w:pPr>
        <w:snapToGrid w:val="0"/>
      </w:pPr>
      <w:r>
        <w:rPr>
          <w:b/>
        </w:rPr>
        <w:t xml:space="preserve">6.3.1  </w:t>
      </w:r>
      <w:r>
        <w:t>管节钢承口端柔性接口可分为单胶圈和双胶圈两种形式（图6.3.1-1</w:t>
      </w:r>
      <w:r>
        <w:rPr>
          <w:rFonts w:hint="eastAsia"/>
        </w:rPr>
        <w:t>、图</w:t>
      </w:r>
      <w:r>
        <w:t>6.3.1-</w:t>
      </w:r>
      <w:r>
        <w:rPr>
          <w:rFonts w:hint="eastAsia"/>
        </w:rPr>
        <w:t>2</w:t>
      </w:r>
      <w:r>
        <w:t>）</w:t>
      </w:r>
      <w:r>
        <w:rPr>
          <w:rFonts w:hint="eastAsia"/>
        </w:rPr>
        <w:t>，密封胶条或遇水膨胀橡胶的尺寸应满足设计要求。</w:t>
      </w:r>
    </w:p>
    <w:p>
      <w:pPr>
        <w:spacing w:line="240" w:lineRule="auto"/>
        <w:jc w:val="center"/>
      </w:pPr>
      <w:r>
        <w:drawing>
          <wp:inline distT="0" distB="0" distL="0" distR="0">
            <wp:extent cx="5486400" cy="2806700"/>
            <wp:effectExtent l="0" t="0" r="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2"/>
                    <a:stretch>
                      <a:fillRect/>
                    </a:stretch>
                  </pic:blipFill>
                  <pic:spPr>
                    <a:xfrm>
                      <a:off x="0" y="0"/>
                      <a:ext cx="5486400" cy="2806700"/>
                    </a:xfrm>
                    <a:prstGeom prst="rect">
                      <a:avLst/>
                    </a:prstGeom>
                  </pic:spPr>
                </pic:pic>
              </a:graphicData>
            </a:graphic>
          </wp:inline>
        </w:drawing>
      </w:r>
    </w:p>
    <w:p>
      <w:pPr>
        <w:jc w:val="center"/>
        <w:rPr>
          <w:sz w:val="18"/>
          <w:szCs w:val="18"/>
        </w:rPr>
      </w:pPr>
      <w:r>
        <w:rPr>
          <w:rFonts w:hint="eastAsia"/>
          <w:bCs/>
          <w:sz w:val="21"/>
          <w:szCs w:val="18"/>
        </w:rPr>
        <w:t>（a）</w:t>
      </w:r>
      <w:r>
        <w:rPr>
          <w:bCs/>
          <w:sz w:val="21"/>
          <w:szCs w:val="18"/>
        </w:rPr>
        <w:t>单胶圈</w:t>
      </w:r>
    </w:p>
    <w:p>
      <w:pPr>
        <w:jc w:val="center"/>
      </w:pPr>
      <w:r>
        <w:drawing>
          <wp:inline distT="0" distB="0" distL="0" distR="0">
            <wp:extent cx="5399405" cy="2776220"/>
            <wp:effectExtent l="0" t="0" r="1079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3"/>
                    <a:srcRect l="3157" r="3300"/>
                    <a:stretch>
                      <a:fillRect/>
                    </a:stretch>
                  </pic:blipFill>
                  <pic:spPr>
                    <a:xfrm>
                      <a:off x="0" y="0"/>
                      <a:ext cx="5399405" cy="2777180"/>
                    </a:xfrm>
                    <a:prstGeom prst="rect">
                      <a:avLst/>
                    </a:prstGeom>
                    <a:ln>
                      <a:noFill/>
                    </a:ln>
                  </pic:spPr>
                </pic:pic>
              </a:graphicData>
            </a:graphic>
          </wp:inline>
        </w:drawing>
      </w:r>
    </w:p>
    <w:p>
      <w:pPr>
        <w:ind w:firstLine="420" w:firstLineChars="200"/>
        <w:jc w:val="center"/>
        <w:rPr>
          <w:bCs/>
          <w:sz w:val="21"/>
          <w:szCs w:val="18"/>
        </w:rPr>
      </w:pPr>
      <w:r>
        <w:rPr>
          <w:rFonts w:hint="eastAsia"/>
          <w:bCs/>
          <w:sz w:val="21"/>
          <w:szCs w:val="18"/>
        </w:rPr>
        <w:t>（b）</w:t>
      </w:r>
      <w:r>
        <w:rPr>
          <w:bCs/>
          <w:sz w:val="21"/>
          <w:szCs w:val="18"/>
        </w:rPr>
        <w:t>双胶圈</w:t>
      </w:r>
    </w:p>
    <w:p>
      <w:pPr>
        <w:ind w:firstLine="422" w:firstLineChars="200"/>
        <w:jc w:val="center"/>
        <w:rPr>
          <w:b/>
          <w:bCs/>
          <w:sz w:val="21"/>
          <w:szCs w:val="18"/>
        </w:rPr>
      </w:pPr>
      <w:r>
        <w:rPr>
          <w:b/>
          <w:bCs/>
          <w:sz w:val="21"/>
          <w:szCs w:val="18"/>
        </w:rPr>
        <w:t>图6.3.1-</w:t>
      </w:r>
      <w:r>
        <w:rPr>
          <w:rFonts w:hint="eastAsia"/>
          <w:b/>
          <w:bCs/>
          <w:sz w:val="21"/>
          <w:szCs w:val="18"/>
        </w:rPr>
        <w:t>1</w:t>
      </w:r>
      <w:r>
        <w:rPr>
          <w:b/>
          <w:bCs/>
          <w:sz w:val="21"/>
          <w:szCs w:val="18"/>
        </w:rPr>
        <w:t xml:space="preserve">  管节钢承口管柔性接头示意图</w:t>
      </w:r>
    </w:p>
    <w:p>
      <w:pPr>
        <w:spacing w:line="240" w:lineRule="auto"/>
        <w:ind w:firstLine="318" w:firstLineChars="177"/>
        <w:jc w:val="center"/>
        <w:rPr>
          <w:sz w:val="18"/>
          <w:szCs w:val="18"/>
        </w:rPr>
      </w:pPr>
      <w:r>
        <w:rPr>
          <w:sz w:val="18"/>
          <w:szCs w:val="18"/>
        </w:rPr>
        <w:t>1—</w:t>
      </w:r>
      <w:r>
        <w:rPr>
          <w:rFonts w:hint="eastAsia"/>
          <w:sz w:val="18"/>
          <w:szCs w:val="18"/>
        </w:rPr>
        <w:t>氯丁橡胶或三元乙丙橡胶止水条</w:t>
      </w:r>
      <w:r>
        <w:rPr>
          <w:sz w:val="18"/>
          <w:szCs w:val="18"/>
        </w:rPr>
        <w:t>；2—</w:t>
      </w:r>
      <w:r>
        <w:rPr>
          <w:rFonts w:hint="eastAsia"/>
          <w:sz w:val="18"/>
          <w:szCs w:val="18"/>
        </w:rPr>
        <w:t>聚氨脂密封胶条</w:t>
      </w:r>
      <w:r>
        <w:rPr>
          <w:sz w:val="18"/>
          <w:szCs w:val="18"/>
        </w:rPr>
        <w:t>；3—</w:t>
      </w:r>
      <w:r>
        <w:rPr>
          <w:rFonts w:hint="eastAsia"/>
          <w:sz w:val="18"/>
          <w:szCs w:val="18"/>
        </w:rPr>
        <w:t>遇水膨胀橡胶止水条</w:t>
      </w:r>
      <w:r>
        <w:rPr>
          <w:sz w:val="18"/>
          <w:szCs w:val="18"/>
        </w:rPr>
        <w:t>；</w:t>
      </w:r>
    </w:p>
    <w:p>
      <w:pPr>
        <w:spacing w:line="240" w:lineRule="auto"/>
        <w:ind w:firstLine="858" w:firstLineChars="477"/>
        <w:jc w:val="center"/>
        <w:rPr>
          <w:sz w:val="18"/>
          <w:szCs w:val="18"/>
        </w:rPr>
      </w:pPr>
      <w:r>
        <w:rPr>
          <w:sz w:val="18"/>
          <w:szCs w:val="18"/>
        </w:rPr>
        <w:t>4—</w:t>
      </w:r>
      <w:r>
        <w:rPr>
          <w:rFonts w:hint="eastAsia"/>
          <w:sz w:val="18"/>
          <w:szCs w:val="18"/>
        </w:rPr>
        <w:t>聚氨脂密封胶条</w:t>
      </w:r>
    </w:p>
    <w:p>
      <w:pPr>
        <w:spacing w:line="240" w:lineRule="auto"/>
        <w:ind w:firstLine="1144" w:firstLineChars="477"/>
        <w:rPr>
          <w:sz w:val="18"/>
          <w:szCs w:val="18"/>
        </w:rPr>
      </w:pPr>
      <w:r>
        <w:drawing>
          <wp:inline distT="0" distB="0" distL="0" distR="0">
            <wp:extent cx="1913255" cy="1639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4">
                      <a:extLst>
                        <a:ext uri="{28A0092B-C50C-407E-A947-70E740481C1C}">
                          <a14:useLocalDpi xmlns:a14="http://schemas.microsoft.com/office/drawing/2010/main" val="0"/>
                        </a:ext>
                      </a:extLst>
                    </a:blip>
                    <a:srcRect l="18450" r="19188"/>
                    <a:stretch>
                      <a:fillRect/>
                    </a:stretch>
                  </pic:blipFill>
                  <pic:spPr>
                    <a:xfrm>
                      <a:off x="0" y="0"/>
                      <a:ext cx="1913255" cy="1639570"/>
                    </a:xfrm>
                    <a:prstGeom prst="rect">
                      <a:avLst/>
                    </a:prstGeom>
                    <a:ln>
                      <a:noFill/>
                    </a:ln>
                  </pic:spPr>
                </pic:pic>
              </a:graphicData>
            </a:graphic>
          </wp:inline>
        </w:drawing>
      </w:r>
      <w:r>
        <w:rPr>
          <w:rFonts w:hint="eastAsia"/>
          <w:sz w:val="18"/>
          <w:szCs w:val="18"/>
        </w:rPr>
        <w:t xml:space="preserve">  </w:t>
      </w:r>
      <w:r>
        <w:rPr>
          <w:sz w:val="18"/>
          <w:szCs w:val="18"/>
        </w:rPr>
        <w:t xml:space="preserve"> </w:t>
      </w:r>
      <w:r>
        <w:rPr>
          <w:rFonts w:hint="eastAsia"/>
          <w:sz w:val="18"/>
          <w:szCs w:val="18"/>
        </w:rPr>
        <w:t xml:space="preserve">      </w:t>
      </w:r>
      <w:r>
        <w:drawing>
          <wp:inline distT="0" distB="0" distL="0" distR="0">
            <wp:extent cx="1382395" cy="1062355"/>
            <wp:effectExtent l="0" t="0" r="8255"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5" cstate="print">
                      <a:extLst>
                        <a:ext uri="{28A0092B-C50C-407E-A947-70E740481C1C}">
                          <a14:useLocalDpi xmlns:a14="http://schemas.microsoft.com/office/drawing/2010/main" val="0"/>
                        </a:ext>
                      </a:extLst>
                    </a:blip>
                    <a:srcRect l="15789" r="15789"/>
                    <a:stretch>
                      <a:fillRect/>
                    </a:stretch>
                  </pic:blipFill>
                  <pic:spPr>
                    <a:xfrm>
                      <a:off x="0" y="0"/>
                      <a:ext cx="1382395" cy="1062355"/>
                    </a:xfrm>
                    <a:prstGeom prst="rect">
                      <a:avLst/>
                    </a:prstGeom>
                    <a:ln>
                      <a:noFill/>
                    </a:ln>
                  </pic:spPr>
                </pic:pic>
              </a:graphicData>
            </a:graphic>
          </wp:inline>
        </w:drawing>
      </w:r>
    </w:p>
    <w:p>
      <w:pPr>
        <w:ind w:firstLine="1038" w:firstLineChars="577"/>
        <w:jc w:val="left"/>
        <w:rPr>
          <w:sz w:val="18"/>
          <w:szCs w:val="15"/>
        </w:rPr>
      </w:pPr>
      <w:r>
        <w:rPr>
          <w:rFonts w:hint="eastAsia"/>
          <w:sz w:val="18"/>
          <w:szCs w:val="15"/>
        </w:rPr>
        <w:t xml:space="preserve">（a）氯丁橡胶或三元乙丙橡胶止水条截面   </w:t>
      </w:r>
      <w:r>
        <w:rPr>
          <w:sz w:val="18"/>
          <w:szCs w:val="15"/>
        </w:rPr>
        <w:t xml:space="preserve">    </w:t>
      </w:r>
      <w:r>
        <w:rPr>
          <w:rFonts w:hint="eastAsia"/>
          <w:sz w:val="18"/>
          <w:szCs w:val="15"/>
        </w:rPr>
        <w:t>（b）</w:t>
      </w:r>
      <w:r>
        <w:rPr>
          <w:rFonts w:hint="eastAsia"/>
          <w:sz w:val="18"/>
          <w:szCs w:val="18"/>
        </w:rPr>
        <w:t>聚氨脂密封胶条截面</w:t>
      </w:r>
    </w:p>
    <w:p>
      <w:pPr>
        <w:ind w:firstLine="424" w:firstLineChars="177"/>
        <w:jc w:val="center"/>
        <w:rPr>
          <w:sz w:val="18"/>
          <w:szCs w:val="18"/>
        </w:rPr>
      </w:pPr>
      <w:r>
        <w:drawing>
          <wp:inline distT="0" distB="0" distL="0" distR="0">
            <wp:extent cx="1711960" cy="1644015"/>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6">
                      <a:extLst>
                        <a:ext uri="{28A0092B-C50C-407E-A947-70E740481C1C}">
                          <a14:useLocalDpi xmlns:a14="http://schemas.microsoft.com/office/drawing/2010/main" val="0"/>
                        </a:ext>
                      </a:extLst>
                    </a:blip>
                    <a:srcRect l="20676" r="18106"/>
                    <a:stretch>
                      <a:fillRect/>
                    </a:stretch>
                  </pic:blipFill>
                  <pic:spPr>
                    <a:xfrm>
                      <a:off x="0" y="0"/>
                      <a:ext cx="1711842" cy="1643822"/>
                    </a:xfrm>
                    <a:prstGeom prst="rect">
                      <a:avLst/>
                    </a:prstGeom>
                    <a:ln>
                      <a:noFill/>
                    </a:ln>
                  </pic:spPr>
                </pic:pic>
              </a:graphicData>
            </a:graphic>
          </wp:inline>
        </w:drawing>
      </w:r>
      <w:r>
        <w:t xml:space="preserve">      </w:t>
      </w:r>
      <w:r>
        <w:drawing>
          <wp:inline distT="0" distB="0" distL="0" distR="0">
            <wp:extent cx="1835150" cy="12014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7" cstate="print">
                      <a:extLst>
                        <a:ext uri="{28A0092B-C50C-407E-A947-70E740481C1C}">
                          <a14:useLocalDpi xmlns:a14="http://schemas.microsoft.com/office/drawing/2010/main" val="0"/>
                        </a:ext>
                      </a:extLst>
                    </a:blip>
                    <a:srcRect l="14732" r="15178"/>
                    <a:stretch>
                      <a:fillRect/>
                    </a:stretch>
                  </pic:blipFill>
                  <pic:spPr>
                    <a:xfrm>
                      <a:off x="0" y="0"/>
                      <a:ext cx="1831910" cy="1199333"/>
                    </a:xfrm>
                    <a:prstGeom prst="rect">
                      <a:avLst/>
                    </a:prstGeom>
                    <a:ln>
                      <a:noFill/>
                    </a:ln>
                  </pic:spPr>
                </pic:pic>
              </a:graphicData>
            </a:graphic>
          </wp:inline>
        </w:drawing>
      </w:r>
    </w:p>
    <w:p>
      <w:pPr>
        <w:ind w:firstLine="540" w:firstLineChars="300"/>
        <w:jc w:val="center"/>
        <w:rPr>
          <w:sz w:val="18"/>
          <w:szCs w:val="18"/>
        </w:rPr>
      </w:pPr>
      <w:r>
        <w:rPr>
          <w:rFonts w:hint="eastAsia"/>
          <w:sz w:val="18"/>
          <w:szCs w:val="18"/>
        </w:rPr>
        <w:t xml:space="preserve">（c）聚氨脂密封胶条截面              </w:t>
      </w:r>
      <w:r>
        <w:rPr>
          <w:sz w:val="18"/>
          <w:szCs w:val="18"/>
        </w:rPr>
        <w:t xml:space="preserve">   </w:t>
      </w:r>
      <w:r>
        <w:rPr>
          <w:rFonts w:hint="eastAsia"/>
          <w:sz w:val="18"/>
          <w:szCs w:val="18"/>
        </w:rPr>
        <w:t xml:space="preserve">    （d）遇水膨胀橡胶止水条截面</w:t>
      </w:r>
    </w:p>
    <w:p>
      <w:pPr>
        <w:ind w:firstLine="422" w:firstLineChars="200"/>
        <w:jc w:val="center"/>
        <w:rPr>
          <w:b/>
          <w:bCs/>
          <w:sz w:val="21"/>
        </w:rPr>
      </w:pPr>
      <w:r>
        <w:rPr>
          <w:rFonts w:hint="eastAsia"/>
          <w:b/>
          <w:bCs/>
          <w:sz w:val="21"/>
        </w:rPr>
        <w:t>图6.3.1-2  管节防水材料构造示意图</w:t>
      </w:r>
    </w:p>
    <w:p>
      <w:r>
        <w:rPr>
          <w:b/>
          <w:bCs/>
        </w:rPr>
        <w:t xml:space="preserve">6.3.2  </w:t>
      </w:r>
      <w:r>
        <w:t>矩形管节钢承口细部尺寸可按表6.3.2选用。</w:t>
      </w:r>
    </w:p>
    <w:p>
      <w:pPr>
        <w:sectPr>
          <w:pgSz w:w="11906" w:h="16838"/>
          <w:pgMar w:top="1440" w:right="1800" w:bottom="1440" w:left="1800" w:header="851" w:footer="992" w:gutter="0"/>
          <w:cols w:space="425" w:num="1"/>
          <w:docGrid w:type="lines" w:linePitch="312" w:charSpace="0"/>
        </w:sectPr>
      </w:pPr>
    </w:p>
    <w:p>
      <w:pPr>
        <w:jc w:val="center"/>
        <w:rPr>
          <w:b/>
          <w:bCs/>
        </w:rPr>
      </w:pPr>
      <w:r>
        <w:rPr>
          <w:b/>
          <w:bCs/>
        </w:rPr>
        <w:t>表6.3.2  矩形管节钢承口接头细部尺寸（mm）</w:t>
      </w:r>
    </w:p>
    <w:tbl>
      <w:tblPr>
        <w:tblStyle w:val="48"/>
        <w:tblW w:w="139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5"/>
        <w:gridCol w:w="744"/>
        <w:gridCol w:w="1418"/>
        <w:gridCol w:w="1417"/>
        <w:gridCol w:w="1418"/>
        <w:gridCol w:w="709"/>
        <w:gridCol w:w="708"/>
        <w:gridCol w:w="1528"/>
        <w:gridCol w:w="908"/>
        <w:gridCol w:w="908"/>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vMerge w:val="restart"/>
            <w:tcBorders>
              <w:top w:val="single" w:color="000000" w:sz="12"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顶管外部尺寸</w:t>
            </w:r>
          </w:p>
          <w:p>
            <w:pPr>
              <w:spacing w:line="240" w:lineRule="auto"/>
              <w:jc w:val="center"/>
              <w:rPr>
                <w:sz w:val="21"/>
              </w:rPr>
            </w:pPr>
            <w:r>
              <w:rPr>
                <w:sz w:val="21"/>
              </w:rPr>
              <w:t>（B</w:t>
            </w:r>
            <w:r>
              <w:rPr>
                <w:sz w:val="21"/>
                <w:vertAlign w:val="subscript"/>
              </w:rPr>
              <w:t>1</w:t>
            </w:r>
            <w:r>
              <w:rPr>
                <w:sz w:val="21"/>
              </w:rPr>
              <w:t>×H</w:t>
            </w:r>
            <w:r>
              <w:rPr>
                <w:sz w:val="21"/>
                <w:vertAlign w:val="subscript"/>
              </w:rPr>
              <w:t>1</w:t>
            </w:r>
            <w:r>
              <w:rPr>
                <w:sz w:val="21"/>
              </w:rPr>
              <w:t>）</w:t>
            </w:r>
          </w:p>
        </w:tc>
        <w:tc>
          <w:tcPr>
            <w:tcW w:w="744" w:type="dxa"/>
            <w:vMerge w:val="restart"/>
            <w:tcBorders>
              <w:top w:val="single" w:color="000000" w:sz="12"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顶管</w:t>
            </w:r>
          </w:p>
          <w:p>
            <w:pPr>
              <w:spacing w:line="240" w:lineRule="auto"/>
              <w:jc w:val="center"/>
              <w:rPr>
                <w:sz w:val="21"/>
              </w:rPr>
            </w:pPr>
            <w:r>
              <w:rPr>
                <w:sz w:val="21"/>
              </w:rPr>
              <w:t>壁厚</w:t>
            </w:r>
          </w:p>
          <w:p>
            <w:pPr>
              <w:spacing w:line="240" w:lineRule="auto"/>
              <w:jc w:val="center"/>
              <w:rPr>
                <w:sz w:val="21"/>
              </w:rPr>
            </w:pPr>
            <w:r>
              <w:rPr>
                <w:sz w:val="21"/>
              </w:rPr>
              <w:t>（t）</w:t>
            </w:r>
          </w:p>
        </w:tc>
        <w:tc>
          <w:tcPr>
            <w:tcW w:w="1418" w:type="dxa"/>
            <w:vMerge w:val="restart"/>
            <w:tcBorders>
              <w:top w:val="single" w:color="000000" w:sz="12"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顶管内</w:t>
            </w:r>
          </w:p>
          <w:p>
            <w:pPr>
              <w:spacing w:line="240" w:lineRule="auto"/>
              <w:jc w:val="center"/>
              <w:rPr>
                <w:sz w:val="21"/>
              </w:rPr>
            </w:pPr>
            <w:r>
              <w:rPr>
                <w:sz w:val="21"/>
              </w:rPr>
              <w:t>部尺寸</w:t>
            </w:r>
          </w:p>
          <w:p>
            <w:pPr>
              <w:spacing w:line="240" w:lineRule="auto"/>
              <w:jc w:val="center"/>
              <w:rPr>
                <w:sz w:val="21"/>
              </w:rPr>
            </w:pPr>
            <w:r>
              <w:rPr>
                <w:sz w:val="21"/>
              </w:rPr>
              <w:t>（b</w:t>
            </w:r>
            <w:r>
              <w:rPr>
                <w:sz w:val="21"/>
                <w:vertAlign w:val="subscript"/>
              </w:rPr>
              <w:t>2</w:t>
            </w:r>
            <w:r>
              <w:rPr>
                <w:sz w:val="21"/>
              </w:rPr>
              <w:t>×h</w:t>
            </w:r>
            <w:r>
              <w:rPr>
                <w:sz w:val="21"/>
                <w:vertAlign w:val="subscript"/>
              </w:rPr>
              <w:t>2</w:t>
            </w:r>
            <w:r>
              <w:rPr>
                <w:sz w:val="21"/>
              </w:rPr>
              <w:t>）</w:t>
            </w:r>
          </w:p>
        </w:tc>
        <w:tc>
          <w:tcPr>
            <w:tcW w:w="4252" w:type="dxa"/>
            <w:gridSpan w:val="4"/>
            <w:tcBorders>
              <w:top w:val="single" w:color="000000" w:sz="12"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插口尺寸</w:t>
            </w:r>
          </w:p>
        </w:tc>
        <w:tc>
          <w:tcPr>
            <w:tcW w:w="5232" w:type="dxa"/>
            <w:gridSpan w:val="4"/>
            <w:tcBorders>
              <w:top w:val="single" w:color="000000" w:sz="12" w:space="0"/>
              <w:left w:val="single" w:color="000000" w:sz="6" w:space="0"/>
              <w:bottom w:val="single" w:color="000000" w:sz="6" w:space="0"/>
              <w:right w:val="single" w:color="000000" w:sz="12" w:space="0"/>
            </w:tcBorders>
            <w:vAlign w:val="center"/>
          </w:tcPr>
          <w:p>
            <w:pPr>
              <w:spacing w:line="240" w:lineRule="auto"/>
              <w:jc w:val="center"/>
              <w:rPr>
                <w:sz w:val="21"/>
              </w:rPr>
            </w:pPr>
            <w:r>
              <w:rPr>
                <w:sz w:val="21"/>
              </w:rPr>
              <w:t>钢承口尺寸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vMerge w:val="continue"/>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p>
        </w:tc>
        <w:tc>
          <w:tcPr>
            <w:tcW w:w="744"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41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B</w:t>
            </w:r>
            <w:r>
              <w:rPr>
                <w:sz w:val="21"/>
                <w:vertAlign w:val="subscript"/>
              </w:rPr>
              <w:t>2</w:t>
            </w:r>
            <w:r>
              <w:rPr>
                <w:sz w:val="21"/>
              </w:rPr>
              <w:t>×H</w:t>
            </w:r>
            <w:r>
              <w:rPr>
                <w:sz w:val="21"/>
                <w:vertAlign w:val="subscript"/>
              </w:rPr>
              <w:t>2</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B</w:t>
            </w:r>
            <w:r>
              <w:rPr>
                <w:sz w:val="21"/>
                <w:vertAlign w:val="subscript"/>
              </w:rPr>
              <w:t>3</w:t>
            </w:r>
            <w:r>
              <w:rPr>
                <w:sz w:val="21"/>
              </w:rPr>
              <w:t>×H</w:t>
            </w:r>
            <w:r>
              <w:rPr>
                <w:sz w:val="21"/>
                <w:vertAlign w:val="subscript"/>
              </w:rPr>
              <w:t>3</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t</w:t>
            </w:r>
            <w:r>
              <w:rPr>
                <w:sz w:val="21"/>
                <w:vertAlign w:val="subscript"/>
              </w:rPr>
              <w:t>1</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L</w:t>
            </w:r>
            <w:r>
              <w:rPr>
                <w:sz w:val="21"/>
                <w:vertAlign w:val="subscript"/>
              </w:rPr>
              <w:t>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b</w:t>
            </w:r>
            <w:r>
              <w:rPr>
                <w:sz w:val="21"/>
                <w:vertAlign w:val="subscript"/>
              </w:rPr>
              <w:t>3</w:t>
            </w:r>
            <w:r>
              <w:rPr>
                <w:sz w:val="21"/>
              </w:rPr>
              <w:t>×h</w:t>
            </w:r>
            <w:r>
              <w:rPr>
                <w:sz w:val="21"/>
                <w:vertAlign w:val="subscript"/>
              </w:rPr>
              <w:t>3</w:t>
            </w:r>
          </w:p>
        </w:tc>
        <w:tc>
          <w:tcPr>
            <w:tcW w:w="9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t</w:t>
            </w:r>
            <w:r>
              <w:rPr>
                <w:sz w:val="21"/>
                <w:vertAlign w:val="subscript"/>
              </w:rPr>
              <w:t>2</w:t>
            </w:r>
          </w:p>
        </w:tc>
        <w:tc>
          <w:tcPr>
            <w:tcW w:w="9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L</w:t>
            </w:r>
            <w:r>
              <w:rPr>
                <w:sz w:val="21"/>
                <w:vertAlign w:val="subscript"/>
              </w:rPr>
              <w:t>2</w:t>
            </w:r>
          </w:p>
        </w:tc>
        <w:tc>
          <w:tcPr>
            <w:tcW w:w="1888" w:type="dxa"/>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r>
              <w:rPr>
                <w:sz w:val="21"/>
              </w:rPr>
              <w:t>L</w:t>
            </w:r>
            <w:r>
              <w:rPr>
                <w:sz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6000×4300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500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5000×3300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5957×4257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5930×4230</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5972×4272</w:t>
            </w:r>
          </w:p>
        </w:tc>
        <w:tc>
          <w:tcPr>
            <w:tcW w:w="908" w:type="dxa"/>
            <w:vMerge w:val="restart"/>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≥12</w:t>
            </w:r>
          </w:p>
        </w:tc>
        <w:tc>
          <w:tcPr>
            <w:tcW w:w="908" w:type="dxa"/>
            <w:vMerge w:val="restart"/>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≥175</w:t>
            </w:r>
          </w:p>
        </w:tc>
        <w:tc>
          <w:tcPr>
            <w:tcW w:w="1888" w:type="dxa"/>
            <w:vMerge w:val="restart"/>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r>
              <w:rPr>
                <w:sz w:val="21"/>
              </w:rPr>
              <w:t>≥325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6900×4200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450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6000×3300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6857×4157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6830×4130</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6872×4172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6900×4900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450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6000×4000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6857×4857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6830×4830</w:t>
            </w:r>
          </w:p>
        </w:tc>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6872×4872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7000×5000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5800×3800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6957×4957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6930×4930</w:t>
            </w:r>
          </w:p>
        </w:tc>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6972×4972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tcBorders>
              <w:top w:val="single" w:color="000000" w:sz="6" w:space="0"/>
              <w:left w:val="single" w:color="000000" w:sz="12" w:space="0"/>
              <w:right w:val="single" w:color="000000" w:sz="6" w:space="0"/>
            </w:tcBorders>
            <w:vAlign w:val="center"/>
          </w:tcPr>
          <w:p>
            <w:pPr>
              <w:spacing w:line="240" w:lineRule="auto"/>
              <w:jc w:val="center"/>
              <w:rPr>
                <w:sz w:val="21"/>
              </w:rPr>
            </w:pPr>
            <w:r>
              <w:rPr>
                <w:sz w:val="21"/>
              </w:rPr>
              <w:t>7400×4400</w:t>
            </w:r>
          </w:p>
        </w:tc>
        <w:tc>
          <w:tcPr>
            <w:tcW w:w="744" w:type="dxa"/>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600</w:t>
            </w:r>
          </w:p>
        </w:tc>
        <w:tc>
          <w:tcPr>
            <w:tcW w:w="1418" w:type="dxa"/>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6200×3200</w:t>
            </w:r>
          </w:p>
        </w:tc>
        <w:tc>
          <w:tcPr>
            <w:tcW w:w="1417" w:type="dxa"/>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7357×4357</w:t>
            </w:r>
          </w:p>
        </w:tc>
        <w:tc>
          <w:tcPr>
            <w:tcW w:w="1418" w:type="dxa"/>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7330×4330</w:t>
            </w:r>
          </w:p>
        </w:tc>
        <w:tc>
          <w:tcPr>
            <w:tcW w:w="709" w:type="dxa"/>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7372×4372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7500×4300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500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6500×3300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7457×4257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7430×4230</w:t>
            </w:r>
          </w:p>
        </w:tc>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7472×4272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7700×4300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6500×3100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7657×4257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7630×4230</w:t>
            </w:r>
          </w:p>
        </w:tc>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7672×4272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7700×</w:t>
            </w:r>
            <w:r>
              <w:rPr>
                <w:rFonts w:hint="eastAsia"/>
                <w:sz w:val="21"/>
              </w:rPr>
              <w:t>51</w:t>
            </w:r>
            <w:r>
              <w:rPr>
                <w:sz w:val="21"/>
              </w:rPr>
              <w:t>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rFonts w:hint="eastAsia"/>
                <w:sz w:val="21"/>
              </w:rPr>
              <w:t>550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rFonts w:hint="eastAsia"/>
                <w:sz w:val="21"/>
              </w:rPr>
              <w:t>6600</w:t>
            </w:r>
            <w:r>
              <w:rPr>
                <w:sz w:val="21"/>
              </w:rPr>
              <w:t>×</w:t>
            </w:r>
            <w:r>
              <w:rPr>
                <w:rFonts w:hint="eastAsia"/>
                <w:sz w:val="21"/>
              </w:rPr>
              <w:t>4000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7657×</w:t>
            </w:r>
            <w:r>
              <w:rPr>
                <w:rFonts w:hint="eastAsia"/>
                <w:sz w:val="21"/>
              </w:rPr>
              <w:t>5057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7630×</w:t>
            </w:r>
            <w:r>
              <w:rPr>
                <w:rFonts w:hint="eastAsia"/>
                <w:sz w:val="21"/>
              </w:rPr>
              <w:t>5030</w:t>
            </w:r>
          </w:p>
        </w:tc>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rFonts w:hint="eastAsia"/>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7672×</w:t>
            </w:r>
            <w:r>
              <w:rPr>
                <w:rFonts w:hint="eastAsia"/>
                <w:sz w:val="21"/>
              </w:rPr>
              <w:t>5072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vMerge w:val="restart"/>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7700×4500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500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6700×3500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7657×4457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7630×4430</w:t>
            </w:r>
          </w:p>
        </w:tc>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7672×4472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2325" w:type="dxa"/>
            <w:vMerge w:val="continue"/>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6500×3300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7657×4457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7630×4430</w:t>
            </w:r>
          </w:p>
        </w:tc>
        <w:tc>
          <w:tcPr>
            <w:tcW w:w="709" w:type="dxa"/>
            <w:tcBorders>
              <w:top w:val="single" w:color="000000" w:sz="6" w:space="0"/>
              <w:left w:val="single" w:color="000000" w:sz="6" w:space="0"/>
              <w:bottom w:val="single" w:color="000000" w:sz="6" w:space="0"/>
              <w:right w:val="single" w:color="000000" w:sz="6" w:space="0"/>
            </w:tcBorders>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191</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7672×4472</w:t>
            </w: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top w:val="single" w:color="000000" w:sz="6" w:space="0"/>
              <w:left w:val="single" w:color="000000" w:sz="6" w:space="0"/>
              <w:bottom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9100×4400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7900×3200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9057×4357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9030×4330</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216</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9068×4368</w:t>
            </w:r>
          </w:p>
        </w:tc>
        <w:tc>
          <w:tcPr>
            <w:tcW w:w="908" w:type="dxa"/>
            <w:vMerge w:val="restart"/>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≥14</w:t>
            </w:r>
          </w:p>
        </w:tc>
        <w:tc>
          <w:tcPr>
            <w:tcW w:w="908" w:type="dxa"/>
            <w:vMerge w:val="restart"/>
            <w:tcBorders>
              <w:top w:val="single" w:color="000000" w:sz="6" w:space="0"/>
              <w:left w:val="single" w:color="000000" w:sz="6" w:space="0"/>
              <w:right w:val="single" w:color="000000" w:sz="6" w:space="0"/>
            </w:tcBorders>
            <w:vAlign w:val="center"/>
          </w:tcPr>
          <w:p>
            <w:pPr>
              <w:spacing w:line="240" w:lineRule="auto"/>
              <w:jc w:val="center"/>
              <w:rPr>
                <w:sz w:val="21"/>
              </w:rPr>
            </w:pPr>
            <w:r>
              <w:rPr>
                <w:sz w:val="21"/>
              </w:rPr>
              <w:t>≥200</w:t>
            </w:r>
          </w:p>
        </w:tc>
        <w:tc>
          <w:tcPr>
            <w:tcW w:w="1888" w:type="dxa"/>
            <w:vMerge w:val="restart"/>
            <w:tcBorders>
              <w:top w:val="single" w:color="000000" w:sz="6" w:space="0"/>
              <w:left w:val="single" w:color="000000" w:sz="6" w:space="0"/>
              <w:right w:val="single" w:color="000000" w:sz="12" w:space="0"/>
            </w:tcBorders>
            <w:vAlign w:val="center"/>
          </w:tcPr>
          <w:p>
            <w:pPr>
              <w:spacing w:line="240" w:lineRule="auto"/>
              <w:jc w:val="center"/>
              <w:rPr>
                <w:sz w:val="21"/>
              </w:rPr>
            </w:pPr>
            <w:r>
              <w:rPr>
                <w:sz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9100×5500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650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7800×4200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9057×5457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9030×5430</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216</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9068×5468</w:t>
            </w:r>
          </w:p>
        </w:tc>
        <w:tc>
          <w:tcPr>
            <w:tcW w:w="908" w:type="dxa"/>
            <w:vMerge w:val="continue"/>
            <w:tcBorders>
              <w:left w:val="single" w:color="000000" w:sz="6" w:space="0"/>
              <w:right w:val="single" w:color="000000" w:sz="6" w:space="0"/>
            </w:tcBorders>
            <w:vAlign w:val="center"/>
          </w:tcPr>
          <w:p>
            <w:pPr>
              <w:spacing w:line="240" w:lineRule="auto"/>
              <w:jc w:val="center"/>
              <w:rPr>
                <w:sz w:val="21"/>
              </w:rPr>
            </w:pPr>
          </w:p>
        </w:tc>
        <w:tc>
          <w:tcPr>
            <w:tcW w:w="908" w:type="dxa"/>
            <w:vMerge w:val="continue"/>
            <w:tcBorders>
              <w:left w:val="single" w:color="000000" w:sz="6" w:space="0"/>
              <w:right w:val="single" w:color="000000" w:sz="6" w:space="0"/>
            </w:tcBorders>
            <w:vAlign w:val="center"/>
          </w:tcPr>
          <w:p>
            <w:pPr>
              <w:spacing w:line="240" w:lineRule="auto"/>
              <w:jc w:val="center"/>
              <w:rPr>
                <w:sz w:val="21"/>
              </w:rPr>
            </w:pPr>
          </w:p>
        </w:tc>
        <w:tc>
          <w:tcPr>
            <w:tcW w:w="1888" w:type="dxa"/>
            <w:vMerge w:val="continue"/>
            <w:tcBorders>
              <w:left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9800×6300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8400×4900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9757×6257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9730×6230</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216</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9768×6268</w:t>
            </w:r>
          </w:p>
        </w:tc>
        <w:tc>
          <w:tcPr>
            <w:tcW w:w="908" w:type="dxa"/>
            <w:vMerge w:val="continue"/>
            <w:tcBorders>
              <w:left w:val="single" w:color="000000" w:sz="6" w:space="0"/>
              <w:right w:val="single" w:color="000000" w:sz="6" w:space="0"/>
            </w:tcBorders>
            <w:vAlign w:val="center"/>
          </w:tcPr>
          <w:p>
            <w:pPr>
              <w:spacing w:line="240" w:lineRule="auto"/>
              <w:jc w:val="center"/>
              <w:rPr>
                <w:sz w:val="21"/>
              </w:rPr>
            </w:pPr>
          </w:p>
        </w:tc>
        <w:tc>
          <w:tcPr>
            <w:tcW w:w="908" w:type="dxa"/>
            <w:vMerge w:val="continue"/>
            <w:tcBorders>
              <w:left w:val="single" w:color="000000" w:sz="6" w:space="0"/>
              <w:right w:val="single" w:color="000000" w:sz="6" w:space="0"/>
            </w:tcBorders>
            <w:vAlign w:val="center"/>
          </w:tcPr>
          <w:p>
            <w:pPr>
              <w:spacing w:line="240" w:lineRule="auto"/>
              <w:jc w:val="center"/>
              <w:rPr>
                <w:sz w:val="21"/>
              </w:rPr>
            </w:pPr>
          </w:p>
        </w:tc>
        <w:tc>
          <w:tcPr>
            <w:tcW w:w="1888" w:type="dxa"/>
            <w:vMerge w:val="continue"/>
            <w:tcBorders>
              <w:left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9900×8150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8500×6750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9857×8107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9830×8080</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216</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9868×8118</w:t>
            </w:r>
          </w:p>
        </w:tc>
        <w:tc>
          <w:tcPr>
            <w:tcW w:w="908" w:type="dxa"/>
            <w:vMerge w:val="continue"/>
            <w:tcBorders>
              <w:left w:val="single" w:color="000000" w:sz="6" w:space="0"/>
              <w:bottom w:val="single" w:color="auto" w:sz="4" w:space="0"/>
              <w:right w:val="single" w:color="000000" w:sz="6" w:space="0"/>
            </w:tcBorders>
            <w:vAlign w:val="center"/>
          </w:tcPr>
          <w:p>
            <w:pPr>
              <w:spacing w:line="240" w:lineRule="auto"/>
              <w:jc w:val="center"/>
              <w:rPr>
                <w:sz w:val="21"/>
              </w:rPr>
            </w:pPr>
          </w:p>
        </w:tc>
        <w:tc>
          <w:tcPr>
            <w:tcW w:w="908" w:type="dxa"/>
            <w:vMerge w:val="continue"/>
            <w:tcBorders>
              <w:left w:val="single" w:color="000000" w:sz="6" w:space="0"/>
              <w:bottom w:val="single" w:color="auto" w:sz="4" w:space="0"/>
              <w:right w:val="single" w:color="000000" w:sz="6" w:space="0"/>
            </w:tcBorders>
            <w:vAlign w:val="center"/>
          </w:tcPr>
          <w:p>
            <w:pPr>
              <w:spacing w:line="240" w:lineRule="auto"/>
              <w:jc w:val="center"/>
              <w:rPr>
                <w:sz w:val="21"/>
              </w:rPr>
            </w:pPr>
          </w:p>
        </w:tc>
        <w:tc>
          <w:tcPr>
            <w:tcW w:w="1888" w:type="dxa"/>
            <w:vMerge w:val="continue"/>
            <w:tcBorders>
              <w:left w:val="single" w:color="000000" w:sz="6" w:space="0"/>
              <w:bottom w:val="single" w:color="auto" w:sz="4"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10200×6600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650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8900×5300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10157×6557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10130×6530</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216</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10164×6564</w:t>
            </w:r>
          </w:p>
        </w:tc>
        <w:tc>
          <w:tcPr>
            <w:tcW w:w="908" w:type="dxa"/>
            <w:vMerge w:val="restart"/>
            <w:tcBorders>
              <w:top w:val="single" w:color="auto" w:sz="4" w:space="0"/>
              <w:left w:val="single" w:color="000000" w:sz="6" w:space="0"/>
              <w:right w:val="single" w:color="000000" w:sz="6" w:space="0"/>
            </w:tcBorders>
            <w:vAlign w:val="center"/>
          </w:tcPr>
          <w:p>
            <w:pPr>
              <w:spacing w:line="240" w:lineRule="auto"/>
              <w:jc w:val="center"/>
              <w:rPr>
                <w:sz w:val="21"/>
              </w:rPr>
            </w:pPr>
            <w:r>
              <w:rPr>
                <w:sz w:val="21"/>
              </w:rPr>
              <w:t>≥16</w:t>
            </w:r>
          </w:p>
        </w:tc>
        <w:tc>
          <w:tcPr>
            <w:tcW w:w="908" w:type="dxa"/>
            <w:vMerge w:val="restart"/>
            <w:tcBorders>
              <w:top w:val="single" w:color="auto" w:sz="4" w:space="0"/>
              <w:left w:val="single" w:color="000000" w:sz="6" w:space="0"/>
              <w:right w:val="single" w:color="000000" w:sz="6" w:space="0"/>
            </w:tcBorders>
            <w:vAlign w:val="center"/>
          </w:tcPr>
          <w:p>
            <w:pPr>
              <w:spacing w:line="240" w:lineRule="auto"/>
              <w:jc w:val="center"/>
              <w:rPr>
                <w:sz w:val="21"/>
              </w:rPr>
            </w:pPr>
            <w:r>
              <w:rPr>
                <w:sz w:val="21"/>
              </w:rPr>
              <w:t>≥200</w:t>
            </w:r>
          </w:p>
        </w:tc>
        <w:tc>
          <w:tcPr>
            <w:tcW w:w="1888" w:type="dxa"/>
            <w:vMerge w:val="restart"/>
            <w:tcBorders>
              <w:top w:val="single" w:color="auto" w:sz="4" w:space="0"/>
              <w:left w:val="single" w:color="000000" w:sz="6" w:space="0"/>
              <w:right w:val="single" w:color="000000" w:sz="12" w:space="0"/>
            </w:tcBorders>
            <w:vAlign w:val="center"/>
          </w:tcPr>
          <w:p>
            <w:pPr>
              <w:spacing w:line="240" w:lineRule="auto"/>
              <w:jc w:val="center"/>
              <w:rPr>
                <w:sz w:val="21"/>
              </w:rPr>
            </w:pPr>
            <w:r>
              <w:rPr>
                <w:sz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sz w:val="21"/>
              </w:rPr>
              <w:t>10400×7500</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700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9000×6100</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10357×7457</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10330×7430</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216</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10364×7464</w:t>
            </w:r>
          </w:p>
        </w:tc>
        <w:tc>
          <w:tcPr>
            <w:tcW w:w="908" w:type="dxa"/>
            <w:vMerge w:val="continue"/>
            <w:tcBorders>
              <w:left w:val="single" w:color="000000" w:sz="6" w:space="0"/>
              <w:right w:val="single" w:color="000000" w:sz="6" w:space="0"/>
            </w:tcBorders>
            <w:vAlign w:val="center"/>
          </w:tcPr>
          <w:p>
            <w:pPr>
              <w:spacing w:line="240" w:lineRule="auto"/>
              <w:jc w:val="center"/>
              <w:rPr>
                <w:sz w:val="21"/>
              </w:rPr>
            </w:pPr>
          </w:p>
        </w:tc>
        <w:tc>
          <w:tcPr>
            <w:tcW w:w="908" w:type="dxa"/>
            <w:vMerge w:val="continue"/>
            <w:tcBorders>
              <w:left w:val="single" w:color="000000" w:sz="6" w:space="0"/>
              <w:right w:val="single" w:color="000000" w:sz="6" w:space="0"/>
            </w:tcBorders>
            <w:vAlign w:val="center"/>
          </w:tcPr>
          <w:p>
            <w:pPr>
              <w:spacing w:line="240" w:lineRule="auto"/>
              <w:jc w:val="center"/>
              <w:rPr>
                <w:sz w:val="21"/>
              </w:rPr>
            </w:pPr>
          </w:p>
        </w:tc>
        <w:tc>
          <w:tcPr>
            <w:tcW w:w="1888" w:type="dxa"/>
            <w:vMerge w:val="continue"/>
            <w:tcBorders>
              <w:left w:val="single" w:color="000000" w:sz="6" w:space="0"/>
              <w:right w:val="single" w:color="000000" w:sz="12" w:space="0"/>
            </w:tcBorders>
            <w:vAlign w:val="center"/>
          </w:tcPr>
          <w:p>
            <w:pPr>
              <w:spacing w:line="240" w:lineRule="auto"/>
              <w:jc w:val="cente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325" w:type="dxa"/>
            <w:tcBorders>
              <w:top w:val="single" w:color="000000" w:sz="6" w:space="0"/>
              <w:left w:val="single" w:color="000000" w:sz="12" w:space="0"/>
              <w:bottom w:val="single" w:color="000000" w:sz="6" w:space="0"/>
              <w:right w:val="single" w:color="000000" w:sz="6" w:space="0"/>
            </w:tcBorders>
            <w:vAlign w:val="center"/>
          </w:tcPr>
          <w:p>
            <w:pPr>
              <w:spacing w:line="240" w:lineRule="auto"/>
              <w:jc w:val="center"/>
              <w:rPr>
                <w:sz w:val="21"/>
              </w:rPr>
            </w:pPr>
            <w:r>
              <w:rPr>
                <w:rFonts w:hint="eastAsia"/>
                <w:sz w:val="21"/>
              </w:rPr>
              <w:t>14800</w:t>
            </w:r>
            <w:r>
              <w:rPr>
                <w:sz w:val="21"/>
              </w:rPr>
              <w:t>×</w:t>
            </w:r>
            <w:r>
              <w:rPr>
                <w:rFonts w:hint="eastAsia"/>
                <w:sz w:val="21"/>
              </w:rPr>
              <w:t>9426</w:t>
            </w:r>
          </w:p>
        </w:tc>
        <w:tc>
          <w:tcPr>
            <w:tcW w:w="744"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rFonts w:hint="eastAsia"/>
                <w:sz w:val="21"/>
              </w:rPr>
              <w:t>900</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rFonts w:hint="eastAsia"/>
                <w:sz w:val="21"/>
              </w:rPr>
              <w:t>13000</w:t>
            </w:r>
            <w:r>
              <w:rPr>
                <w:sz w:val="21"/>
              </w:rPr>
              <w:t>×</w:t>
            </w:r>
            <w:r>
              <w:rPr>
                <w:rFonts w:hint="eastAsia"/>
                <w:sz w:val="21"/>
              </w:rPr>
              <w:t>7626</w:t>
            </w:r>
          </w:p>
        </w:tc>
        <w:tc>
          <w:tcPr>
            <w:tcW w:w="1417"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rFonts w:hint="eastAsia"/>
                <w:sz w:val="21"/>
              </w:rPr>
              <w:t>14757</w:t>
            </w:r>
            <w:r>
              <w:rPr>
                <w:sz w:val="21"/>
              </w:rPr>
              <w:t>×</w:t>
            </w:r>
            <w:r>
              <w:rPr>
                <w:rFonts w:hint="eastAsia"/>
                <w:sz w:val="21"/>
              </w:rPr>
              <w:t>9383</w:t>
            </w:r>
          </w:p>
        </w:tc>
        <w:tc>
          <w:tcPr>
            <w:tcW w:w="141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rFonts w:hint="eastAsia"/>
                <w:sz w:val="21"/>
              </w:rPr>
              <w:t>14730</w:t>
            </w:r>
            <w:r>
              <w:rPr>
                <w:sz w:val="21"/>
              </w:rPr>
              <w:t>×</w:t>
            </w:r>
            <w:r>
              <w:rPr>
                <w:rFonts w:hint="eastAsia"/>
                <w:sz w:val="21"/>
              </w:rPr>
              <w:t>9356</w:t>
            </w:r>
          </w:p>
        </w:tc>
        <w:tc>
          <w:tcPr>
            <w:tcW w:w="709"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≥8</w:t>
            </w:r>
          </w:p>
        </w:tc>
        <w:tc>
          <w:tcPr>
            <w:tcW w:w="70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sz w:val="21"/>
              </w:rPr>
              <w:t>216</w:t>
            </w:r>
          </w:p>
        </w:tc>
        <w:tc>
          <w:tcPr>
            <w:tcW w:w="1528" w:type="dxa"/>
            <w:tcBorders>
              <w:top w:val="single" w:color="000000" w:sz="6" w:space="0"/>
              <w:left w:val="single" w:color="000000" w:sz="6" w:space="0"/>
              <w:bottom w:val="single" w:color="000000" w:sz="6" w:space="0"/>
              <w:right w:val="single" w:color="000000" w:sz="6" w:space="0"/>
            </w:tcBorders>
            <w:vAlign w:val="center"/>
          </w:tcPr>
          <w:p>
            <w:pPr>
              <w:spacing w:line="240" w:lineRule="auto"/>
              <w:jc w:val="center"/>
              <w:rPr>
                <w:sz w:val="21"/>
              </w:rPr>
            </w:pPr>
            <w:r>
              <w:rPr>
                <w:rFonts w:hint="eastAsia"/>
                <w:sz w:val="21"/>
              </w:rPr>
              <w:t>14764</w:t>
            </w:r>
            <w:r>
              <w:rPr>
                <w:sz w:val="21"/>
              </w:rPr>
              <w:t>×</w:t>
            </w:r>
            <w:r>
              <w:rPr>
                <w:rFonts w:hint="eastAsia"/>
                <w:sz w:val="21"/>
              </w:rPr>
              <w:t>9390</w:t>
            </w:r>
          </w:p>
        </w:tc>
        <w:tc>
          <w:tcPr>
            <w:tcW w:w="908" w:type="dxa"/>
            <w:vMerge w:val="continue"/>
            <w:tcBorders>
              <w:left w:val="single" w:color="000000" w:sz="6" w:space="0"/>
              <w:bottom w:val="single" w:color="000000" w:sz="6" w:space="0"/>
              <w:right w:val="single" w:color="000000" w:sz="6" w:space="0"/>
            </w:tcBorders>
            <w:vAlign w:val="center"/>
          </w:tcPr>
          <w:p>
            <w:pPr>
              <w:spacing w:line="240" w:lineRule="auto"/>
              <w:jc w:val="center"/>
              <w:rPr>
                <w:sz w:val="21"/>
              </w:rPr>
            </w:pPr>
          </w:p>
        </w:tc>
        <w:tc>
          <w:tcPr>
            <w:tcW w:w="908" w:type="dxa"/>
            <w:vMerge w:val="continue"/>
            <w:tcBorders>
              <w:left w:val="single" w:color="000000" w:sz="6" w:space="0"/>
              <w:bottom w:val="single" w:color="000000" w:sz="6" w:space="0"/>
              <w:right w:val="single" w:color="000000" w:sz="6" w:space="0"/>
            </w:tcBorders>
            <w:vAlign w:val="center"/>
          </w:tcPr>
          <w:p>
            <w:pPr>
              <w:spacing w:line="240" w:lineRule="auto"/>
              <w:jc w:val="center"/>
              <w:rPr>
                <w:sz w:val="21"/>
              </w:rPr>
            </w:pPr>
          </w:p>
        </w:tc>
        <w:tc>
          <w:tcPr>
            <w:tcW w:w="1888" w:type="dxa"/>
            <w:vMerge w:val="continue"/>
            <w:tcBorders>
              <w:left w:val="single" w:color="000000" w:sz="6" w:space="0"/>
              <w:bottom w:val="single" w:color="000000" w:sz="6" w:space="0"/>
              <w:right w:val="single" w:color="000000" w:sz="12" w:space="0"/>
            </w:tcBorders>
            <w:vAlign w:val="center"/>
          </w:tcPr>
          <w:p>
            <w:pPr>
              <w:spacing w:line="240" w:lineRule="auto"/>
              <w:jc w:val="center"/>
              <w:rPr>
                <w:sz w:val="21"/>
              </w:rPr>
            </w:pPr>
          </w:p>
        </w:tc>
      </w:tr>
    </w:tbl>
    <w:p>
      <w:pPr>
        <w:spacing w:line="240" w:lineRule="auto"/>
        <w:ind w:left="567" w:right="226" w:rightChars="94" w:hanging="567" w:hangingChars="270"/>
        <w:rPr>
          <w:sz w:val="21"/>
        </w:rPr>
      </w:pPr>
      <w:r>
        <w:rPr>
          <w:sz w:val="21"/>
        </w:rPr>
        <w:t>注1  本</w:t>
      </w:r>
      <w:r>
        <w:rPr>
          <w:rFonts w:hint="eastAsia"/>
          <w:sz w:val="21"/>
        </w:rPr>
        <w:t>规程</w:t>
      </w:r>
      <w:r>
        <w:rPr>
          <w:rFonts w:hint="eastAsia" w:ascii="Calibri" w:hAnsi="Calibri"/>
          <w:sz w:val="21"/>
        </w:rPr>
        <w:t>图</w:t>
      </w:r>
      <w:r>
        <w:rPr>
          <w:rFonts w:hint="eastAsia"/>
          <w:sz w:val="21"/>
        </w:rPr>
        <w:t>6.3.1-1</w:t>
      </w:r>
      <w:r>
        <w:rPr>
          <w:sz w:val="21"/>
        </w:rPr>
        <w:t>中，管节宽高尺寸B</w:t>
      </w:r>
      <w:r>
        <w:rPr>
          <w:sz w:val="21"/>
          <w:vertAlign w:val="subscript"/>
        </w:rPr>
        <w:t>1</w:t>
      </w:r>
      <w:r>
        <w:rPr>
          <w:sz w:val="21"/>
        </w:rPr>
        <w:t>×H</w:t>
      </w:r>
      <w:r>
        <w:rPr>
          <w:sz w:val="21"/>
          <w:vertAlign w:val="subscript"/>
        </w:rPr>
        <w:t>1</w:t>
      </w:r>
      <w:r>
        <w:rPr>
          <w:sz w:val="21"/>
        </w:rPr>
        <w:t>、b</w:t>
      </w:r>
      <w:r>
        <w:rPr>
          <w:sz w:val="21"/>
          <w:vertAlign w:val="subscript"/>
        </w:rPr>
        <w:t>2</w:t>
      </w:r>
      <w:r>
        <w:rPr>
          <w:sz w:val="21"/>
        </w:rPr>
        <w:t>×h</w:t>
      </w:r>
      <w:r>
        <w:rPr>
          <w:sz w:val="21"/>
          <w:vertAlign w:val="subscript"/>
        </w:rPr>
        <w:t>2</w:t>
      </w:r>
      <w:r>
        <w:rPr>
          <w:sz w:val="21"/>
        </w:rPr>
        <w:t>、B</w:t>
      </w:r>
      <w:r>
        <w:rPr>
          <w:sz w:val="21"/>
          <w:vertAlign w:val="subscript"/>
        </w:rPr>
        <w:t>2</w:t>
      </w:r>
      <w:r>
        <w:rPr>
          <w:sz w:val="21"/>
        </w:rPr>
        <w:t>×H</w:t>
      </w:r>
      <w:r>
        <w:rPr>
          <w:sz w:val="21"/>
          <w:vertAlign w:val="subscript"/>
        </w:rPr>
        <w:t>2</w:t>
      </w:r>
      <w:r>
        <w:rPr>
          <w:sz w:val="21"/>
        </w:rPr>
        <w:t>、B</w:t>
      </w:r>
      <w:r>
        <w:rPr>
          <w:sz w:val="21"/>
          <w:vertAlign w:val="subscript"/>
        </w:rPr>
        <w:t>3</w:t>
      </w:r>
      <w:r>
        <w:rPr>
          <w:sz w:val="21"/>
        </w:rPr>
        <w:t>×H</w:t>
      </w:r>
      <w:r>
        <w:rPr>
          <w:sz w:val="21"/>
          <w:vertAlign w:val="subscript"/>
        </w:rPr>
        <w:t>3</w:t>
      </w:r>
      <w:r>
        <w:rPr>
          <w:sz w:val="21"/>
        </w:rPr>
        <w:t>、b3×h3和钢承口尺寸t</w:t>
      </w:r>
      <w:r>
        <w:rPr>
          <w:sz w:val="21"/>
          <w:vertAlign w:val="subscript"/>
        </w:rPr>
        <w:t>1</w:t>
      </w:r>
      <w:r>
        <w:rPr>
          <w:sz w:val="21"/>
        </w:rPr>
        <w:t>、t</w:t>
      </w:r>
      <w:r>
        <w:rPr>
          <w:sz w:val="21"/>
          <w:vertAlign w:val="subscript"/>
        </w:rPr>
        <w:t>2</w:t>
      </w:r>
      <w:r>
        <w:rPr>
          <w:sz w:val="21"/>
        </w:rPr>
        <w:t>等对应图表的管节宽高尺寸B</w:t>
      </w:r>
      <w:r>
        <w:rPr>
          <w:sz w:val="21"/>
          <w:vertAlign w:val="subscript"/>
        </w:rPr>
        <w:t>1</w:t>
      </w:r>
      <w:r>
        <w:rPr>
          <w:sz w:val="21"/>
        </w:rPr>
        <w:t>×H</w:t>
      </w:r>
      <w:r>
        <w:rPr>
          <w:sz w:val="21"/>
          <w:vertAlign w:val="subscript"/>
        </w:rPr>
        <w:t>1</w:t>
      </w:r>
      <w:r>
        <w:rPr>
          <w:sz w:val="21"/>
        </w:rPr>
        <w:t>、b</w:t>
      </w:r>
      <w:r>
        <w:rPr>
          <w:sz w:val="21"/>
          <w:vertAlign w:val="subscript"/>
        </w:rPr>
        <w:t>2</w:t>
      </w:r>
      <w:r>
        <w:rPr>
          <w:sz w:val="21"/>
        </w:rPr>
        <w:t>×h</w:t>
      </w:r>
      <w:r>
        <w:rPr>
          <w:sz w:val="21"/>
          <w:vertAlign w:val="subscript"/>
        </w:rPr>
        <w:t>2</w:t>
      </w:r>
      <w:r>
        <w:rPr>
          <w:sz w:val="21"/>
        </w:rPr>
        <w:t>、B</w:t>
      </w:r>
      <w:r>
        <w:rPr>
          <w:sz w:val="21"/>
          <w:vertAlign w:val="subscript"/>
        </w:rPr>
        <w:t>2</w:t>
      </w:r>
      <w:r>
        <w:rPr>
          <w:sz w:val="21"/>
        </w:rPr>
        <w:t>×H</w:t>
      </w:r>
      <w:r>
        <w:rPr>
          <w:sz w:val="21"/>
          <w:vertAlign w:val="subscript"/>
        </w:rPr>
        <w:t>2</w:t>
      </w:r>
      <w:r>
        <w:rPr>
          <w:sz w:val="21"/>
        </w:rPr>
        <w:t>、B</w:t>
      </w:r>
      <w:r>
        <w:rPr>
          <w:sz w:val="21"/>
          <w:vertAlign w:val="subscript"/>
        </w:rPr>
        <w:t>3</w:t>
      </w:r>
      <w:r>
        <w:rPr>
          <w:sz w:val="21"/>
        </w:rPr>
        <w:t>×H</w:t>
      </w:r>
      <w:r>
        <w:rPr>
          <w:sz w:val="21"/>
          <w:vertAlign w:val="subscript"/>
        </w:rPr>
        <w:t>3</w:t>
      </w:r>
      <w:r>
        <w:rPr>
          <w:sz w:val="21"/>
        </w:rPr>
        <w:t>、b</w:t>
      </w:r>
      <w:r>
        <w:rPr>
          <w:sz w:val="21"/>
          <w:vertAlign w:val="subscript"/>
        </w:rPr>
        <w:t>3</w:t>
      </w:r>
      <w:r>
        <w:rPr>
          <w:sz w:val="21"/>
        </w:rPr>
        <w:t>×h</w:t>
      </w:r>
      <w:r>
        <w:rPr>
          <w:sz w:val="21"/>
          <w:vertAlign w:val="subscript"/>
        </w:rPr>
        <w:t>3</w:t>
      </w:r>
      <w:r>
        <w:rPr>
          <w:sz w:val="21"/>
        </w:rPr>
        <w:t>和钢承口尺寸t</w:t>
      </w:r>
      <w:r>
        <w:rPr>
          <w:sz w:val="21"/>
          <w:vertAlign w:val="subscript"/>
        </w:rPr>
        <w:t>1</w:t>
      </w:r>
      <w:r>
        <w:rPr>
          <w:sz w:val="21"/>
        </w:rPr>
        <w:t>、t</w:t>
      </w:r>
      <w:r>
        <w:rPr>
          <w:sz w:val="21"/>
          <w:vertAlign w:val="subscript"/>
        </w:rPr>
        <w:t>2</w:t>
      </w:r>
      <w:r>
        <w:rPr>
          <w:sz w:val="21"/>
        </w:rPr>
        <w:t>，管</w:t>
      </w:r>
      <w:r>
        <w:rPr>
          <w:rFonts w:hint="eastAsia"/>
          <w:sz w:val="21"/>
        </w:rPr>
        <w:t>节</w:t>
      </w:r>
      <w:r>
        <w:rPr>
          <w:sz w:val="21"/>
        </w:rPr>
        <w:t>接头纵向尺寸L</w:t>
      </w:r>
      <w:r>
        <w:rPr>
          <w:sz w:val="21"/>
          <w:vertAlign w:val="subscript"/>
        </w:rPr>
        <w:t>1</w:t>
      </w:r>
      <w:r>
        <w:rPr>
          <w:sz w:val="21"/>
        </w:rPr>
        <w:t>、L</w:t>
      </w:r>
      <w:r>
        <w:rPr>
          <w:sz w:val="21"/>
          <w:vertAlign w:val="subscript"/>
        </w:rPr>
        <w:t>2</w:t>
      </w:r>
      <w:r>
        <w:rPr>
          <w:sz w:val="21"/>
        </w:rPr>
        <w:t>和L</w:t>
      </w:r>
      <w:r>
        <w:rPr>
          <w:sz w:val="21"/>
          <w:vertAlign w:val="subscript"/>
        </w:rPr>
        <w:t>3</w:t>
      </w:r>
      <w:r>
        <w:rPr>
          <w:sz w:val="21"/>
        </w:rPr>
        <w:t>对应图表的L</w:t>
      </w:r>
      <w:r>
        <w:rPr>
          <w:sz w:val="21"/>
          <w:vertAlign w:val="subscript"/>
        </w:rPr>
        <w:t>1</w:t>
      </w:r>
      <w:r>
        <w:rPr>
          <w:sz w:val="21"/>
        </w:rPr>
        <w:t>、L</w:t>
      </w:r>
      <w:r>
        <w:rPr>
          <w:sz w:val="21"/>
          <w:vertAlign w:val="subscript"/>
        </w:rPr>
        <w:t>2</w:t>
      </w:r>
      <w:r>
        <w:rPr>
          <w:sz w:val="21"/>
        </w:rPr>
        <w:t>和L</w:t>
      </w:r>
      <w:r>
        <w:rPr>
          <w:sz w:val="21"/>
          <w:vertAlign w:val="subscript"/>
        </w:rPr>
        <w:t>3</w:t>
      </w:r>
      <w:r>
        <w:rPr>
          <w:sz w:val="21"/>
        </w:rPr>
        <w:t>；</w:t>
      </w:r>
    </w:p>
    <w:p>
      <w:pPr>
        <w:spacing w:line="240" w:lineRule="auto"/>
        <w:ind w:left="597" w:leftChars="100" w:right="226" w:rightChars="94" w:hanging="357" w:hangingChars="170"/>
        <w:rPr>
          <w:sz w:val="21"/>
        </w:rPr>
      </w:pPr>
      <w:r>
        <w:rPr>
          <w:sz w:val="21"/>
        </w:rPr>
        <w:t>2  当采用Q</w:t>
      </w:r>
      <w:r>
        <w:rPr>
          <w:rFonts w:hint="eastAsia"/>
          <w:sz w:val="21"/>
        </w:rPr>
        <w:t>35</w:t>
      </w:r>
      <w:r>
        <w:rPr>
          <w:sz w:val="21"/>
        </w:rPr>
        <w:t>5钢板时钢承口钢板厚度可适当减薄。</w:t>
      </w:r>
    </w:p>
    <w:p>
      <w:pPr>
        <w:spacing w:line="240" w:lineRule="auto"/>
        <w:ind w:left="597" w:leftChars="100" w:right="226" w:rightChars="94" w:hanging="357" w:hangingChars="170"/>
        <w:rPr>
          <w:sz w:val="21"/>
        </w:rPr>
        <w:sectPr>
          <w:pgSz w:w="16838" w:h="11906" w:orient="landscape"/>
          <w:pgMar w:top="1418" w:right="1440" w:bottom="1560" w:left="1440" w:header="851" w:footer="992" w:gutter="0"/>
          <w:cols w:space="425" w:num="1"/>
          <w:docGrid w:type="lines" w:linePitch="326" w:charSpace="0"/>
        </w:sectPr>
      </w:pPr>
    </w:p>
    <w:p>
      <w:r>
        <w:rPr>
          <w:b/>
        </w:rPr>
        <w:t xml:space="preserve">6.3.3  </w:t>
      </w:r>
      <w:r>
        <w:t>管节间密封与防水应符合下列规定：</w:t>
      </w:r>
    </w:p>
    <w:p>
      <w:pPr>
        <w:ind w:firstLine="482" w:firstLineChars="200"/>
      </w:pPr>
      <w:r>
        <w:rPr>
          <w:b/>
          <w:bCs/>
        </w:rPr>
        <w:t>1</w:t>
      </w:r>
      <w:r>
        <w:t xml:space="preserve">  密封橡胶圈材料应为氯丁橡胶或氯丁橡胶与水膨胀橡胶复合体，并应用黏结剂接于管节基面上，接口处强度应大于10MPa，接口应平整光滑、无痕迹，不得有裂口；</w:t>
      </w:r>
    </w:p>
    <w:p>
      <w:pPr>
        <w:ind w:firstLine="482" w:firstLineChars="200"/>
      </w:pPr>
      <w:r>
        <w:rPr>
          <w:b/>
          <w:bCs/>
        </w:rPr>
        <w:t>2</w:t>
      </w:r>
      <w:r>
        <w:t xml:space="preserve">  在遇有含油的地下水部位，宜选用</w:t>
      </w:r>
      <w:r>
        <w:rPr>
          <w:rFonts w:hint="eastAsia"/>
        </w:rPr>
        <w:t>丁腈橡胶</w:t>
      </w:r>
      <w:r>
        <w:t>；在含油弱酸弱碱地下水时宜选用氯丁橡胶，遇霉菌侵蚀时宜选用防霉等级在二级及以上的橡胶，</w:t>
      </w:r>
      <w:r>
        <w:rPr>
          <w:rFonts w:hint="eastAsia"/>
        </w:rPr>
        <w:t>环境温度低于-25</w:t>
      </w:r>
      <w:r>
        <w:rPr>
          <w:rFonts w:hint="eastAsia" w:ascii="宋体" w:hAnsi="宋体" w:cs="宋体"/>
        </w:rPr>
        <w:t>℃</w:t>
      </w:r>
      <w:r>
        <w:rPr>
          <w:rFonts w:hint="eastAsia"/>
        </w:rPr>
        <w:t>时</w:t>
      </w:r>
      <w:r>
        <w:t>，宜选用三元乙丙橡胶；</w:t>
      </w:r>
    </w:p>
    <w:p>
      <w:pPr>
        <w:ind w:firstLine="482" w:firstLineChars="200"/>
      </w:pPr>
      <w:r>
        <w:rPr>
          <w:b/>
          <w:bCs/>
        </w:rPr>
        <w:t>3</w:t>
      </w:r>
      <w:r>
        <w:t xml:space="preserve">  管节与钢套环间形成的嵌缝槽</w:t>
      </w:r>
      <w:r>
        <w:rPr>
          <w:rFonts w:hint="eastAsia"/>
        </w:rPr>
        <w:t>应</w:t>
      </w:r>
      <w:r>
        <w:t>采用聚胺脂密封胶嵌注；</w:t>
      </w:r>
    </w:p>
    <w:p>
      <w:pPr>
        <w:ind w:firstLine="482" w:firstLineChars="200"/>
      </w:pPr>
      <w:r>
        <w:rPr>
          <w:b/>
          <w:bCs/>
        </w:rPr>
        <w:t>4</w:t>
      </w:r>
      <w:r>
        <w:t xml:space="preserve">  在钢承口的两圆筋之间</w:t>
      </w:r>
      <w:r>
        <w:rPr>
          <w:rFonts w:hint="eastAsia"/>
        </w:rPr>
        <w:t>应</w:t>
      </w:r>
      <w:r>
        <w:t>嵌入</w:t>
      </w:r>
      <w:r>
        <w:rPr>
          <w:rFonts w:hint="eastAsia"/>
        </w:rPr>
        <w:t>遇水</w:t>
      </w:r>
      <w:r>
        <w:t>膨胀橡胶止水条；</w:t>
      </w:r>
    </w:p>
    <w:p>
      <w:pPr>
        <w:ind w:firstLine="482" w:firstLineChars="200"/>
      </w:pPr>
      <w:r>
        <w:rPr>
          <w:b/>
          <w:bCs/>
        </w:rPr>
        <w:t>5</w:t>
      </w:r>
      <w:r>
        <w:t xml:space="preserve">  弹性密封垫生产前应进行防水试验及耐久性试验；</w:t>
      </w:r>
    </w:p>
    <w:p>
      <w:pPr>
        <w:ind w:firstLine="482" w:firstLineChars="200"/>
      </w:pPr>
      <w:r>
        <w:rPr>
          <w:b/>
          <w:bCs/>
        </w:rPr>
        <w:t>6</w:t>
      </w:r>
      <w:r>
        <w:t xml:space="preserve">  人工收面与弹性密封垫对应的位置应人工打磨光滑。</w:t>
      </w:r>
    </w:p>
    <w:p>
      <w:pPr>
        <w:jc w:val="left"/>
      </w:pPr>
      <w:r>
        <w:rPr>
          <w:b/>
        </w:rPr>
        <w:t xml:space="preserve">6.3.4  </w:t>
      </w:r>
      <w:r>
        <w:t>管节与管节之间接头处传力面应设置环状传力衬垫，衬板宜采用中等硬度的木质材料或多层夹板，板接头处</w:t>
      </w:r>
      <w:r>
        <w:rPr>
          <w:rFonts w:hint="eastAsia"/>
        </w:rPr>
        <w:t>宜采用</w:t>
      </w:r>
      <w:r>
        <w:t>企口方式相接，管节下部的嵌缝槽</w:t>
      </w:r>
      <w:r>
        <w:rPr>
          <w:rFonts w:hint="eastAsia"/>
        </w:rPr>
        <w:t>宜</w:t>
      </w:r>
      <w:r>
        <w:t>采用聚硫密封胶嵌填，传力衬垫应符合下列规定：</w:t>
      </w:r>
    </w:p>
    <w:p>
      <w:pPr>
        <w:ind w:firstLine="482" w:firstLineChars="200"/>
        <w:jc w:val="left"/>
      </w:pPr>
      <w:r>
        <w:rPr>
          <w:b/>
          <w:bCs/>
        </w:rPr>
        <w:t>1</w:t>
      </w:r>
      <w:r>
        <w:t xml:space="preserve">  应选用中等硬度、质地均匀、有弹性的松木、杉木或胶合板；</w:t>
      </w:r>
    </w:p>
    <w:p>
      <w:pPr>
        <w:ind w:firstLine="482" w:firstLineChars="200"/>
        <w:jc w:val="left"/>
      </w:pPr>
      <w:r>
        <w:rPr>
          <w:b/>
          <w:bCs/>
        </w:rPr>
        <w:t>2</w:t>
      </w:r>
      <w:r>
        <w:t xml:space="preserve">  衬垫应满足管节之间的缓冲要求；</w:t>
      </w:r>
    </w:p>
    <w:p>
      <w:pPr>
        <w:ind w:firstLine="482" w:firstLineChars="200"/>
        <w:jc w:val="left"/>
      </w:pPr>
      <w:r>
        <w:rPr>
          <w:b/>
          <w:bCs/>
        </w:rPr>
        <w:t>3</w:t>
      </w:r>
      <w:r>
        <w:t xml:space="preserve">  衬垫厚度宜为15mm～30mm，应根据管道的尺寸和曲率半径确定；</w:t>
      </w:r>
    </w:p>
    <w:p>
      <w:pPr>
        <w:ind w:firstLine="482" w:firstLineChars="200"/>
        <w:jc w:val="left"/>
      </w:pPr>
      <w:r>
        <w:rPr>
          <w:b/>
          <w:bCs/>
        </w:rPr>
        <w:t>4</w:t>
      </w:r>
      <w:r>
        <w:t xml:space="preserve">  管节端面的木衬垫板宜使用黏结剂黏贴，黏贴时应位置准确、黏贴牢固、表面平整。</w:t>
      </w:r>
    </w:p>
    <w:p>
      <w:r>
        <w:rPr>
          <w:b/>
        </w:rPr>
        <w:t>6.3.5</w:t>
      </w:r>
      <w:r>
        <w:t xml:space="preserve">  管节接口型式宜符合下列规定：</w:t>
      </w:r>
    </w:p>
    <w:p>
      <w:pPr>
        <w:ind w:firstLine="482" w:firstLineChars="200"/>
      </w:pPr>
      <w:r>
        <w:rPr>
          <w:b/>
        </w:rPr>
        <w:t xml:space="preserve">1  </w:t>
      </w:r>
      <w:r>
        <w:t>宜选用“F”型钢承口接口型式，接缝防水装置宜采用楔形止水圈和双组份聚硫密封</w:t>
      </w:r>
      <w:r>
        <w:rPr>
          <w:rFonts w:hint="eastAsia"/>
        </w:rPr>
        <w:t>胶</w:t>
      </w:r>
      <w:r>
        <w:t>嵌缝；</w:t>
      </w:r>
    </w:p>
    <w:p>
      <w:pPr>
        <w:ind w:firstLine="482" w:firstLineChars="200"/>
      </w:pPr>
      <w:r>
        <w:rPr>
          <w:b/>
        </w:rPr>
        <w:t xml:space="preserve">2  </w:t>
      </w:r>
      <w:r>
        <w:t>当顶管需穿越砂层、卵石层等透水性强的地层，以及对沉降要求严格的建筑物或构筑物等情况时，宜采用双道橡胶密封圈的钢承口接口型式。</w:t>
      </w:r>
    </w:p>
    <w:p>
      <w:r>
        <w:rPr>
          <w:b/>
        </w:rPr>
        <w:t xml:space="preserve">6.3.6  </w:t>
      </w:r>
      <w:r>
        <w:t>管节钢承口应符合下列规定：</w:t>
      </w:r>
    </w:p>
    <w:p>
      <w:pPr>
        <w:ind w:firstLine="482" w:firstLineChars="200"/>
        <w:rPr>
          <w:shd w:val="clear" w:color="auto" w:fill="FFFFFF"/>
        </w:rPr>
      </w:pPr>
      <w:r>
        <w:rPr>
          <w:b/>
        </w:rPr>
        <w:t xml:space="preserve">1  </w:t>
      </w:r>
      <w:r>
        <w:t>钢承口及钢环材料</w:t>
      </w:r>
      <w:r>
        <w:rPr>
          <w:rFonts w:hint="eastAsia"/>
        </w:rPr>
        <w:t>宜</w:t>
      </w:r>
      <w:r>
        <w:t>采用Q</w:t>
      </w:r>
      <w:r>
        <w:rPr>
          <w:rFonts w:hint="eastAsia"/>
        </w:rPr>
        <w:t>355</w:t>
      </w:r>
      <w:r>
        <w:t>钢，钢环表面</w:t>
      </w:r>
      <w:r>
        <w:rPr>
          <w:rFonts w:hint="eastAsia"/>
        </w:rPr>
        <w:t>应涂刷</w:t>
      </w:r>
      <w:r>
        <w:t>环氧富锌底漆二度，每度不</w:t>
      </w:r>
      <w:r>
        <w:rPr>
          <w:rFonts w:hint="eastAsia"/>
        </w:rPr>
        <w:t>应</w:t>
      </w:r>
      <w:r>
        <w:t>低于30</w:t>
      </w:r>
      <w:r>
        <w:rPr>
          <w:shd w:val="clear" w:color="auto" w:fill="FFFFFF"/>
        </w:rPr>
        <w:t>μm，</w:t>
      </w:r>
      <w:r>
        <w:rPr>
          <w:rFonts w:hint="eastAsia"/>
          <w:shd w:val="clear" w:color="auto" w:fill="FFFFFF"/>
        </w:rPr>
        <w:t>涂刷</w:t>
      </w:r>
      <w:r>
        <w:rPr>
          <w:shd w:val="clear" w:color="auto" w:fill="FFFFFF"/>
        </w:rPr>
        <w:t>环氧沥青面漆二度，每度不</w:t>
      </w:r>
      <w:r>
        <w:rPr>
          <w:rFonts w:hint="eastAsia"/>
        </w:rPr>
        <w:t>应</w:t>
      </w:r>
      <w:r>
        <w:rPr>
          <w:shd w:val="clear" w:color="auto" w:fill="FFFFFF"/>
        </w:rPr>
        <w:t>低于80μm，钢承口接头内侧应磨平；</w:t>
      </w:r>
    </w:p>
    <w:p>
      <w:pPr>
        <w:ind w:firstLine="482" w:firstLineChars="200"/>
        <w:rPr>
          <w:shd w:val="clear" w:color="auto" w:fill="FFFFFF"/>
        </w:rPr>
      </w:pPr>
      <w:r>
        <w:rPr>
          <w:b/>
        </w:rPr>
        <w:t xml:space="preserve">2  </w:t>
      </w:r>
      <w:r>
        <w:rPr>
          <w:shd w:val="clear" w:color="auto" w:fill="FFFFFF"/>
        </w:rPr>
        <w:t>钢承口焊接应满焊，并应采取防止钢承口焊接变形</w:t>
      </w:r>
      <w:r>
        <w:rPr>
          <w:rFonts w:hint="eastAsia"/>
          <w:shd w:val="clear" w:color="auto" w:fill="FFFFFF"/>
        </w:rPr>
        <w:t>的</w:t>
      </w:r>
      <w:r>
        <w:rPr>
          <w:shd w:val="clear" w:color="auto" w:fill="FFFFFF"/>
        </w:rPr>
        <w:t>措施；</w:t>
      </w:r>
    </w:p>
    <w:p>
      <w:pPr>
        <w:snapToGrid w:val="0"/>
        <w:ind w:firstLine="482" w:firstLineChars="200"/>
      </w:pPr>
      <w:r>
        <w:rPr>
          <w:b/>
        </w:rPr>
        <w:t xml:space="preserve">3  </w:t>
      </w:r>
      <w:r>
        <w:t>钢承口对角线尺寸误差应小于5mm。</w:t>
      </w:r>
    </w:p>
    <w:p>
      <w:r>
        <w:rPr>
          <w:b/>
        </w:rPr>
        <w:t>6.3.</w:t>
      </w:r>
      <w:r>
        <w:rPr>
          <w:rFonts w:hint="eastAsia"/>
          <w:b/>
        </w:rPr>
        <w:t>7</w:t>
      </w:r>
      <w:r>
        <w:rPr>
          <w:b/>
        </w:rPr>
        <w:t xml:space="preserve">  </w:t>
      </w:r>
      <w:r>
        <w:t>进场前应对矩形管节、钢套环、橡胶密封圈及衬垫材料进行检测和验收，对存在问题的管节应责令供应商进行整改，直至验收合格，方可投放工地。</w:t>
      </w:r>
    </w:p>
    <w:p>
      <w:pPr>
        <w:rPr>
          <w:bCs/>
        </w:rPr>
      </w:pPr>
      <w:r>
        <w:rPr>
          <w:b/>
        </w:rPr>
        <w:t>6.3.</w:t>
      </w:r>
      <w:r>
        <w:rPr>
          <w:rFonts w:hint="eastAsia"/>
          <w:b/>
        </w:rPr>
        <w:t>8</w:t>
      </w:r>
      <w:r>
        <w:rPr>
          <w:b/>
        </w:rPr>
        <w:t xml:space="preserve">  </w:t>
      </w:r>
      <w:r>
        <w:rPr>
          <w:bCs/>
        </w:rPr>
        <w:t>管节对接前，应使用</w:t>
      </w:r>
      <w:r>
        <w:rPr>
          <w:rFonts w:hint="eastAsia"/>
          <w:bCs/>
        </w:rPr>
        <w:t>黏</w:t>
      </w:r>
      <w:r>
        <w:rPr>
          <w:bCs/>
        </w:rPr>
        <w:t>结剂将橡胶密封圈正确固定在管节胶圈槽内，顶进前应在止水圈斜面上和钢承口斜口面均匀涂抹一层硅油。对接时受力应均匀，对接后橡胶密封圈不应移位和反转。</w:t>
      </w:r>
    </w:p>
    <w:p>
      <w:r>
        <w:rPr>
          <w:b/>
        </w:rPr>
        <w:t>6.3.</w:t>
      </w:r>
      <w:r>
        <w:rPr>
          <w:rFonts w:hint="eastAsia"/>
          <w:b/>
        </w:rPr>
        <w:t>9</w:t>
      </w:r>
      <w:r>
        <w:rPr>
          <w:b/>
        </w:rPr>
        <w:t xml:space="preserve">  </w:t>
      </w:r>
      <w:r>
        <w:t>顶管施工完成后，应先将管节接缝清洗、干燥，再采用聚氨酯建筑密封胶对管节接缝进行嵌缝。</w:t>
      </w:r>
    </w:p>
    <w:p/>
    <w:p>
      <w:pPr>
        <w:keepNext/>
        <w:keepLines/>
        <w:jc w:val="center"/>
        <w:outlineLvl w:val="1"/>
        <w:rPr>
          <w:rFonts w:eastAsia="黑体"/>
          <w:bCs/>
          <w:sz w:val="28"/>
          <w:szCs w:val="32"/>
        </w:rPr>
      </w:pPr>
      <w:bookmarkStart w:id="289" w:name="_Toc23681"/>
      <w:bookmarkStart w:id="290" w:name="_Toc2861"/>
      <w:bookmarkStart w:id="291" w:name="_Toc30922"/>
      <w:bookmarkStart w:id="292" w:name="_Toc16357"/>
      <w:bookmarkStart w:id="293" w:name="_Toc8976"/>
      <w:bookmarkStart w:id="294" w:name="_Toc10641"/>
      <w:bookmarkStart w:id="295" w:name="_Toc14894"/>
      <w:r>
        <w:rPr>
          <w:rFonts w:eastAsia="黑体"/>
          <w:bCs/>
          <w:sz w:val="28"/>
          <w:szCs w:val="32"/>
        </w:rPr>
        <w:fldChar w:fldCharType="begin"/>
      </w:r>
      <w:r>
        <w:rPr>
          <w:rFonts w:eastAsia="黑体"/>
          <w:bCs/>
          <w:sz w:val="28"/>
          <w:szCs w:val="32"/>
        </w:rPr>
        <w:instrText xml:space="preserve"> HYPERLINK "file:///C:\\Users\\xy155\\Desktop\\矩形顶管工程技术规程2019.3.22.docx" \l "_Toc17680" </w:instrText>
      </w:r>
      <w:r>
        <w:rPr>
          <w:rFonts w:eastAsia="黑体"/>
          <w:bCs/>
          <w:sz w:val="28"/>
          <w:szCs w:val="32"/>
        </w:rPr>
        <w:fldChar w:fldCharType="separate"/>
      </w:r>
      <w:bookmarkStart w:id="296" w:name="_Toc60172906"/>
      <w:bookmarkStart w:id="297" w:name="_Toc47692165"/>
      <w:bookmarkStart w:id="298" w:name="_Toc60173793"/>
      <w:bookmarkStart w:id="299" w:name="_Toc18057047"/>
      <w:r>
        <w:rPr>
          <w:rFonts w:eastAsia="黑体"/>
          <w:b/>
          <w:bCs/>
          <w:sz w:val="28"/>
          <w:szCs w:val="32"/>
        </w:rPr>
        <w:t>6.4</w:t>
      </w:r>
      <w:r>
        <w:rPr>
          <w:rFonts w:eastAsia="黑体"/>
          <w:bCs/>
          <w:sz w:val="28"/>
          <w:szCs w:val="32"/>
        </w:rPr>
        <w:t xml:space="preserve">  管节防腐</w:t>
      </w:r>
      <w:bookmarkEnd w:id="296"/>
      <w:bookmarkEnd w:id="297"/>
      <w:bookmarkEnd w:id="298"/>
      <w:bookmarkEnd w:id="299"/>
      <w:r>
        <w:rPr>
          <w:rFonts w:eastAsia="黑体"/>
          <w:bCs/>
          <w:sz w:val="28"/>
          <w:szCs w:val="32"/>
        </w:rPr>
        <w:fldChar w:fldCharType="end"/>
      </w:r>
      <w:bookmarkEnd w:id="289"/>
      <w:bookmarkEnd w:id="290"/>
      <w:bookmarkEnd w:id="291"/>
      <w:bookmarkEnd w:id="292"/>
      <w:bookmarkEnd w:id="293"/>
      <w:bookmarkEnd w:id="294"/>
      <w:bookmarkEnd w:id="295"/>
    </w:p>
    <w:p>
      <w:r>
        <w:rPr>
          <w:b/>
        </w:rPr>
        <w:t xml:space="preserve">6.4.1  </w:t>
      </w:r>
      <w:r>
        <w:t>当地下水或管节内介质对混凝土和钢筋具有腐蚀性时，应对管道内外壁做防腐处理，并应满足设计要求。</w:t>
      </w:r>
    </w:p>
    <w:p>
      <w:r>
        <w:rPr>
          <w:b/>
        </w:rPr>
        <w:t xml:space="preserve">6.4.2  </w:t>
      </w:r>
      <w:r>
        <w:t>钢筋混凝土管防腐涂料品种的选用、层数、厚度等应符合设计文件的规定，管外壁防腐宜采用环氧类涂料，管内壁防腐宜采用水性涂料、无溶剂涂料等环保型产品。</w:t>
      </w:r>
    </w:p>
    <w:p>
      <w:r>
        <w:rPr>
          <w:b/>
        </w:rPr>
        <w:t xml:space="preserve">6.4.3  </w:t>
      </w:r>
      <w:r>
        <w:t>钢筋混凝土管内壁防腐施工前，管道接口应按设计要求进行嵌缝密封。</w:t>
      </w:r>
    </w:p>
    <w:p>
      <w:r>
        <w:rPr>
          <w:b/>
        </w:rPr>
        <w:t xml:space="preserve">6.4.4  </w:t>
      </w:r>
      <w:r>
        <w:t>混凝土内壁涂刷的腻子应具有与混凝土粘结牢固、快速干燥的性能，抗碱渗透底漆与基面和涂料应结合紧密。</w:t>
      </w:r>
    </w:p>
    <w:p>
      <w:r>
        <w:rPr>
          <w:b/>
        </w:rPr>
        <w:t xml:space="preserve">6.4.5  </w:t>
      </w:r>
      <w:r>
        <w:t>管道内壁防腐涂料工程的混凝土基层应符合下列规定：</w:t>
      </w:r>
    </w:p>
    <w:p>
      <w:pPr>
        <w:ind w:firstLine="482" w:firstLineChars="200"/>
      </w:pPr>
      <w:r>
        <w:rPr>
          <w:b/>
          <w:bCs/>
        </w:rPr>
        <w:t>1</w:t>
      </w:r>
      <w:r>
        <w:t xml:space="preserve">  基层表面不得有残留沾污物；</w:t>
      </w:r>
    </w:p>
    <w:p>
      <w:pPr>
        <w:ind w:firstLine="482" w:firstLineChars="200"/>
      </w:pPr>
      <w:r>
        <w:rPr>
          <w:b/>
          <w:bCs/>
        </w:rPr>
        <w:t>2</w:t>
      </w:r>
      <w:r>
        <w:t xml:space="preserve">  基层不得有裂缝或凹凸缺陷现象，平整度允许空隙不应大于2mm；</w:t>
      </w:r>
    </w:p>
    <w:p>
      <w:pPr>
        <w:ind w:firstLine="482" w:firstLineChars="200"/>
      </w:pPr>
      <w:r>
        <w:rPr>
          <w:b/>
          <w:bCs/>
        </w:rPr>
        <w:t>3</w:t>
      </w:r>
      <w:r>
        <w:t xml:space="preserve">  基层应保持干燥，含水率不应大于6%。</w:t>
      </w:r>
    </w:p>
    <w:p>
      <w:r>
        <w:rPr>
          <w:b/>
        </w:rPr>
        <w:t>6.4.6</w:t>
      </w:r>
      <w:r>
        <w:t xml:space="preserve">  混凝土内壁防腐涂料工程施工应自上而下、分段涂装，底面可不涂装。</w:t>
      </w:r>
    </w:p>
    <w:p>
      <w:r>
        <w:rPr>
          <w:b/>
        </w:rPr>
        <w:t xml:space="preserve">6.4.7 </w:t>
      </w:r>
      <w:r>
        <w:t xml:space="preserve"> 采用刷涂或滚涂工艺时，宜按“一底二中二面”施工；采用喷涂工艺时宜按“一底三面”施工；后一道涂料施工应在前一道涂料实干后进行。</w:t>
      </w:r>
    </w:p>
    <w:p>
      <w:r>
        <w:rPr>
          <w:b/>
        </w:rPr>
        <w:t>6.4.8</w:t>
      </w:r>
      <w:r>
        <w:t xml:space="preserve">  矩形管节内、外金属件应按设计要求进行防腐蚀处理；防腐施工前，应清除金属构件表面的油污、尘土、焊渣、氧化物及疏松的锈蚀物。</w:t>
      </w:r>
    </w:p>
    <w:p>
      <w:r>
        <w:rPr>
          <w:b/>
        </w:rPr>
        <w:t xml:space="preserve">6.4.9  </w:t>
      </w:r>
      <w:r>
        <w:t>钢套环应按设计要求进行防腐处理，防腐材料宜采用环氧煤沥青，防腐层厚度不宜小于0.2mm。钢套环端部应光滑平整。</w:t>
      </w:r>
    </w:p>
    <w:p>
      <w:pPr>
        <w:keepNext/>
        <w:keepLines/>
        <w:jc w:val="center"/>
        <w:outlineLvl w:val="1"/>
        <w:rPr>
          <w:rFonts w:eastAsia="黑体"/>
          <w:bCs/>
          <w:sz w:val="28"/>
          <w:szCs w:val="32"/>
        </w:rPr>
      </w:pPr>
      <w:bookmarkStart w:id="300" w:name="_Toc2395"/>
      <w:bookmarkStart w:id="301" w:name="_Toc60173794"/>
      <w:bookmarkStart w:id="302" w:name="_Toc7210"/>
      <w:bookmarkStart w:id="303" w:name="_Toc18057048"/>
      <w:bookmarkStart w:id="304" w:name="_Toc47692166"/>
      <w:bookmarkStart w:id="305" w:name="_Toc3736"/>
      <w:bookmarkStart w:id="306" w:name="_Toc7038"/>
      <w:bookmarkStart w:id="307" w:name="_Toc21470"/>
      <w:bookmarkStart w:id="308" w:name="_Toc20072"/>
      <w:bookmarkStart w:id="309" w:name="_Toc60172907"/>
      <w:bookmarkStart w:id="310" w:name="_Toc2892"/>
      <w:r>
        <w:rPr>
          <w:rFonts w:eastAsia="黑体"/>
          <w:b/>
          <w:bCs/>
          <w:sz w:val="28"/>
          <w:szCs w:val="32"/>
        </w:rPr>
        <w:t>6.5</w:t>
      </w:r>
      <w:r>
        <w:rPr>
          <w:rFonts w:eastAsia="黑体"/>
          <w:bCs/>
          <w:sz w:val="28"/>
          <w:szCs w:val="32"/>
        </w:rPr>
        <w:t xml:space="preserve">  管节预制</w:t>
      </w:r>
      <w:bookmarkEnd w:id="300"/>
      <w:bookmarkEnd w:id="301"/>
      <w:bookmarkEnd w:id="302"/>
      <w:bookmarkEnd w:id="303"/>
      <w:bookmarkEnd w:id="304"/>
      <w:bookmarkEnd w:id="305"/>
      <w:bookmarkEnd w:id="306"/>
      <w:bookmarkEnd w:id="307"/>
      <w:bookmarkEnd w:id="308"/>
      <w:bookmarkEnd w:id="309"/>
      <w:bookmarkEnd w:id="310"/>
    </w:p>
    <w:p>
      <w:pPr>
        <w:jc w:val="left"/>
      </w:pPr>
      <w:r>
        <w:rPr>
          <w:b/>
        </w:rPr>
        <w:t>6.5.1</w:t>
      </w:r>
      <w:r>
        <w:t xml:space="preserve">  管节生产前应对钢模误差进行检测，若不符合标准</w:t>
      </w:r>
      <w:r>
        <w:rPr>
          <w:rFonts w:hint="eastAsia"/>
        </w:rPr>
        <w:t>应</w:t>
      </w:r>
      <w:r>
        <w:t>进行校正</w:t>
      </w:r>
      <w:r>
        <w:rPr>
          <w:rFonts w:hint="eastAsia"/>
        </w:rPr>
        <w:t>。</w:t>
      </w:r>
      <w:r>
        <w:t>管节生产过程中应</w:t>
      </w:r>
      <w:r>
        <w:rPr>
          <w:rFonts w:hint="eastAsia"/>
        </w:rPr>
        <w:t>确保钢模误差在标准允许范围之内。</w:t>
      </w:r>
    </w:p>
    <w:p>
      <w:pPr>
        <w:jc w:val="left"/>
      </w:pPr>
      <w:r>
        <w:rPr>
          <w:b/>
          <w:bCs/>
        </w:rPr>
        <w:t>6.5.2</w:t>
      </w:r>
      <w:r>
        <w:t xml:space="preserve">  混凝土应按顶管管节的设计要求进行级配调整，宜采用振捣方式</w:t>
      </w:r>
      <w:r>
        <w:rPr>
          <w:rFonts w:hint="eastAsia"/>
        </w:rPr>
        <w:t>进行密实处置</w:t>
      </w:r>
      <w:r>
        <w:t>。</w:t>
      </w:r>
    </w:p>
    <w:p>
      <w:pPr>
        <w:jc w:val="left"/>
      </w:pPr>
      <w:r>
        <w:rPr>
          <w:b/>
          <w:bCs/>
        </w:rPr>
        <w:t>6.5.3</w:t>
      </w:r>
      <w:r>
        <w:t xml:space="preserve">  当环境温度大于或等于10℃时可采用自然养护，当环境温度小于10℃时宜采用蒸汽养护。</w:t>
      </w:r>
    </w:p>
    <w:p>
      <w:r>
        <w:rPr>
          <w:b/>
        </w:rPr>
        <w:t xml:space="preserve">6.5.4  </w:t>
      </w:r>
      <w:r>
        <w:t>混凝土管节构造应符合下列规定：</w:t>
      </w:r>
    </w:p>
    <w:p>
      <w:pPr>
        <w:ind w:firstLine="482" w:firstLineChars="200"/>
      </w:pPr>
      <w:r>
        <w:rPr>
          <w:b/>
        </w:rPr>
        <w:t xml:space="preserve">1  </w:t>
      </w:r>
      <w:r>
        <w:t>矩形管节基本结构应包括钢筋骨架、吊装装置、注浆孔、压浆孔、内外钢环、预埋件和混凝土等；</w:t>
      </w:r>
    </w:p>
    <w:p>
      <w:pPr>
        <w:ind w:firstLine="482" w:firstLineChars="200"/>
      </w:pPr>
      <w:r>
        <w:rPr>
          <w:b/>
        </w:rPr>
        <w:t xml:space="preserve">2  </w:t>
      </w:r>
      <w:r>
        <w:t>矩形管节插口和钢承口的内外钢环应与钢筋骨架钢筋焊接，并</w:t>
      </w:r>
      <w:r>
        <w:rPr>
          <w:rFonts w:hint="eastAsia"/>
        </w:rPr>
        <w:t>应</w:t>
      </w:r>
      <w:r>
        <w:t>紧</w:t>
      </w:r>
      <w:r>
        <w:rPr>
          <w:rFonts w:hint="eastAsia"/>
        </w:rPr>
        <w:t>贴</w:t>
      </w:r>
      <w:r>
        <w:t>模具的内壁；</w:t>
      </w:r>
    </w:p>
    <w:p>
      <w:pPr>
        <w:ind w:firstLine="482" w:firstLineChars="200"/>
      </w:pPr>
      <w:r>
        <w:rPr>
          <w:b/>
        </w:rPr>
        <w:t>3</w:t>
      </w:r>
      <w:r>
        <w:rPr>
          <w:bCs/>
        </w:rPr>
        <w:t xml:space="preserve">  管节插口端上应根据需要设置减磨注浆孔，数量及管径</w:t>
      </w:r>
      <w:r>
        <w:rPr>
          <w:rFonts w:hint="eastAsia"/>
        </w:rPr>
        <w:t>应</w:t>
      </w:r>
      <w:r>
        <w:rPr>
          <w:bCs/>
        </w:rPr>
        <w:t>根据设计要求</w:t>
      </w:r>
      <w:r>
        <w:rPr>
          <w:rFonts w:hint="eastAsia"/>
          <w:bCs/>
        </w:rPr>
        <w:t>确</w:t>
      </w:r>
      <w:r>
        <w:rPr>
          <w:bCs/>
        </w:rPr>
        <w:t>定；</w:t>
      </w:r>
    </w:p>
    <w:p>
      <w:pPr>
        <w:ind w:firstLine="482" w:firstLineChars="200"/>
      </w:pPr>
      <w:r>
        <w:rPr>
          <w:b/>
          <w:bCs/>
        </w:rPr>
        <w:t>4</w:t>
      </w:r>
      <w:r>
        <w:t xml:space="preserve">  每一节管节应设置满足吊装要求的吊装装置。</w:t>
      </w:r>
    </w:p>
    <w:p>
      <w:r>
        <w:rPr>
          <w:b/>
          <w:bCs/>
        </w:rPr>
        <w:t xml:space="preserve">6.5.5 </w:t>
      </w:r>
      <w:r>
        <w:t xml:space="preserve"> 管节预制的混凝土抗压强度应符合下列规定：</w:t>
      </w:r>
    </w:p>
    <w:p>
      <w:pPr>
        <w:ind w:firstLine="482" w:firstLineChars="200"/>
      </w:pPr>
      <w:r>
        <w:rPr>
          <w:b/>
          <w:bCs/>
        </w:rPr>
        <w:t>1</w:t>
      </w:r>
      <w:r>
        <w:t xml:space="preserve">  混凝土拌合物应在相应管节任意</w:t>
      </w:r>
      <w:r>
        <w:rPr>
          <w:rFonts w:hint="eastAsia"/>
        </w:rPr>
        <w:t>一</w:t>
      </w:r>
      <w:r>
        <w:t>拌进行随机取样</w:t>
      </w:r>
      <w:r>
        <w:rPr>
          <w:rFonts w:hint="eastAsia"/>
        </w:rPr>
        <w:t>、</w:t>
      </w:r>
      <w:r>
        <w:t>制作抗压强度试件；</w:t>
      </w:r>
    </w:p>
    <w:p>
      <w:pPr>
        <w:ind w:firstLine="482" w:firstLineChars="200"/>
      </w:pPr>
      <w:r>
        <w:rPr>
          <w:b/>
          <w:bCs/>
        </w:rPr>
        <w:t>2</w:t>
      </w:r>
      <w:r>
        <w:t xml:space="preserve">  每节管节取样不得少于1次，每次制作试件不应少于3组，2组与管节同条件养护，1组进行标准养护；</w:t>
      </w:r>
    </w:p>
    <w:p>
      <w:pPr>
        <w:ind w:firstLine="482" w:firstLineChars="200"/>
      </w:pPr>
      <w:r>
        <w:rPr>
          <w:b/>
          <w:bCs/>
        </w:rPr>
        <w:t>3</w:t>
      </w:r>
      <w:r>
        <w:t xml:space="preserve">  同条件养护试件应用于脱模强度判定，标准养护试件应用于28d混凝土强度判定；</w:t>
      </w:r>
    </w:p>
    <w:p>
      <w:pPr>
        <w:ind w:firstLine="482" w:firstLineChars="200"/>
      </w:pPr>
      <w:r>
        <w:rPr>
          <w:b/>
          <w:bCs/>
        </w:rPr>
        <w:t>4</w:t>
      </w:r>
      <w:r>
        <w:t xml:space="preserve">  混凝土抗压强度试验方法应符合现行国家标准《混凝土物理力学性能试验方法标准》GB/T 50081的有关规定。</w:t>
      </w:r>
    </w:p>
    <w:p>
      <w:r>
        <w:rPr>
          <w:b/>
          <w:bCs/>
        </w:rPr>
        <w:t xml:space="preserve">6.5.6 </w:t>
      </w:r>
      <w:r>
        <w:t xml:space="preserve"> 管节预制的混凝土抗渗等级应符合下列规定：</w:t>
      </w:r>
    </w:p>
    <w:p>
      <w:pPr>
        <w:ind w:firstLine="482" w:firstLineChars="200"/>
      </w:pPr>
      <w:r>
        <w:rPr>
          <w:b/>
          <w:bCs/>
        </w:rPr>
        <w:t xml:space="preserve">1 </w:t>
      </w:r>
      <w:r>
        <w:t xml:space="preserve"> 混凝土拌合物应在相应管节任意</w:t>
      </w:r>
      <w:r>
        <w:rPr>
          <w:rFonts w:hint="eastAsia"/>
        </w:rPr>
        <w:t>一</w:t>
      </w:r>
      <w:r>
        <w:t>拌进行随机取样</w:t>
      </w:r>
      <w:r>
        <w:rPr>
          <w:rFonts w:hint="eastAsia"/>
        </w:rPr>
        <w:t>、</w:t>
      </w:r>
      <w:r>
        <w:t>制作抗渗试件；</w:t>
      </w:r>
    </w:p>
    <w:p>
      <w:pPr>
        <w:ind w:firstLine="482" w:firstLineChars="200"/>
      </w:pPr>
      <w:r>
        <w:rPr>
          <w:b/>
          <w:bCs/>
        </w:rPr>
        <w:t>2</w:t>
      </w:r>
      <w:r>
        <w:t xml:space="preserve">  相同项目、同一规格</w:t>
      </w:r>
      <w:r>
        <w:rPr>
          <w:rFonts w:hint="eastAsia"/>
        </w:rPr>
        <w:t>数量</w:t>
      </w:r>
      <w:r>
        <w:t>不</w:t>
      </w:r>
      <w:r>
        <w:rPr>
          <w:rFonts w:hint="eastAsia"/>
        </w:rPr>
        <w:t>足</w:t>
      </w:r>
      <w:r>
        <w:t>30节管节</w:t>
      </w:r>
      <w:r>
        <w:rPr>
          <w:rFonts w:hint="eastAsia"/>
        </w:rPr>
        <w:t>时</w:t>
      </w:r>
      <w:r>
        <w:t>应取1组抗渗试件</w:t>
      </w:r>
      <w:r>
        <w:rPr>
          <w:rFonts w:hint="eastAsia"/>
        </w:rPr>
        <w:t>，每增加30节管节宜增加1组抗渗构件；</w:t>
      </w:r>
    </w:p>
    <w:p>
      <w:pPr>
        <w:ind w:firstLine="482" w:firstLineChars="200"/>
      </w:pPr>
      <w:r>
        <w:rPr>
          <w:b/>
          <w:bCs/>
        </w:rPr>
        <w:t>3</w:t>
      </w:r>
      <w:r>
        <w:t xml:space="preserve">  混凝土抗渗等级试件的制作及试验方法，应符合现行国家标准《普通混凝土长期性能和耐久性能试验方法标准》GB/T 50082的有关规定。</w:t>
      </w:r>
    </w:p>
    <w:p>
      <w:r>
        <w:rPr>
          <w:b/>
        </w:rPr>
        <w:t xml:space="preserve">6.5.7  </w:t>
      </w:r>
      <w:r>
        <w:t>成品管节的外观质量应符合下列规定：</w:t>
      </w:r>
    </w:p>
    <w:p>
      <w:pPr>
        <w:ind w:firstLine="482" w:firstLineChars="200"/>
      </w:pPr>
      <w:r>
        <w:rPr>
          <w:b/>
        </w:rPr>
        <w:t xml:space="preserve">1  </w:t>
      </w:r>
      <w:r>
        <w:t>管节钢承口、预埋铁件外表面应光洁，不应粘有混凝土、水泥浆及其他污物；</w:t>
      </w:r>
    </w:p>
    <w:p>
      <w:pPr>
        <w:ind w:firstLine="482" w:firstLineChars="200"/>
        <w:rPr>
          <w:b/>
        </w:rPr>
      </w:pPr>
      <w:r>
        <w:rPr>
          <w:b/>
        </w:rPr>
        <w:t xml:space="preserve">2  </w:t>
      </w:r>
      <w:r>
        <w:t>顶管结构迎土面裂缝宽度不得大于0.2mm，背土面裂缝宽度不得大于0.3mm；</w:t>
      </w:r>
    </w:p>
    <w:p>
      <w:pPr>
        <w:ind w:firstLine="482" w:firstLineChars="200"/>
      </w:pPr>
      <w:r>
        <w:rPr>
          <w:b/>
        </w:rPr>
        <w:t xml:space="preserve">3  </w:t>
      </w:r>
      <w:r>
        <w:t>管节承、插口端部混凝土不应出现缺料、掉角、露筋、露石及孔洞等瑕疵；</w:t>
      </w:r>
    </w:p>
    <w:p>
      <w:pPr>
        <w:ind w:firstLine="482" w:firstLineChars="200"/>
      </w:pPr>
      <w:r>
        <w:rPr>
          <w:b/>
        </w:rPr>
        <w:t>4</w:t>
      </w:r>
      <w:r>
        <w:rPr>
          <w:bCs/>
        </w:rPr>
        <w:t xml:space="preserve"> </w:t>
      </w:r>
      <w:r>
        <w:rPr>
          <w:b/>
        </w:rPr>
        <w:t xml:space="preserve"> </w:t>
      </w:r>
      <w:r>
        <w:t>管道内壁混凝土表面应平整光洁，不应出现直径或深度大于10mm的孔洞、凹坑以及蜂窝麻面等不密实现象；</w:t>
      </w:r>
    </w:p>
    <w:p>
      <w:pPr>
        <w:ind w:firstLine="482" w:firstLineChars="200"/>
      </w:pPr>
      <w:r>
        <w:rPr>
          <w:b/>
        </w:rPr>
        <w:t>5</w:t>
      </w:r>
      <w:r>
        <w:rPr>
          <w:bCs/>
        </w:rPr>
        <w:t xml:space="preserve"> </w:t>
      </w:r>
      <w:r>
        <w:rPr>
          <w:b/>
        </w:rPr>
        <w:t xml:space="preserve"> </w:t>
      </w:r>
      <w:r>
        <w:t>管道外壁混凝土表面应平整，</w:t>
      </w:r>
      <w:r>
        <w:rPr>
          <w:rFonts w:hint="eastAsia"/>
        </w:rPr>
        <w:t>不得有</w:t>
      </w:r>
      <w:r>
        <w:t>粘皮、麻面、蜂窝、塌落、露筋、空鼓，局部凹坑深度不应大于5mm；</w:t>
      </w:r>
    </w:p>
    <w:p>
      <w:pPr>
        <w:ind w:firstLine="482" w:firstLineChars="200"/>
      </w:pPr>
      <w:r>
        <w:rPr>
          <w:b/>
        </w:rPr>
        <w:t xml:space="preserve">6  </w:t>
      </w:r>
      <w:r>
        <w:t>管节合缝处不得有漏浆现象。</w:t>
      </w:r>
    </w:p>
    <w:p>
      <w:r>
        <w:rPr>
          <w:b/>
          <w:bCs/>
        </w:rPr>
        <w:t>6.5.8</w:t>
      </w:r>
      <w:r>
        <w:t xml:space="preserve">  预制管节出现下列情况时宜进行修补：</w:t>
      </w:r>
    </w:p>
    <w:p>
      <w:pPr>
        <w:ind w:firstLine="482" w:firstLineChars="200"/>
      </w:pPr>
      <w:r>
        <w:rPr>
          <w:b/>
          <w:bCs/>
        </w:rPr>
        <w:t>1</w:t>
      </w:r>
      <w:r>
        <w:t xml:space="preserve">  表面凹深不超过5mm，粘皮、麻面、蜂窝深度不超过5mm，且总表面积不超过相应内外表面积的1/20，每块面积不超过100cm</w:t>
      </w:r>
      <w:r>
        <w:rPr>
          <w:vertAlign w:val="superscript"/>
        </w:rPr>
        <w:t>2</w:t>
      </w:r>
      <w:r>
        <w:t>；</w:t>
      </w:r>
    </w:p>
    <w:p>
      <w:pPr>
        <w:ind w:firstLine="482" w:firstLineChars="200"/>
      </w:pPr>
      <w:r>
        <w:rPr>
          <w:b/>
          <w:bCs/>
        </w:rPr>
        <w:t>2</w:t>
      </w:r>
      <w:r>
        <w:t xml:space="preserve">  表面有局部塌落，但塌落面积不超过相应内外表面积的1/20，每块面积不超过100cm</w:t>
      </w:r>
      <w:r>
        <w:rPr>
          <w:vertAlign w:val="superscript"/>
        </w:rPr>
        <w:t>2</w:t>
      </w:r>
      <w:r>
        <w:t>；</w:t>
      </w:r>
    </w:p>
    <w:p>
      <w:pPr>
        <w:ind w:firstLine="482" w:firstLineChars="200"/>
      </w:pPr>
      <w:r>
        <w:rPr>
          <w:b/>
          <w:bCs/>
        </w:rPr>
        <w:t>3</w:t>
      </w:r>
      <w:r>
        <w:t xml:space="preserve">  合缝漏浆深度不超过10mm，且最大长度不超过300mm；</w:t>
      </w:r>
    </w:p>
    <w:p>
      <w:pPr>
        <w:ind w:firstLine="482" w:firstLineChars="200"/>
      </w:pPr>
      <w:r>
        <w:rPr>
          <w:b/>
          <w:bCs/>
        </w:rPr>
        <w:t>4</w:t>
      </w:r>
      <w:r>
        <w:t xml:space="preserve">  端面碰伤横向长度不超过200mm，纵向长度不超过50mm。</w:t>
      </w:r>
    </w:p>
    <w:p>
      <w:pPr>
        <w:ind w:firstLine="480" w:firstLineChars="200"/>
      </w:pPr>
    </w:p>
    <w:p>
      <w:pPr>
        <w:keepNext/>
        <w:keepLines/>
        <w:jc w:val="center"/>
        <w:outlineLvl w:val="1"/>
        <w:rPr>
          <w:rFonts w:eastAsia="黑体"/>
          <w:bCs/>
          <w:sz w:val="28"/>
          <w:szCs w:val="32"/>
        </w:rPr>
      </w:pPr>
      <w:bookmarkStart w:id="311" w:name="_Toc27492"/>
      <w:bookmarkStart w:id="312" w:name="_Toc60172908"/>
      <w:bookmarkStart w:id="313" w:name="_Toc60173795"/>
      <w:bookmarkStart w:id="314" w:name="_Toc13644"/>
      <w:bookmarkStart w:id="315" w:name="_Toc47692167"/>
      <w:bookmarkStart w:id="316" w:name="_Toc8558"/>
      <w:bookmarkStart w:id="317" w:name="_Toc18057049"/>
      <w:bookmarkStart w:id="318" w:name="_Toc27972"/>
      <w:bookmarkStart w:id="319" w:name="_Toc11245"/>
      <w:bookmarkStart w:id="320" w:name="_Toc18874"/>
      <w:bookmarkStart w:id="321" w:name="_Toc12663"/>
      <w:r>
        <w:rPr>
          <w:rFonts w:eastAsia="黑体"/>
          <w:b/>
          <w:bCs/>
          <w:sz w:val="28"/>
          <w:szCs w:val="32"/>
        </w:rPr>
        <w:t>6.6</w:t>
      </w:r>
      <w:r>
        <w:rPr>
          <w:rFonts w:eastAsia="黑体"/>
          <w:bCs/>
          <w:sz w:val="28"/>
          <w:szCs w:val="32"/>
        </w:rPr>
        <w:t xml:space="preserve">  管节标识、堆放、吊装和运输</w:t>
      </w:r>
      <w:bookmarkEnd w:id="311"/>
      <w:bookmarkEnd w:id="312"/>
      <w:bookmarkEnd w:id="313"/>
      <w:bookmarkEnd w:id="314"/>
      <w:bookmarkEnd w:id="315"/>
      <w:bookmarkEnd w:id="316"/>
      <w:bookmarkEnd w:id="317"/>
      <w:bookmarkEnd w:id="318"/>
      <w:bookmarkEnd w:id="319"/>
      <w:bookmarkEnd w:id="320"/>
      <w:bookmarkEnd w:id="321"/>
    </w:p>
    <w:p>
      <w:r>
        <w:rPr>
          <w:b/>
        </w:rPr>
        <w:t>6.6.1</w:t>
      </w:r>
      <w:r>
        <w:t xml:space="preserve">  管节出厂前应在管节易见位置对合格的管节进行标识，标识内容应包括企业名称、产品商标、产品标记以及生产日期等，喷刷字迹应工整、清晰，不得随意涂改，比例应协调。</w:t>
      </w:r>
    </w:p>
    <w:p>
      <w:r>
        <w:rPr>
          <w:b/>
        </w:rPr>
        <w:t xml:space="preserve">6.6.2  </w:t>
      </w:r>
      <w:r>
        <w:t>管节的堆放应符合下列规定：</w:t>
      </w:r>
    </w:p>
    <w:p>
      <w:pPr>
        <w:ind w:firstLine="482" w:firstLineChars="200"/>
      </w:pPr>
      <w:r>
        <w:rPr>
          <w:b/>
          <w:bCs/>
        </w:rPr>
        <w:t>1</w:t>
      </w:r>
      <w:r>
        <w:t xml:space="preserve">  不同规格的管节不应混合堆放，并</w:t>
      </w:r>
      <w:r>
        <w:rPr>
          <w:rFonts w:hint="eastAsia"/>
        </w:rPr>
        <w:t>应</w:t>
      </w:r>
      <w:r>
        <w:t>做好标识；</w:t>
      </w:r>
    </w:p>
    <w:p>
      <w:pPr>
        <w:ind w:firstLine="482" w:firstLineChars="200"/>
      </w:pPr>
      <w:r>
        <w:rPr>
          <w:b/>
          <w:bCs/>
        </w:rPr>
        <w:t>2</w:t>
      </w:r>
      <w:r>
        <w:t xml:space="preserve">  矩形顶管管节堆放的层数不宜超过</w:t>
      </w:r>
      <w:r>
        <w:rPr>
          <w:rFonts w:hint="eastAsia"/>
        </w:rPr>
        <w:t>3</w:t>
      </w:r>
      <w:r>
        <w:t>层，堆放的地面应为实土地面或铺设砂石地面，地面应平整，各管节堆放周边间距不得</w:t>
      </w:r>
      <w:r>
        <w:rPr>
          <w:rFonts w:hint="eastAsia"/>
        </w:rPr>
        <w:t>小</w:t>
      </w:r>
      <w:r>
        <w:t>于1.0m，堆场应预留安全通道，通道宽度不应</w:t>
      </w:r>
      <w:r>
        <w:rPr>
          <w:rFonts w:hint="eastAsia"/>
        </w:rPr>
        <w:t>小</w:t>
      </w:r>
      <w:r>
        <w:t>于1.50m，管节应受力均匀、堆放安全。</w:t>
      </w:r>
    </w:p>
    <w:p>
      <w:pPr>
        <w:ind w:firstLine="482" w:firstLineChars="200"/>
      </w:pPr>
      <w:r>
        <w:rPr>
          <w:b/>
          <w:bCs/>
        </w:rPr>
        <w:t>3</w:t>
      </w:r>
      <w:r>
        <w:t xml:space="preserve">  管节接头上的胶圈</w:t>
      </w:r>
      <w:r>
        <w:rPr>
          <w:rFonts w:hint="eastAsia"/>
        </w:rPr>
        <w:t>宜</w:t>
      </w:r>
      <w:r>
        <w:t>待管节发往工地时</w:t>
      </w:r>
      <w:r>
        <w:rPr>
          <w:rFonts w:hint="eastAsia"/>
        </w:rPr>
        <w:t>再</w:t>
      </w:r>
      <w:r>
        <w:t>套装；</w:t>
      </w:r>
    </w:p>
    <w:p>
      <w:pPr>
        <w:ind w:firstLine="482" w:firstLineChars="200"/>
      </w:pPr>
      <w:r>
        <w:rPr>
          <w:b/>
          <w:bCs/>
        </w:rPr>
        <w:t>4</w:t>
      </w:r>
      <w:r>
        <w:t xml:space="preserve">  在干燥气候条件下，应加强管节的后期洒水养护。</w:t>
      </w:r>
    </w:p>
    <w:p>
      <w:r>
        <w:rPr>
          <w:b/>
        </w:rPr>
        <w:t>6.6.3</w:t>
      </w:r>
      <w:r>
        <w:t xml:space="preserve">  管节吊装应符合下列规定：</w:t>
      </w:r>
    </w:p>
    <w:p>
      <w:pPr>
        <w:ind w:firstLine="482" w:firstLineChars="200"/>
      </w:pPr>
      <w:r>
        <w:rPr>
          <w:b/>
          <w:bCs/>
        </w:rPr>
        <w:t>1</w:t>
      </w:r>
      <w:r>
        <w:t xml:space="preserve">  管节</w:t>
      </w:r>
      <w:r>
        <w:rPr>
          <w:rFonts w:hint="eastAsia"/>
        </w:rPr>
        <w:t>应</w:t>
      </w:r>
      <w:r>
        <w:t>采用专用吊具进行吊装，在吊装前应检查吊具销子的固定情况、钢丝绳的完好情况，吊装时插销应完全插入到吊装孔里面；</w:t>
      </w:r>
    </w:p>
    <w:p>
      <w:pPr>
        <w:ind w:firstLine="482" w:firstLineChars="200"/>
      </w:pPr>
      <w:r>
        <w:rPr>
          <w:b/>
          <w:bCs/>
        </w:rPr>
        <w:t>2</w:t>
      </w:r>
      <w:r>
        <w:t xml:space="preserve">  吊装时，吊钩吊起管节应缓慢提升高度，在吊运过程中应采取防止管节碰伤的措施。</w:t>
      </w:r>
    </w:p>
    <w:p>
      <w:r>
        <w:rPr>
          <w:b/>
        </w:rPr>
        <w:t xml:space="preserve">6.6.4  </w:t>
      </w:r>
      <w:r>
        <w:t>管节运输</w:t>
      </w:r>
      <w:r>
        <w:rPr>
          <w:rFonts w:hint="eastAsia"/>
        </w:rPr>
        <w:t>应评估运输条件，并应符合</w:t>
      </w:r>
      <w:r>
        <w:t>交通运输管理部门的</w:t>
      </w:r>
      <w:r>
        <w:rPr>
          <w:rFonts w:hint="eastAsia"/>
        </w:rPr>
        <w:t>相</w:t>
      </w:r>
      <w:r>
        <w:t>关规定</w:t>
      </w:r>
      <w:r>
        <w:rPr>
          <w:rFonts w:hint="eastAsia"/>
        </w:rPr>
        <w:t>。</w:t>
      </w:r>
    </w:p>
    <w:p/>
    <w:p>
      <w:pPr>
        <w:keepNext/>
        <w:keepLines/>
        <w:jc w:val="center"/>
        <w:outlineLvl w:val="1"/>
        <w:rPr>
          <w:rFonts w:eastAsia="黑体"/>
          <w:bCs/>
          <w:sz w:val="28"/>
          <w:szCs w:val="32"/>
        </w:rPr>
      </w:pPr>
      <w:bookmarkStart w:id="322" w:name="_Toc3055"/>
      <w:bookmarkStart w:id="323" w:name="_Toc12432"/>
      <w:bookmarkStart w:id="324" w:name="_Toc3235"/>
      <w:bookmarkStart w:id="325" w:name="_Toc16684"/>
      <w:bookmarkStart w:id="326" w:name="_Toc19615"/>
      <w:bookmarkStart w:id="327" w:name="_Toc10773"/>
      <w:bookmarkStart w:id="328" w:name="_Toc27462"/>
      <w:r>
        <w:rPr>
          <w:rFonts w:eastAsia="黑体"/>
          <w:bCs/>
          <w:sz w:val="28"/>
          <w:szCs w:val="32"/>
        </w:rPr>
        <w:fldChar w:fldCharType="begin"/>
      </w:r>
      <w:r>
        <w:rPr>
          <w:rFonts w:eastAsia="黑体"/>
          <w:bCs/>
          <w:sz w:val="28"/>
          <w:szCs w:val="32"/>
        </w:rPr>
        <w:instrText xml:space="preserve"> HYPERLINK \l "_Toc12891" </w:instrText>
      </w:r>
      <w:r>
        <w:rPr>
          <w:rFonts w:eastAsia="黑体"/>
          <w:bCs/>
          <w:sz w:val="28"/>
          <w:szCs w:val="32"/>
        </w:rPr>
        <w:fldChar w:fldCharType="separate"/>
      </w:r>
      <w:bookmarkStart w:id="329" w:name="_Toc47692168"/>
      <w:bookmarkStart w:id="330" w:name="_Toc60172909"/>
      <w:bookmarkStart w:id="331" w:name="_Toc18057050"/>
      <w:bookmarkStart w:id="332" w:name="_Toc60173796"/>
      <w:r>
        <w:rPr>
          <w:rFonts w:eastAsia="黑体"/>
          <w:b/>
          <w:bCs/>
          <w:sz w:val="28"/>
          <w:szCs w:val="32"/>
        </w:rPr>
        <w:t>6.7</w:t>
      </w:r>
      <w:r>
        <w:rPr>
          <w:rFonts w:eastAsia="黑体"/>
          <w:bCs/>
          <w:sz w:val="28"/>
          <w:szCs w:val="32"/>
        </w:rPr>
        <w:t xml:space="preserve">  管节质量控制</w:t>
      </w:r>
      <w:bookmarkEnd w:id="329"/>
      <w:bookmarkEnd w:id="330"/>
      <w:bookmarkEnd w:id="331"/>
      <w:bookmarkEnd w:id="332"/>
      <w:r>
        <w:rPr>
          <w:rFonts w:eastAsia="黑体"/>
          <w:bCs/>
          <w:sz w:val="28"/>
          <w:szCs w:val="32"/>
        </w:rPr>
        <w:fldChar w:fldCharType="end"/>
      </w:r>
      <w:bookmarkEnd w:id="322"/>
      <w:bookmarkEnd w:id="323"/>
      <w:bookmarkEnd w:id="324"/>
      <w:bookmarkEnd w:id="325"/>
      <w:bookmarkEnd w:id="326"/>
      <w:bookmarkEnd w:id="327"/>
      <w:bookmarkEnd w:id="328"/>
    </w:p>
    <w:p>
      <w:pPr>
        <w:jc w:val="center"/>
        <w:rPr>
          <w:rFonts w:eastAsia="仿宋"/>
          <w:b/>
          <w:bCs/>
        </w:rPr>
      </w:pPr>
      <w:r>
        <w:rPr>
          <w:rFonts w:eastAsia="仿宋"/>
          <w:b/>
          <w:bCs/>
        </w:rPr>
        <w:t>Ⅰ  主控项目</w:t>
      </w:r>
    </w:p>
    <w:p>
      <w:r>
        <w:rPr>
          <w:b/>
          <w:bCs/>
        </w:rPr>
        <w:t>6.7.1</w:t>
      </w:r>
      <w:r>
        <w:t xml:space="preserve">  根据影响结构性能、安装和使用功能的严重程度，</w:t>
      </w:r>
      <w:r>
        <w:rPr>
          <w:rFonts w:hint="eastAsia"/>
        </w:rPr>
        <w:t>预制构件</w:t>
      </w:r>
      <w:r>
        <w:t>外观质量缺陷</w:t>
      </w:r>
      <w:r>
        <w:rPr>
          <w:rFonts w:hint="eastAsia"/>
        </w:rPr>
        <w:t>见</w:t>
      </w:r>
      <w:r>
        <w:t>表6.7.1。</w:t>
      </w:r>
    </w:p>
    <w:p>
      <w:pPr>
        <w:jc w:val="center"/>
        <w:rPr>
          <w:b/>
          <w:bCs/>
          <w:sz w:val="21"/>
          <w:szCs w:val="18"/>
        </w:rPr>
      </w:pPr>
      <w:r>
        <w:rPr>
          <w:b/>
          <w:bCs/>
          <w:sz w:val="21"/>
          <w:szCs w:val="18"/>
        </w:rPr>
        <w:t>表6.7.1  预制构件外观质量缺陷</w:t>
      </w:r>
    </w:p>
    <w:tbl>
      <w:tblPr>
        <w:tblStyle w:val="47"/>
        <w:tblW w:w="867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1559"/>
        <w:gridCol w:w="3490"/>
        <w:gridCol w:w="29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8" w:type="dxa"/>
            <w:vAlign w:val="center"/>
          </w:tcPr>
          <w:p>
            <w:pPr>
              <w:autoSpaceDE w:val="0"/>
              <w:autoSpaceDN w:val="0"/>
              <w:adjustRightInd w:val="0"/>
              <w:spacing w:line="240" w:lineRule="auto"/>
              <w:jc w:val="center"/>
              <w:rPr>
                <w:kern w:val="0"/>
                <w:sz w:val="21"/>
              </w:rPr>
            </w:pPr>
            <w:r>
              <w:rPr>
                <w:rFonts w:hint="eastAsia"/>
                <w:kern w:val="0"/>
                <w:sz w:val="21"/>
              </w:rPr>
              <w:t>序号</w:t>
            </w:r>
          </w:p>
        </w:tc>
        <w:tc>
          <w:tcPr>
            <w:tcW w:w="1559" w:type="dxa"/>
            <w:vAlign w:val="center"/>
          </w:tcPr>
          <w:p>
            <w:pPr>
              <w:autoSpaceDE w:val="0"/>
              <w:autoSpaceDN w:val="0"/>
              <w:adjustRightInd w:val="0"/>
              <w:spacing w:line="240" w:lineRule="auto"/>
              <w:jc w:val="center"/>
              <w:rPr>
                <w:kern w:val="0"/>
                <w:sz w:val="21"/>
              </w:rPr>
            </w:pPr>
            <w:r>
              <w:rPr>
                <w:kern w:val="0"/>
                <w:sz w:val="21"/>
              </w:rPr>
              <w:t>名</w:t>
            </w:r>
            <w:r>
              <w:rPr>
                <w:rFonts w:hint="eastAsia"/>
                <w:kern w:val="0"/>
                <w:sz w:val="21"/>
              </w:rPr>
              <w:t xml:space="preserve"> </w:t>
            </w:r>
            <w:r>
              <w:rPr>
                <w:kern w:val="0"/>
                <w:sz w:val="21"/>
              </w:rPr>
              <w:t>称</w:t>
            </w:r>
          </w:p>
        </w:tc>
        <w:tc>
          <w:tcPr>
            <w:tcW w:w="3490" w:type="dxa"/>
            <w:vAlign w:val="center"/>
          </w:tcPr>
          <w:p>
            <w:pPr>
              <w:autoSpaceDE w:val="0"/>
              <w:autoSpaceDN w:val="0"/>
              <w:adjustRightInd w:val="0"/>
              <w:spacing w:line="240" w:lineRule="auto"/>
              <w:jc w:val="center"/>
              <w:rPr>
                <w:kern w:val="0"/>
                <w:sz w:val="21"/>
              </w:rPr>
            </w:pPr>
            <w:r>
              <w:rPr>
                <w:kern w:val="0"/>
                <w:sz w:val="21"/>
              </w:rPr>
              <w:t>现</w:t>
            </w:r>
            <w:r>
              <w:rPr>
                <w:rFonts w:hint="eastAsia"/>
                <w:kern w:val="0"/>
                <w:sz w:val="21"/>
              </w:rPr>
              <w:t xml:space="preserve">      </w:t>
            </w:r>
            <w:r>
              <w:rPr>
                <w:kern w:val="0"/>
                <w:sz w:val="21"/>
              </w:rPr>
              <w:t>象</w:t>
            </w:r>
          </w:p>
        </w:tc>
        <w:tc>
          <w:tcPr>
            <w:tcW w:w="2977" w:type="dxa"/>
            <w:vAlign w:val="center"/>
          </w:tcPr>
          <w:p>
            <w:pPr>
              <w:autoSpaceDE w:val="0"/>
              <w:autoSpaceDN w:val="0"/>
              <w:adjustRightInd w:val="0"/>
              <w:spacing w:line="240" w:lineRule="auto"/>
              <w:jc w:val="center"/>
              <w:rPr>
                <w:kern w:val="0"/>
                <w:sz w:val="21"/>
              </w:rPr>
            </w:pPr>
            <w:r>
              <w:rPr>
                <w:kern w:val="0"/>
                <w:sz w:val="21"/>
              </w:rPr>
              <w:t>一般缺陷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8" w:type="dxa"/>
            <w:vAlign w:val="center"/>
          </w:tcPr>
          <w:p>
            <w:pPr>
              <w:autoSpaceDE w:val="0"/>
              <w:autoSpaceDN w:val="0"/>
              <w:adjustRightInd w:val="0"/>
              <w:spacing w:line="240" w:lineRule="auto"/>
              <w:jc w:val="center"/>
              <w:rPr>
                <w:kern w:val="0"/>
                <w:sz w:val="21"/>
              </w:rPr>
            </w:pPr>
            <w:r>
              <w:rPr>
                <w:rFonts w:hint="eastAsia"/>
                <w:kern w:val="0"/>
                <w:sz w:val="21"/>
              </w:rPr>
              <w:t>1</w:t>
            </w:r>
          </w:p>
        </w:tc>
        <w:tc>
          <w:tcPr>
            <w:tcW w:w="1559" w:type="dxa"/>
            <w:vAlign w:val="center"/>
          </w:tcPr>
          <w:p>
            <w:pPr>
              <w:autoSpaceDE w:val="0"/>
              <w:autoSpaceDN w:val="0"/>
              <w:adjustRightInd w:val="0"/>
              <w:spacing w:line="240" w:lineRule="auto"/>
              <w:jc w:val="center"/>
              <w:rPr>
                <w:kern w:val="0"/>
                <w:sz w:val="21"/>
              </w:rPr>
            </w:pPr>
            <w:r>
              <w:rPr>
                <w:kern w:val="0"/>
                <w:sz w:val="21"/>
              </w:rPr>
              <w:t>露筋</w:t>
            </w:r>
          </w:p>
        </w:tc>
        <w:tc>
          <w:tcPr>
            <w:tcW w:w="3490" w:type="dxa"/>
            <w:vAlign w:val="center"/>
          </w:tcPr>
          <w:p>
            <w:pPr>
              <w:autoSpaceDE w:val="0"/>
              <w:autoSpaceDN w:val="0"/>
              <w:adjustRightInd w:val="0"/>
              <w:spacing w:line="240" w:lineRule="auto"/>
              <w:jc w:val="center"/>
              <w:rPr>
                <w:kern w:val="0"/>
                <w:sz w:val="21"/>
              </w:rPr>
            </w:pPr>
            <w:r>
              <w:rPr>
                <w:kern w:val="0"/>
                <w:sz w:val="21"/>
              </w:rPr>
              <w:t>构件内钢筋未被混凝土包裹而外露</w:t>
            </w:r>
          </w:p>
        </w:tc>
        <w:tc>
          <w:tcPr>
            <w:tcW w:w="2977" w:type="dxa"/>
            <w:vAlign w:val="center"/>
          </w:tcPr>
          <w:p>
            <w:pPr>
              <w:autoSpaceDE w:val="0"/>
              <w:autoSpaceDN w:val="0"/>
              <w:adjustRightInd w:val="0"/>
              <w:spacing w:line="240" w:lineRule="auto"/>
              <w:jc w:val="center"/>
              <w:rPr>
                <w:kern w:val="0"/>
                <w:sz w:val="21"/>
              </w:rPr>
            </w:pPr>
            <w:r>
              <w:rPr>
                <w:rFonts w:hint="eastAsia"/>
                <w:kern w:val="0"/>
                <w:sz w:val="21"/>
              </w:rPr>
              <w:t>非受力钢筋存在</w:t>
            </w:r>
            <w:r>
              <w:rPr>
                <w:kern w:val="0"/>
                <w:sz w:val="21"/>
              </w:rPr>
              <w:t>少量露筋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8" w:type="dxa"/>
            <w:vAlign w:val="center"/>
          </w:tcPr>
          <w:p>
            <w:pPr>
              <w:autoSpaceDE w:val="0"/>
              <w:autoSpaceDN w:val="0"/>
              <w:adjustRightInd w:val="0"/>
              <w:spacing w:line="240" w:lineRule="auto"/>
              <w:jc w:val="center"/>
              <w:rPr>
                <w:kern w:val="0"/>
                <w:sz w:val="21"/>
              </w:rPr>
            </w:pPr>
            <w:r>
              <w:rPr>
                <w:rFonts w:hint="eastAsia"/>
                <w:kern w:val="0"/>
                <w:sz w:val="21"/>
              </w:rPr>
              <w:t>2</w:t>
            </w:r>
          </w:p>
        </w:tc>
        <w:tc>
          <w:tcPr>
            <w:tcW w:w="1559" w:type="dxa"/>
            <w:vAlign w:val="center"/>
          </w:tcPr>
          <w:p>
            <w:pPr>
              <w:autoSpaceDE w:val="0"/>
              <w:autoSpaceDN w:val="0"/>
              <w:adjustRightInd w:val="0"/>
              <w:spacing w:line="240" w:lineRule="auto"/>
              <w:jc w:val="center"/>
              <w:rPr>
                <w:kern w:val="0"/>
                <w:sz w:val="21"/>
              </w:rPr>
            </w:pPr>
            <w:r>
              <w:rPr>
                <w:rFonts w:hint="eastAsia"/>
                <w:kern w:val="0"/>
                <w:sz w:val="21"/>
              </w:rPr>
              <w:t>气孔</w:t>
            </w:r>
          </w:p>
        </w:tc>
        <w:tc>
          <w:tcPr>
            <w:tcW w:w="3490" w:type="dxa"/>
            <w:vAlign w:val="center"/>
          </w:tcPr>
          <w:p>
            <w:pPr>
              <w:autoSpaceDE w:val="0"/>
              <w:autoSpaceDN w:val="0"/>
              <w:adjustRightInd w:val="0"/>
              <w:spacing w:line="240" w:lineRule="auto"/>
              <w:jc w:val="center"/>
              <w:rPr>
                <w:kern w:val="0"/>
                <w:sz w:val="21"/>
              </w:rPr>
            </w:pPr>
            <w:r>
              <w:rPr>
                <w:kern w:val="0"/>
                <w:sz w:val="21"/>
              </w:rPr>
              <w:t>混凝土表面</w:t>
            </w:r>
            <w:r>
              <w:rPr>
                <w:rFonts w:hint="eastAsia"/>
                <w:kern w:val="0"/>
                <w:sz w:val="21"/>
              </w:rPr>
              <w:t>存在浅表性小孔</w:t>
            </w:r>
          </w:p>
        </w:tc>
        <w:tc>
          <w:tcPr>
            <w:tcW w:w="2977" w:type="dxa"/>
            <w:vAlign w:val="center"/>
          </w:tcPr>
          <w:p>
            <w:pPr>
              <w:autoSpaceDE w:val="0"/>
              <w:autoSpaceDN w:val="0"/>
              <w:adjustRightInd w:val="0"/>
              <w:spacing w:line="240" w:lineRule="auto"/>
              <w:jc w:val="center"/>
              <w:rPr>
                <w:kern w:val="0"/>
                <w:sz w:val="21"/>
              </w:rPr>
            </w:pPr>
            <w:r>
              <w:rPr>
                <w:rFonts w:hint="eastAsia"/>
                <w:kern w:val="0"/>
                <w:sz w:val="21"/>
              </w:rPr>
              <w:t>存在</w:t>
            </w:r>
            <w:r>
              <w:rPr>
                <w:kern w:val="0"/>
                <w:sz w:val="21"/>
              </w:rPr>
              <w:t>少量</w:t>
            </w:r>
            <w:r>
              <w:rPr>
                <w:rFonts w:hint="eastAsia"/>
                <w:kern w:val="0"/>
                <w:sz w:val="21"/>
              </w:rPr>
              <w:t>气孔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8" w:type="dxa"/>
            <w:vAlign w:val="center"/>
          </w:tcPr>
          <w:p>
            <w:pPr>
              <w:autoSpaceDE w:val="0"/>
              <w:autoSpaceDN w:val="0"/>
              <w:adjustRightInd w:val="0"/>
              <w:spacing w:line="240" w:lineRule="auto"/>
              <w:jc w:val="center"/>
              <w:rPr>
                <w:kern w:val="0"/>
                <w:sz w:val="21"/>
              </w:rPr>
            </w:pPr>
            <w:r>
              <w:rPr>
                <w:rFonts w:hint="eastAsia"/>
                <w:kern w:val="0"/>
                <w:sz w:val="21"/>
              </w:rPr>
              <w:t>3</w:t>
            </w:r>
          </w:p>
        </w:tc>
        <w:tc>
          <w:tcPr>
            <w:tcW w:w="1559" w:type="dxa"/>
            <w:vAlign w:val="center"/>
          </w:tcPr>
          <w:p>
            <w:pPr>
              <w:autoSpaceDE w:val="0"/>
              <w:autoSpaceDN w:val="0"/>
              <w:adjustRightInd w:val="0"/>
              <w:spacing w:line="240" w:lineRule="auto"/>
              <w:jc w:val="center"/>
              <w:rPr>
                <w:kern w:val="0"/>
                <w:sz w:val="21"/>
              </w:rPr>
            </w:pPr>
            <w:r>
              <w:rPr>
                <w:kern w:val="0"/>
                <w:sz w:val="21"/>
              </w:rPr>
              <w:t>裂缝</w:t>
            </w:r>
          </w:p>
        </w:tc>
        <w:tc>
          <w:tcPr>
            <w:tcW w:w="3490" w:type="dxa"/>
            <w:vAlign w:val="center"/>
          </w:tcPr>
          <w:p>
            <w:pPr>
              <w:autoSpaceDE w:val="0"/>
              <w:autoSpaceDN w:val="0"/>
              <w:adjustRightInd w:val="0"/>
              <w:spacing w:line="240" w:lineRule="auto"/>
              <w:jc w:val="center"/>
              <w:rPr>
                <w:kern w:val="0"/>
                <w:sz w:val="21"/>
              </w:rPr>
            </w:pPr>
            <w:r>
              <w:rPr>
                <w:kern w:val="0"/>
                <w:sz w:val="21"/>
              </w:rPr>
              <w:t>缝隙从混凝土表面延伸至混凝土内部</w:t>
            </w:r>
          </w:p>
        </w:tc>
        <w:tc>
          <w:tcPr>
            <w:tcW w:w="2977" w:type="dxa"/>
            <w:vAlign w:val="center"/>
          </w:tcPr>
          <w:p>
            <w:pPr>
              <w:autoSpaceDE w:val="0"/>
              <w:autoSpaceDN w:val="0"/>
              <w:adjustRightInd w:val="0"/>
              <w:spacing w:line="240" w:lineRule="auto"/>
              <w:jc w:val="center"/>
              <w:rPr>
                <w:kern w:val="0"/>
                <w:sz w:val="21"/>
              </w:rPr>
            </w:pPr>
            <w:r>
              <w:rPr>
                <w:rFonts w:hint="eastAsia"/>
                <w:kern w:val="0"/>
                <w:sz w:val="21"/>
              </w:rPr>
              <w:t>存在</w:t>
            </w:r>
            <w:r>
              <w:rPr>
                <w:kern w:val="0"/>
                <w:sz w:val="21"/>
              </w:rPr>
              <w:t>不影响结构或使用</w:t>
            </w:r>
            <w:r>
              <w:rPr>
                <w:rFonts w:hint="eastAsia"/>
                <w:kern w:val="0"/>
                <w:sz w:val="21"/>
              </w:rPr>
              <w:t>性</w:t>
            </w:r>
            <w:r>
              <w:rPr>
                <w:kern w:val="0"/>
                <w:sz w:val="21"/>
              </w:rPr>
              <w:t>能的裂缝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8" w:type="dxa"/>
            <w:vAlign w:val="center"/>
          </w:tcPr>
          <w:p>
            <w:pPr>
              <w:autoSpaceDE w:val="0"/>
              <w:autoSpaceDN w:val="0"/>
              <w:adjustRightInd w:val="0"/>
              <w:spacing w:line="240" w:lineRule="auto"/>
              <w:jc w:val="center"/>
              <w:rPr>
                <w:kern w:val="0"/>
                <w:sz w:val="21"/>
              </w:rPr>
            </w:pPr>
            <w:r>
              <w:rPr>
                <w:rFonts w:hint="eastAsia"/>
                <w:kern w:val="0"/>
                <w:sz w:val="21"/>
              </w:rPr>
              <w:t>4</w:t>
            </w:r>
          </w:p>
        </w:tc>
        <w:tc>
          <w:tcPr>
            <w:tcW w:w="1559" w:type="dxa"/>
            <w:vAlign w:val="center"/>
          </w:tcPr>
          <w:p>
            <w:pPr>
              <w:autoSpaceDE w:val="0"/>
              <w:autoSpaceDN w:val="0"/>
              <w:adjustRightInd w:val="0"/>
              <w:spacing w:line="240" w:lineRule="auto"/>
              <w:jc w:val="center"/>
              <w:rPr>
                <w:kern w:val="0"/>
                <w:sz w:val="21"/>
              </w:rPr>
            </w:pPr>
            <w:r>
              <w:rPr>
                <w:kern w:val="0"/>
                <w:sz w:val="21"/>
              </w:rPr>
              <w:t>连</w:t>
            </w:r>
            <w:r>
              <w:rPr>
                <w:rFonts w:hint="eastAsia"/>
                <w:kern w:val="0"/>
                <w:sz w:val="21"/>
              </w:rPr>
              <w:t>接</w:t>
            </w:r>
            <w:r>
              <w:rPr>
                <w:kern w:val="0"/>
                <w:sz w:val="21"/>
              </w:rPr>
              <w:t>部位缺陷</w:t>
            </w:r>
          </w:p>
        </w:tc>
        <w:tc>
          <w:tcPr>
            <w:tcW w:w="3490" w:type="dxa"/>
            <w:vAlign w:val="center"/>
          </w:tcPr>
          <w:p>
            <w:pPr>
              <w:autoSpaceDE w:val="0"/>
              <w:autoSpaceDN w:val="0"/>
              <w:adjustRightInd w:val="0"/>
              <w:spacing w:line="240" w:lineRule="auto"/>
              <w:jc w:val="center"/>
              <w:rPr>
                <w:kern w:val="0"/>
                <w:sz w:val="21"/>
              </w:rPr>
            </w:pPr>
            <w:r>
              <w:rPr>
                <w:kern w:val="0"/>
                <w:sz w:val="21"/>
              </w:rPr>
              <w:t>构件连接处混凝土缺陷及连接钢筋、连接铁件松动</w:t>
            </w:r>
          </w:p>
        </w:tc>
        <w:tc>
          <w:tcPr>
            <w:tcW w:w="2977" w:type="dxa"/>
            <w:vAlign w:val="center"/>
          </w:tcPr>
          <w:p>
            <w:pPr>
              <w:autoSpaceDE w:val="0"/>
              <w:autoSpaceDN w:val="0"/>
              <w:adjustRightInd w:val="0"/>
              <w:spacing w:line="240" w:lineRule="auto"/>
              <w:jc w:val="center"/>
              <w:rPr>
                <w:kern w:val="0"/>
                <w:sz w:val="21"/>
              </w:rPr>
            </w:pPr>
            <w:r>
              <w:rPr>
                <w:kern w:val="0"/>
                <w:sz w:val="21"/>
              </w:rPr>
              <w:t>连接部位有基本不影响结构传力性能的缺陷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8" w:type="dxa"/>
            <w:vAlign w:val="center"/>
          </w:tcPr>
          <w:p>
            <w:pPr>
              <w:autoSpaceDE w:val="0"/>
              <w:autoSpaceDN w:val="0"/>
              <w:adjustRightInd w:val="0"/>
              <w:spacing w:line="240" w:lineRule="auto"/>
              <w:jc w:val="center"/>
              <w:rPr>
                <w:kern w:val="0"/>
                <w:sz w:val="21"/>
              </w:rPr>
            </w:pPr>
            <w:r>
              <w:rPr>
                <w:rFonts w:hint="eastAsia"/>
                <w:kern w:val="0"/>
                <w:sz w:val="21"/>
              </w:rPr>
              <w:t>5</w:t>
            </w:r>
          </w:p>
        </w:tc>
        <w:tc>
          <w:tcPr>
            <w:tcW w:w="1559" w:type="dxa"/>
            <w:vAlign w:val="center"/>
          </w:tcPr>
          <w:p>
            <w:pPr>
              <w:autoSpaceDE w:val="0"/>
              <w:autoSpaceDN w:val="0"/>
              <w:adjustRightInd w:val="0"/>
              <w:spacing w:line="240" w:lineRule="auto"/>
              <w:jc w:val="center"/>
              <w:rPr>
                <w:kern w:val="0"/>
                <w:sz w:val="21"/>
              </w:rPr>
            </w:pPr>
            <w:r>
              <w:rPr>
                <w:kern w:val="0"/>
                <w:sz w:val="21"/>
              </w:rPr>
              <w:t>外形缺陷</w:t>
            </w:r>
          </w:p>
        </w:tc>
        <w:tc>
          <w:tcPr>
            <w:tcW w:w="3490" w:type="dxa"/>
            <w:vAlign w:val="center"/>
          </w:tcPr>
          <w:p>
            <w:pPr>
              <w:autoSpaceDE w:val="0"/>
              <w:autoSpaceDN w:val="0"/>
              <w:adjustRightInd w:val="0"/>
              <w:spacing w:line="240" w:lineRule="auto"/>
              <w:jc w:val="center"/>
              <w:rPr>
                <w:kern w:val="0"/>
                <w:sz w:val="21"/>
              </w:rPr>
            </w:pPr>
            <w:r>
              <w:rPr>
                <w:kern w:val="0"/>
                <w:sz w:val="21"/>
              </w:rPr>
              <w:t>缺棱掉角、棱角不宜、翘曲不平、飞出凸肋等</w:t>
            </w:r>
          </w:p>
        </w:tc>
        <w:tc>
          <w:tcPr>
            <w:tcW w:w="2977" w:type="dxa"/>
            <w:vAlign w:val="center"/>
          </w:tcPr>
          <w:p>
            <w:pPr>
              <w:autoSpaceDE w:val="0"/>
              <w:autoSpaceDN w:val="0"/>
              <w:adjustRightInd w:val="0"/>
              <w:spacing w:line="240" w:lineRule="auto"/>
              <w:jc w:val="center"/>
              <w:rPr>
                <w:kern w:val="0"/>
                <w:sz w:val="21"/>
              </w:rPr>
            </w:pPr>
            <w:r>
              <w:rPr>
                <w:rFonts w:hint="eastAsia"/>
                <w:kern w:val="0"/>
                <w:sz w:val="21"/>
              </w:rPr>
              <w:t>存在</w:t>
            </w:r>
            <w:r>
              <w:rPr>
                <w:kern w:val="0"/>
                <w:sz w:val="21"/>
              </w:rPr>
              <w:t>不影响</w:t>
            </w:r>
            <w:r>
              <w:rPr>
                <w:rFonts w:hint="eastAsia"/>
                <w:kern w:val="0"/>
                <w:sz w:val="21"/>
              </w:rPr>
              <w:t>其</w:t>
            </w:r>
            <w:r>
              <w:rPr>
                <w:kern w:val="0"/>
                <w:sz w:val="21"/>
              </w:rPr>
              <w:t>使用功能的外</w:t>
            </w:r>
            <w:r>
              <w:rPr>
                <w:rFonts w:hint="eastAsia"/>
                <w:kern w:val="0"/>
                <w:sz w:val="21"/>
              </w:rPr>
              <w:t>形</w:t>
            </w:r>
            <w:r>
              <w:rPr>
                <w:kern w:val="0"/>
                <w:sz w:val="21"/>
              </w:rPr>
              <w:t>缺陷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8" w:type="dxa"/>
            <w:vAlign w:val="center"/>
          </w:tcPr>
          <w:p>
            <w:pPr>
              <w:autoSpaceDE w:val="0"/>
              <w:autoSpaceDN w:val="0"/>
              <w:adjustRightInd w:val="0"/>
              <w:spacing w:line="240" w:lineRule="auto"/>
              <w:jc w:val="center"/>
              <w:rPr>
                <w:kern w:val="0"/>
                <w:sz w:val="21"/>
              </w:rPr>
            </w:pPr>
            <w:r>
              <w:rPr>
                <w:rFonts w:hint="eastAsia"/>
                <w:kern w:val="0"/>
                <w:sz w:val="21"/>
              </w:rPr>
              <w:t>6</w:t>
            </w:r>
          </w:p>
        </w:tc>
        <w:tc>
          <w:tcPr>
            <w:tcW w:w="1559" w:type="dxa"/>
            <w:vAlign w:val="center"/>
          </w:tcPr>
          <w:p>
            <w:pPr>
              <w:autoSpaceDE w:val="0"/>
              <w:autoSpaceDN w:val="0"/>
              <w:adjustRightInd w:val="0"/>
              <w:spacing w:line="240" w:lineRule="auto"/>
              <w:jc w:val="center"/>
              <w:rPr>
                <w:kern w:val="0"/>
                <w:sz w:val="21"/>
              </w:rPr>
            </w:pPr>
            <w:r>
              <w:rPr>
                <w:kern w:val="0"/>
                <w:sz w:val="21"/>
              </w:rPr>
              <w:t>外表缺陷</w:t>
            </w:r>
          </w:p>
        </w:tc>
        <w:tc>
          <w:tcPr>
            <w:tcW w:w="3490" w:type="dxa"/>
            <w:vAlign w:val="center"/>
          </w:tcPr>
          <w:p>
            <w:pPr>
              <w:autoSpaceDE w:val="0"/>
              <w:autoSpaceDN w:val="0"/>
              <w:adjustRightInd w:val="0"/>
              <w:spacing w:line="240" w:lineRule="auto"/>
              <w:jc w:val="center"/>
              <w:rPr>
                <w:kern w:val="0"/>
                <w:sz w:val="21"/>
              </w:rPr>
            </w:pPr>
            <w:r>
              <w:rPr>
                <w:kern w:val="0"/>
                <w:sz w:val="21"/>
              </w:rPr>
              <w:t>构件表面麻面、掉皮、起砂、玷污等</w:t>
            </w:r>
          </w:p>
        </w:tc>
        <w:tc>
          <w:tcPr>
            <w:tcW w:w="2977" w:type="dxa"/>
            <w:vAlign w:val="center"/>
          </w:tcPr>
          <w:p>
            <w:pPr>
              <w:autoSpaceDE w:val="0"/>
              <w:autoSpaceDN w:val="0"/>
              <w:adjustRightInd w:val="0"/>
              <w:spacing w:line="240" w:lineRule="auto"/>
              <w:jc w:val="center"/>
              <w:rPr>
                <w:kern w:val="0"/>
                <w:sz w:val="21"/>
              </w:rPr>
            </w:pPr>
            <w:r>
              <w:rPr>
                <w:rFonts w:hint="eastAsia"/>
                <w:kern w:val="0"/>
                <w:sz w:val="21"/>
              </w:rPr>
              <w:t>存在</w:t>
            </w:r>
            <w:r>
              <w:rPr>
                <w:kern w:val="0"/>
                <w:sz w:val="21"/>
              </w:rPr>
              <w:t>不影响</w:t>
            </w:r>
            <w:r>
              <w:rPr>
                <w:rFonts w:hint="eastAsia"/>
                <w:kern w:val="0"/>
                <w:sz w:val="21"/>
              </w:rPr>
              <w:t>其</w:t>
            </w:r>
            <w:r>
              <w:rPr>
                <w:kern w:val="0"/>
                <w:sz w:val="21"/>
              </w:rPr>
              <w:t>使用功能的外表缺陷</w:t>
            </w:r>
          </w:p>
        </w:tc>
      </w:tr>
    </w:tbl>
    <w:p>
      <w:r>
        <w:rPr>
          <w:b/>
          <w:bCs/>
        </w:rPr>
        <w:t>6.7.2</w:t>
      </w:r>
      <w:r>
        <w:t xml:space="preserve">  管节应按设计要求和现行国家标准《混凝土结构工程施工质量验收规范》GB 50204的有关规定进行结构性能检验。</w:t>
      </w:r>
    </w:p>
    <w:p>
      <w:r>
        <w:rPr>
          <w:b/>
          <w:bCs/>
        </w:rPr>
        <w:t xml:space="preserve">6.7.3 </w:t>
      </w:r>
      <w:r>
        <w:t xml:space="preserve"> 管节生产过程中应有检查和验收记录。所有检查和验收记录应签章齐全、日期准确。</w:t>
      </w:r>
    </w:p>
    <w:p>
      <w:pPr>
        <w:ind w:firstLine="480" w:firstLineChars="200"/>
      </w:pPr>
      <w:r>
        <w:t>检验方法：查阅检查和验收记录。</w:t>
      </w:r>
    </w:p>
    <w:p>
      <w:pPr>
        <w:ind w:firstLine="480" w:firstLineChars="200"/>
      </w:pPr>
      <w:r>
        <w:t>检查数量：全数检查。</w:t>
      </w:r>
    </w:p>
    <w:p>
      <w:r>
        <w:rPr>
          <w:b/>
          <w:bCs/>
        </w:rPr>
        <w:t>6.7.4</w:t>
      </w:r>
      <w:r>
        <w:t xml:space="preserve">  管节脱模时，管节的混凝土立方体抗压强度应满足设计要求。当设计无要求时，</w:t>
      </w:r>
      <w:r>
        <w:rPr>
          <w:rFonts w:hint="eastAsia"/>
        </w:rPr>
        <w:t>至少</w:t>
      </w:r>
      <w:r>
        <w:t>应达到设计抗压强度标准值的75%。</w:t>
      </w:r>
    </w:p>
    <w:p>
      <w:pPr>
        <w:ind w:firstLine="480" w:firstLineChars="200"/>
      </w:pPr>
      <w:r>
        <w:t>检验方法：检查标准养护试块强度试验报告或同条件养护试块强度试验报告。</w:t>
      </w:r>
    </w:p>
    <w:p>
      <w:pPr>
        <w:ind w:firstLine="480" w:firstLineChars="200"/>
      </w:pPr>
      <w:r>
        <w:t>检查数量：逐节检验。</w:t>
      </w:r>
    </w:p>
    <w:p>
      <w:r>
        <w:rPr>
          <w:b/>
          <w:bCs/>
        </w:rPr>
        <w:t xml:space="preserve">6.7.5 </w:t>
      </w:r>
      <w:r>
        <w:t xml:space="preserve"> 出厂时，管节的混凝土立方体抗压强度应满足设计要求。当设计无要求时，应达到设计的混凝土立方体抗压强度标准值。混凝土试块强度应按现行国家标准《混凝土结构工程施工质量验收规范》GB 50204和《混凝土强度检验评定标准》GB/T 50107的有关规定</w:t>
      </w:r>
      <w:r>
        <w:rPr>
          <w:rFonts w:hint="eastAsia"/>
        </w:rPr>
        <w:t>进行</w:t>
      </w:r>
      <w:r>
        <w:t>检验评定。</w:t>
      </w:r>
    </w:p>
    <w:p>
      <w:pPr>
        <w:ind w:firstLine="480" w:firstLineChars="200"/>
      </w:pPr>
      <w:r>
        <w:t>检验方法：检查标准养护试块强度试验报告或同条件养护试块强度试验报告。</w:t>
      </w:r>
    </w:p>
    <w:p>
      <w:pPr>
        <w:ind w:firstLine="480" w:firstLineChars="200"/>
      </w:pPr>
      <w:r>
        <w:t>检查数量：逐节检验。</w:t>
      </w:r>
    </w:p>
    <w:p>
      <w:r>
        <w:rPr>
          <w:b/>
          <w:bCs/>
        </w:rPr>
        <w:t>6.7.6</w:t>
      </w:r>
      <w:r>
        <w:t xml:space="preserve">  管节的混凝土的抗渗等级应满足设计要求。混凝土抗渗等级应按国家现行标准《混凝土结构工程施工质量验收规范》GB 50204、《混凝土耐久性检验评定标准》JGJ/T 193的有关规定</w:t>
      </w:r>
      <w:r>
        <w:rPr>
          <w:rFonts w:hint="eastAsia"/>
        </w:rPr>
        <w:t>进行</w:t>
      </w:r>
      <w:r>
        <w:t>检验评定。</w:t>
      </w:r>
    </w:p>
    <w:p>
      <w:pPr>
        <w:ind w:firstLine="480" w:firstLineChars="200"/>
      </w:pPr>
      <w:r>
        <w:t>检验方法：检查试验报告。</w:t>
      </w:r>
    </w:p>
    <w:p>
      <w:pPr>
        <w:ind w:firstLine="480" w:firstLineChars="200"/>
      </w:pPr>
      <w:r>
        <w:t>检查数量：逐节检验。</w:t>
      </w:r>
    </w:p>
    <w:p>
      <w:r>
        <w:rPr>
          <w:b/>
          <w:bCs/>
        </w:rPr>
        <w:t>6.7.7</w:t>
      </w:r>
      <w:r>
        <w:t xml:space="preserve">  管节上的预埋件、预留插筋、预埋管线和预留孔洞的规格、位置和数量应满足设计要求。</w:t>
      </w:r>
    </w:p>
    <w:p>
      <w:pPr>
        <w:ind w:firstLine="480" w:firstLineChars="200"/>
      </w:pPr>
      <w:r>
        <w:t>检验方法：查阅设计文件，观察，量测。</w:t>
      </w:r>
    </w:p>
    <w:p>
      <w:pPr>
        <w:ind w:firstLine="480" w:firstLineChars="200"/>
      </w:pPr>
      <w:r>
        <w:t>检查数量：全数检查。</w:t>
      </w:r>
    </w:p>
    <w:p>
      <w:pPr>
        <w:ind w:firstLine="482" w:firstLineChars="200"/>
      </w:pPr>
      <w:r>
        <w:rPr>
          <w:b/>
          <w:bCs/>
        </w:rPr>
        <w:t>6.7.8</w:t>
      </w:r>
      <w:r>
        <w:t xml:space="preserve">  管节应在明显部位标明工程名称、生产单位、生产日期、构件规格、编号、重量、质量验收标志等。</w:t>
      </w:r>
    </w:p>
    <w:p>
      <w:pPr>
        <w:ind w:firstLine="480" w:firstLineChars="200"/>
      </w:pPr>
      <w:r>
        <w:t>检验方法：观察。</w:t>
      </w:r>
    </w:p>
    <w:p>
      <w:pPr>
        <w:ind w:firstLine="480" w:firstLineChars="200"/>
      </w:pPr>
      <w:r>
        <w:t>检查数量：全数检查。</w:t>
      </w:r>
    </w:p>
    <w:p>
      <w:pPr>
        <w:snapToGrid w:val="0"/>
      </w:pPr>
      <w:r>
        <w:rPr>
          <w:b/>
          <w:bCs/>
        </w:rPr>
        <w:t>6.7.9</w:t>
      </w:r>
      <w:r>
        <w:t xml:space="preserve">  管节的外观质量不应有严重缺陷。对已经出现的严重缺陷，应由生产单位提出技术处理方案，并经监理单位认可后进行处理；对裂缝或连接部位的严重缺陷及其他影响结构安全的严重缺陷，技术处理方案尚应经原设计单位认可。经处理的部位应重新检查验收。</w:t>
      </w:r>
    </w:p>
    <w:p>
      <w:pPr>
        <w:ind w:firstLine="480" w:firstLineChars="200"/>
      </w:pPr>
      <w:r>
        <w:t>检验方法：观察，检查处理记录。</w:t>
      </w:r>
    </w:p>
    <w:p>
      <w:pPr>
        <w:ind w:firstLine="480" w:firstLineChars="200"/>
      </w:pPr>
      <w:r>
        <w:t>检查数量：全数检查。</w:t>
      </w:r>
    </w:p>
    <w:p>
      <w:r>
        <w:rPr>
          <w:b/>
          <w:bCs/>
        </w:rPr>
        <w:t>6.7.10</w:t>
      </w:r>
      <w:r>
        <w:t xml:space="preserve">  管节不应有影响结构性能、安装和使用功能的尺寸偏差。对超过尺寸允许偏差且影响结构性能或安装、使用功能的部位，应由生产单位制定技术处理方案，并经监理单位、设计单位认可后进行处理。经处理的部位应重新检查验收。</w:t>
      </w:r>
    </w:p>
    <w:p>
      <w:pPr>
        <w:ind w:firstLine="480" w:firstLineChars="200"/>
      </w:pPr>
      <w:r>
        <w:t>检验方法：观察，尺量，检查处理记录。</w:t>
      </w:r>
    </w:p>
    <w:p>
      <w:pPr>
        <w:ind w:firstLine="480" w:firstLineChars="200"/>
      </w:pPr>
      <w:r>
        <w:t>检查数量：全数检查</w:t>
      </w:r>
      <w:r>
        <w:rPr>
          <w:rFonts w:hint="eastAsia"/>
        </w:rPr>
        <w:t>。</w:t>
      </w:r>
    </w:p>
    <w:p>
      <w:pPr>
        <w:jc w:val="center"/>
        <w:rPr>
          <w:rFonts w:eastAsia="仿宋"/>
          <w:b/>
          <w:bCs/>
        </w:rPr>
      </w:pPr>
      <w:r>
        <w:rPr>
          <w:rFonts w:eastAsia="仿宋"/>
          <w:b/>
          <w:bCs/>
        </w:rPr>
        <w:t>Ⅱ  一般项目</w:t>
      </w:r>
    </w:p>
    <w:p>
      <w:r>
        <w:rPr>
          <w:b/>
          <w:bCs/>
        </w:rPr>
        <w:t xml:space="preserve">6.7.11  </w:t>
      </w:r>
      <w:r>
        <w:t>预制构件的外观质量不应有一般缺陷。对出现的一般缺陷应进行修整并达到合格。</w:t>
      </w:r>
    </w:p>
    <w:p>
      <w:pPr>
        <w:ind w:firstLine="480" w:firstLineChars="200"/>
      </w:pPr>
      <w:r>
        <w:t>检验方法：观察，检查处理记录。</w:t>
      </w:r>
    </w:p>
    <w:p>
      <w:pPr>
        <w:ind w:firstLine="480" w:firstLineChars="200"/>
      </w:pPr>
      <w:r>
        <w:t>检查数量：全数检查。</w:t>
      </w:r>
    </w:p>
    <w:p>
      <w:r>
        <w:rPr>
          <w:b/>
          <w:bCs/>
        </w:rPr>
        <w:t xml:space="preserve">6.7.12  </w:t>
      </w:r>
      <w:r>
        <w:t>管节及管节接口的几何尺寸允许偏差应符合表6.7.12-1及表6.7.12-2的规定；设计有专门规定时应满足设计要求。施工过程中临时使用的预埋件，预埋件的中心线位置允许偏差可取表6.7.12-1中规定数值的2倍。</w:t>
      </w:r>
    </w:p>
    <w:p>
      <w:pPr>
        <w:ind w:firstLine="480" w:firstLineChars="200"/>
      </w:pPr>
      <w:r>
        <w:t>检验方法：量测。</w:t>
      </w:r>
    </w:p>
    <w:p>
      <w:pPr>
        <w:ind w:firstLine="480" w:firstLineChars="200"/>
      </w:pPr>
      <w:r>
        <w:t>检查数量：全数检查。</w:t>
      </w:r>
    </w:p>
    <w:p>
      <w:pPr>
        <w:jc w:val="center"/>
        <w:rPr>
          <w:b/>
          <w:bCs/>
          <w:sz w:val="21"/>
          <w:szCs w:val="18"/>
        </w:rPr>
      </w:pPr>
      <w:r>
        <w:rPr>
          <w:b/>
          <w:bCs/>
          <w:sz w:val="21"/>
          <w:szCs w:val="18"/>
        </w:rPr>
        <w:t>表6.7.12-1  管节的几何尺寸允许偏差（mm）</w:t>
      </w:r>
    </w:p>
    <w:tbl>
      <w:tblPr>
        <w:tblStyle w:val="47"/>
        <w:tblW w:w="735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
      <w:tblGrid>
        <w:gridCol w:w="704"/>
        <w:gridCol w:w="851"/>
        <w:gridCol w:w="1984"/>
        <w:gridCol w:w="38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Align w:val="center"/>
          </w:tcPr>
          <w:p>
            <w:pPr>
              <w:widowControl/>
              <w:spacing w:line="240" w:lineRule="auto"/>
              <w:jc w:val="center"/>
              <w:textAlignment w:val="center"/>
              <w:rPr>
                <w:sz w:val="21"/>
              </w:rPr>
            </w:pPr>
            <w:r>
              <w:rPr>
                <w:kern w:val="0"/>
                <w:sz w:val="21"/>
              </w:rPr>
              <w:t>序号</w:t>
            </w:r>
          </w:p>
        </w:tc>
        <w:tc>
          <w:tcPr>
            <w:tcW w:w="2835" w:type="dxa"/>
            <w:gridSpan w:val="2"/>
            <w:vAlign w:val="center"/>
          </w:tcPr>
          <w:p>
            <w:pPr>
              <w:widowControl/>
              <w:spacing w:line="240" w:lineRule="auto"/>
              <w:jc w:val="center"/>
              <w:textAlignment w:val="center"/>
              <w:rPr>
                <w:sz w:val="21"/>
              </w:rPr>
            </w:pPr>
            <w:r>
              <w:rPr>
                <w:kern w:val="0"/>
                <w:sz w:val="21"/>
              </w:rPr>
              <w:t>项目</w:t>
            </w:r>
          </w:p>
        </w:tc>
        <w:tc>
          <w:tcPr>
            <w:tcW w:w="3817" w:type="dxa"/>
            <w:vAlign w:val="center"/>
          </w:tcPr>
          <w:p>
            <w:pPr>
              <w:widowControl/>
              <w:spacing w:line="240" w:lineRule="auto"/>
              <w:jc w:val="center"/>
              <w:textAlignment w:val="center"/>
              <w:rPr>
                <w:sz w:val="21"/>
              </w:rPr>
            </w:pPr>
            <w:r>
              <w:rPr>
                <w:rFonts w:hint="eastAsia"/>
                <w:kern w:val="0"/>
                <w:sz w:val="21"/>
              </w:rPr>
              <w:t>允许偏差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Align w:val="center"/>
          </w:tcPr>
          <w:p>
            <w:pPr>
              <w:widowControl/>
              <w:spacing w:line="240" w:lineRule="auto"/>
              <w:jc w:val="center"/>
              <w:textAlignment w:val="center"/>
              <w:rPr>
                <w:sz w:val="21"/>
              </w:rPr>
            </w:pPr>
            <w:r>
              <w:rPr>
                <w:kern w:val="0"/>
                <w:sz w:val="21"/>
              </w:rPr>
              <w:t>1</w:t>
            </w:r>
          </w:p>
        </w:tc>
        <w:tc>
          <w:tcPr>
            <w:tcW w:w="2835" w:type="dxa"/>
            <w:gridSpan w:val="2"/>
            <w:vAlign w:val="center"/>
          </w:tcPr>
          <w:p>
            <w:pPr>
              <w:widowControl/>
              <w:spacing w:line="240" w:lineRule="auto"/>
              <w:jc w:val="center"/>
              <w:textAlignment w:val="center"/>
              <w:rPr>
                <w:sz w:val="21"/>
              </w:rPr>
            </w:pPr>
            <w:r>
              <w:rPr>
                <w:kern w:val="0"/>
                <w:sz w:val="21"/>
              </w:rPr>
              <w:t>接口对角线误差</w:t>
            </w:r>
          </w:p>
        </w:tc>
        <w:tc>
          <w:tcPr>
            <w:tcW w:w="3817" w:type="dxa"/>
            <w:vAlign w:val="center"/>
          </w:tcPr>
          <w:p>
            <w:pPr>
              <w:widowControl/>
              <w:spacing w:line="240" w:lineRule="auto"/>
              <w:jc w:val="center"/>
              <w:textAlignment w:val="center"/>
              <w:rPr>
                <w:sz w:val="21"/>
              </w:rPr>
            </w:pPr>
            <w:r>
              <w:rPr>
                <w:kern w:val="0"/>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40" w:lineRule="auto"/>
              <w:jc w:val="center"/>
              <w:textAlignment w:val="center"/>
              <w:rPr>
                <w:sz w:val="21"/>
              </w:rPr>
            </w:pPr>
            <w:r>
              <w:rPr>
                <w:kern w:val="0"/>
                <w:sz w:val="21"/>
              </w:rPr>
              <w:t>2</w:t>
            </w:r>
          </w:p>
        </w:tc>
        <w:tc>
          <w:tcPr>
            <w:tcW w:w="851" w:type="dxa"/>
            <w:vMerge w:val="restart"/>
            <w:vAlign w:val="center"/>
          </w:tcPr>
          <w:p>
            <w:pPr>
              <w:widowControl/>
              <w:spacing w:line="240" w:lineRule="auto"/>
              <w:jc w:val="center"/>
              <w:textAlignment w:val="center"/>
              <w:rPr>
                <w:sz w:val="21"/>
              </w:rPr>
            </w:pPr>
            <w:r>
              <w:rPr>
                <w:kern w:val="0"/>
                <w:sz w:val="21"/>
              </w:rPr>
              <w:t>弯曲度</w:t>
            </w:r>
          </w:p>
        </w:tc>
        <w:tc>
          <w:tcPr>
            <w:tcW w:w="1984" w:type="dxa"/>
            <w:vAlign w:val="center"/>
          </w:tcPr>
          <w:p>
            <w:pPr>
              <w:spacing w:line="240" w:lineRule="auto"/>
              <w:jc w:val="center"/>
              <w:textAlignment w:val="center"/>
              <w:rPr>
                <w:sz w:val="21"/>
              </w:rPr>
            </w:pPr>
            <w:r>
              <w:rPr>
                <w:sz w:val="21"/>
              </w:rPr>
              <w:t>长度方向</w:t>
            </w:r>
          </w:p>
        </w:tc>
        <w:tc>
          <w:tcPr>
            <w:tcW w:w="3817" w:type="dxa"/>
            <w:vAlign w:val="center"/>
          </w:tcPr>
          <w:p>
            <w:pPr>
              <w:widowControl/>
              <w:spacing w:line="240" w:lineRule="auto"/>
              <w:jc w:val="center"/>
              <w:textAlignment w:val="center"/>
              <w:rPr>
                <w:sz w:val="21"/>
              </w:rPr>
            </w:pPr>
            <w:r>
              <w:rPr>
                <w:kern w:val="0"/>
                <w:sz w:val="21"/>
              </w:rPr>
              <w:t>≤有效长度的0.3%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widowControl/>
              <w:spacing w:line="240" w:lineRule="auto"/>
              <w:jc w:val="center"/>
              <w:textAlignment w:val="center"/>
              <w:rPr>
                <w:kern w:val="0"/>
                <w:sz w:val="21"/>
              </w:rPr>
            </w:pPr>
          </w:p>
        </w:tc>
        <w:tc>
          <w:tcPr>
            <w:tcW w:w="851" w:type="dxa"/>
            <w:vMerge w:val="continue"/>
            <w:vAlign w:val="center"/>
          </w:tcPr>
          <w:p>
            <w:pPr>
              <w:widowControl/>
              <w:spacing w:line="240" w:lineRule="auto"/>
              <w:jc w:val="center"/>
              <w:textAlignment w:val="center"/>
              <w:rPr>
                <w:kern w:val="0"/>
                <w:sz w:val="21"/>
              </w:rPr>
            </w:pPr>
          </w:p>
        </w:tc>
        <w:tc>
          <w:tcPr>
            <w:tcW w:w="1984" w:type="dxa"/>
            <w:vAlign w:val="center"/>
          </w:tcPr>
          <w:p>
            <w:pPr>
              <w:widowControl/>
              <w:spacing w:line="240" w:lineRule="auto"/>
              <w:jc w:val="center"/>
              <w:textAlignment w:val="center"/>
              <w:rPr>
                <w:kern w:val="0"/>
                <w:sz w:val="21"/>
              </w:rPr>
            </w:pPr>
            <w:r>
              <w:rPr>
                <w:kern w:val="0"/>
                <w:sz w:val="21"/>
              </w:rPr>
              <w:t>宽度及高度方向</w:t>
            </w:r>
          </w:p>
        </w:tc>
        <w:tc>
          <w:tcPr>
            <w:tcW w:w="3817" w:type="dxa"/>
            <w:vAlign w:val="center"/>
          </w:tcPr>
          <w:p>
            <w:pPr>
              <w:widowControl/>
              <w:spacing w:line="240" w:lineRule="auto"/>
              <w:jc w:val="center"/>
              <w:textAlignment w:val="center"/>
              <w:rPr>
                <w:kern w:val="0"/>
                <w:sz w:val="21"/>
              </w:rPr>
            </w:pPr>
            <w:r>
              <w:rPr>
                <w:kern w:val="0"/>
                <w:sz w:val="21"/>
              </w:rPr>
              <w:t>≤外壁宽度或高度的0.3%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Align w:val="center"/>
          </w:tcPr>
          <w:p>
            <w:pPr>
              <w:widowControl/>
              <w:spacing w:line="240" w:lineRule="auto"/>
              <w:jc w:val="center"/>
              <w:textAlignment w:val="center"/>
              <w:rPr>
                <w:sz w:val="21"/>
              </w:rPr>
            </w:pPr>
            <w:r>
              <w:rPr>
                <w:kern w:val="0"/>
                <w:sz w:val="21"/>
              </w:rPr>
              <w:t>3</w:t>
            </w:r>
          </w:p>
        </w:tc>
        <w:tc>
          <w:tcPr>
            <w:tcW w:w="2835" w:type="dxa"/>
            <w:gridSpan w:val="2"/>
            <w:vAlign w:val="center"/>
          </w:tcPr>
          <w:p>
            <w:pPr>
              <w:widowControl/>
              <w:spacing w:line="240" w:lineRule="auto"/>
              <w:jc w:val="center"/>
              <w:textAlignment w:val="center"/>
              <w:rPr>
                <w:sz w:val="21"/>
              </w:rPr>
            </w:pPr>
            <w:r>
              <w:rPr>
                <w:kern w:val="0"/>
                <w:sz w:val="21"/>
              </w:rPr>
              <w:t>端面倾斜</w:t>
            </w:r>
          </w:p>
        </w:tc>
        <w:tc>
          <w:tcPr>
            <w:tcW w:w="3817" w:type="dxa"/>
            <w:vAlign w:val="center"/>
          </w:tcPr>
          <w:p>
            <w:pPr>
              <w:widowControl/>
              <w:spacing w:line="240"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Align w:val="center"/>
          </w:tcPr>
          <w:p>
            <w:pPr>
              <w:widowControl/>
              <w:spacing w:line="240" w:lineRule="auto"/>
              <w:jc w:val="center"/>
              <w:textAlignment w:val="center"/>
              <w:rPr>
                <w:sz w:val="21"/>
              </w:rPr>
            </w:pPr>
            <w:r>
              <w:rPr>
                <w:kern w:val="0"/>
                <w:sz w:val="21"/>
              </w:rPr>
              <w:t>4</w:t>
            </w:r>
          </w:p>
        </w:tc>
        <w:tc>
          <w:tcPr>
            <w:tcW w:w="2835" w:type="dxa"/>
            <w:gridSpan w:val="2"/>
            <w:vAlign w:val="center"/>
          </w:tcPr>
          <w:p>
            <w:pPr>
              <w:widowControl/>
              <w:spacing w:line="240" w:lineRule="auto"/>
              <w:jc w:val="center"/>
              <w:textAlignment w:val="center"/>
              <w:rPr>
                <w:sz w:val="21"/>
              </w:rPr>
            </w:pPr>
            <w:r>
              <w:rPr>
                <w:kern w:val="0"/>
                <w:sz w:val="21"/>
              </w:rPr>
              <w:t>保护层厚度</w:t>
            </w:r>
          </w:p>
        </w:tc>
        <w:tc>
          <w:tcPr>
            <w:tcW w:w="3817" w:type="dxa"/>
            <w:vAlign w:val="center"/>
          </w:tcPr>
          <w:p>
            <w:pPr>
              <w:widowControl/>
              <w:spacing w:line="240" w:lineRule="auto"/>
              <w:ind w:firstLine="1680" w:firstLineChars="800"/>
              <w:textAlignment w:val="center"/>
              <w:rPr>
                <w:sz w:val="21"/>
              </w:rPr>
            </w:pPr>
            <w:r>
              <w:rPr>
                <w:kern w:val="0"/>
                <w:sz w:val="21"/>
              </w:rPr>
              <w:t>-5～+8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40" w:lineRule="auto"/>
              <w:jc w:val="center"/>
              <w:textAlignment w:val="center"/>
              <w:rPr>
                <w:sz w:val="21"/>
              </w:rPr>
            </w:pPr>
            <w:r>
              <w:rPr>
                <w:kern w:val="0"/>
                <w:sz w:val="21"/>
              </w:rPr>
              <w:t>5</w:t>
            </w:r>
          </w:p>
        </w:tc>
        <w:tc>
          <w:tcPr>
            <w:tcW w:w="851" w:type="dxa"/>
            <w:vMerge w:val="restart"/>
            <w:vAlign w:val="center"/>
          </w:tcPr>
          <w:p>
            <w:pPr>
              <w:widowControl/>
              <w:spacing w:line="240" w:lineRule="auto"/>
              <w:jc w:val="center"/>
              <w:textAlignment w:val="center"/>
              <w:rPr>
                <w:sz w:val="21"/>
              </w:rPr>
            </w:pPr>
            <w:r>
              <w:rPr>
                <w:kern w:val="0"/>
                <w:sz w:val="21"/>
              </w:rPr>
              <w:t>内宽b</w:t>
            </w:r>
            <w:r>
              <w:rPr>
                <w:kern w:val="0"/>
                <w:sz w:val="21"/>
                <w:vertAlign w:val="subscript"/>
              </w:rPr>
              <w:t>1</w:t>
            </w:r>
          </w:p>
        </w:tc>
        <w:tc>
          <w:tcPr>
            <w:tcW w:w="1984" w:type="dxa"/>
            <w:vAlign w:val="center"/>
          </w:tcPr>
          <w:p>
            <w:pPr>
              <w:widowControl/>
              <w:spacing w:line="240" w:lineRule="auto"/>
              <w:jc w:val="center"/>
              <w:textAlignment w:val="center"/>
              <w:rPr>
                <w:sz w:val="21"/>
              </w:rPr>
            </w:pPr>
            <w:r>
              <w:rPr>
                <w:kern w:val="0"/>
                <w:sz w:val="21"/>
              </w:rPr>
              <w:t xml:space="preserve">600 </w:t>
            </w:r>
            <w:r>
              <w:rPr>
                <w:sz w:val="21"/>
              </w:rPr>
              <w:t xml:space="preserve">～ </w:t>
            </w:r>
            <w:r>
              <w:rPr>
                <w:kern w:val="0"/>
                <w:sz w:val="21"/>
              </w:rPr>
              <w:t>1500</w:t>
            </w:r>
          </w:p>
        </w:tc>
        <w:tc>
          <w:tcPr>
            <w:tcW w:w="3817" w:type="dxa"/>
            <w:vAlign w:val="center"/>
          </w:tcPr>
          <w:p>
            <w:pPr>
              <w:widowControl/>
              <w:spacing w:line="240"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spacing w:line="240" w:lineRule="auto"/>
              <w:jc w:val="center"/>
              <w:rPr>
                <w:sz w:val="21"/>
              </w:rPr>
            </w:pPr>
          </w:p>
        </w:tc>
        <w:tc>
          <w:tcPr>
            <w:tcW w:w="851" w:type="dxa"/>
            <w:vMerge w:val="continue"/>
            <w:vAlign w:val="center"/>
          </w:tcPr>
          <w:p>
            <w:pPr>
              <w:spacing w:line="240" w:lineRule="auto"/>
              <w:jc w:val="center"/>
              <w:rPr>
                <w:sz w:val="21"/>
              </w:rPr>
            </w:pPr>
          </w:p>
        </w:tc>
        <w:tc>
          <w:tcPr>
            <w:tcW w:w="1984" w:type="dxa"/>
            <w:vAlign w:val="center"/>
          </w:tcPr>
          <w:p>
            <w:pPr>
              <w:widowControl/>
              <w:spacing w:line="240" w:lineRule="auto"/>
              <w:jc w:val="center"/>
              <w:textAlignment w:val="center"/>
              <w:rPr>
                <w:sz w:val="21"/>
              </w:rPr>
            </w:pPr>
            <w:r>
              <w:rPr>
                <w:kern w:val="0"/>
                <w:sz w:val="21"/>
              </w:rPr>
              <w:t xml:space="preserve">1800 </w:t>
            </w:r>
            <w:r>
              <w:rPr>
                <w:sz w:val="21"/>
              </w:rPr>
              <w:t xml:space="preserve">～ </w:t>
            </w:r>
            <w:r>
              <w:rPr>
                <w:kern w:val="0"/>
                <w:sz w:val="21"/>
              </w:rPr>
              <w:t>3900</w:t>
            </w:r>
          </w:p>
        </w:tc>
        <w:tc>
          <w:tcPr>
            <w:tcW w:w="3817" w:type="dxa"/>
            <w:vAlign w:val="center"/>
          </w:tcPr>
          <w:p>
            <w:pPr>
              <w:widowControl/>
              <w:spacing w:line="240" w:lineRule="auto"/>
              <w:jc w:val="center"/>
              <w:textAlignment w:val="center"/>
              <w:rPr>
                <w:sz w:val="21"/>
              </w:rPr>
            </w:pPr>
            <w:r>
              <w:rPr>
                <w:kern w:val="0"/>
                <w:sz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spacing w:line="240" w:lineRule="auto"/>
              <w:jc w:val="center"/>
              <w:rPr>
                <w:sz w:val="21"/>
              </w:rPr>
            </w:pPr>
          </w:p>
        </w:tc>
        <w:tc>
          <w:tcPr>
            <w:tcW w:w="851" w:type="dxa"/>
            <w:vMerge w:val="continue"/>
            <w:vAlign w:val="center"/>
          </w:tcPr>
          <w:p>
            <w:pPr>
              <w:spacing w:line="240" w:lineRule="auto"/>
              <w:jc w:val="center"/>
              <w:rPr>
                <w:sz w:val="21"/>
              </w:rPr>
            </w:pPr>
          </w:p>
        </w:tc>
        <w:tc>
          <w:tcPr>
            <w:tcW w:w="1984" w:type="dxa"/>
            <w:vAlign w:val="center"/>
          </w:tcPr>
          <w:p>
            <w:pPr>
              <w:widowControl/>
              <w:spacing w:line="240" w:lineRule="auto"/>
              <w:jc w:val="center"/>
              <w:textAlignment w:val="center"/>
              <w:rPr>
                <w:sz w:val="21"/>
              </w:rPr>
            </w:pPr>
            <w:r>
              <w:rPr>
                <w:kern w:val="0"/>
                <w:sz w:val="21"/>
              </w:rPr>
              <w:t xml:space="preserve">4000 </w:t>
            </w:r>
            <w:r>
              <w:rPr>
                <w:sz w:val="21"/>
              </w:rPr>
              <w:t xml:space="preserve">～ </w:t>
            </w:r>
            <w:r>
              <w:rPr>
                <w:kern w:val="0"/>
                <w:sz w:val="21"/>
              </w:rPr>
              <w:t>7200</w:t>
            </w:r>
          </w:p>
        </w:tc>
        <w:tc>
          <w:tcPr>
            <w:tcW w:w="3817" w:type="dxa"/>
            <w:vAlign w:val="center"/>
          </w:tcPr>
          <w:p>
            <w:pPr>
              <w:widowControl/>
              <w:spacing w:line="240" w:lineRule="auto"/>
              <w:jc w:val="center"/>
              <w:textAlignment w:val="center"/>
              <w:rPr>
                <w:sz w:val="21"/>
              </w:rPr>
            </w:pPr>
            <w:r>
              <w:rPr>
                <w:kern w:val="0"/>
                <w:sz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spacing w:line="240" w:lineRule="auto"/>
              <w:jc w:val="center"/>
              <w:rPr>
                <w:sz w:val="21"/>
              </w:rPr>
            </w:pPr>
          </w:p>
        </w:tc>
        <w:tc>
          <w:tcPr>
            <w:tcW w:w="851" w:type="dxa"/>
            <w:vMerge w:val="continue"/>
            <w:vAlign w:val="center"/>
          </w:tcPr>
          <w:p>
            <w:pPr>
              <w:spacing w:line="240" w:lineRule="auto"/>
              <w:jc w:val="center"/>
              <w:rPr>
                <w:sz w:val="21"/>
              </w:rPr>
            </w:pPr>
          </w:p>
        </w:tc>
        <w:tc>
          <w:tcPr>
            <w:tcW w:w="1984" w:type="dxa"/>
            <w:vAlign w:val="center"/>
          </w:tcPr>
          <w:p>
            <w:pPr>
              <w:widowControl/>
              <w:spacing w:line="240" w:lineRule="auto"/>
              <w:jc w:val="center"/>
              <w:textAlignment w:val="center"/>
              <w:rPr>
                <w:kern w:val="0"/>
                <w:sz w:val="21"/>
              </w:rPr>
            </w:pPr>
            <w:r>
              <w:rPr>
                <w:kern w:val="0"/>
                <w:sz w:val="21"/>
              </w:rPr>
              <w:t>&gt;</w:t>
            </w:r>
            <w:r>
              <w:rPr>
                <w:sz w:val="21"/>
              </w:rPr>
              <w:t xml:space="preserve"> </w:t>
            </w:r>
            <w:r>
              <w:rPr>
                <w:kern w:val="0"/>
                <w:sz w:val="21"/>
              </w:rPr>
              <w:t>7200</w:t>
            </w:r>
          </w:p>
        </w:tc>
        <w:tc>
          <w:tcPr>
            <w:tcW w:w="3817" w:type="dxa"/>
            <w:vAlign w:val="center"/>
          </w:tcPr>
          <w:p>
            <w:pPr>
              <w:widowControl/>
              <w:spacing w:line="240" w:lineRule="auto"/>
              <w:jc w:val="center"/>
              <w:textAlignment w:val="center"/>
              <w:rPr>
                <w:kern w:val="0"/>
                <w:sz w:val="21"/>
              </w:rPr>
            </w:pPr>
            <w:r>
              <w:rPr>
                <w:kern w:val="0"/>
                <w:sz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40" w:lineRule="auto"/>
              <w:jc w:val="center"/>
              <w:textAlignment w:val="center"/>
              <w:rPr>
                <w:sz w:val="21"/>
              </w:rPr>
            </w:pPr>
            <w:r>
              <w:rPr>
                <w:kern w:val="0"/>
                <w:sz w:val="21"/>
              </w:rPr>
              <w:t>6</w:t>
            </w:r>
          </w:p>
        </w:tc>
        <w:tc>
          <w:tcPr>
            <w:tcW w:w="851" w:type="dxa"/>
            <w:vMerge w:val="restart"/>
            <w:vAlign w:val="center"/>
          </w:tcPr>
          <w:p>
            <w:pPr>
              <w:widowControl/>
              <w:spacing w:line="240" w:lineRule="auto"/>
              <w:jc w:val="center"/>
              <w:textAlignment w:val="center"/>
              <w:rPr>
                <w:sz w:val="21"/>
              </w:rPr>
            </w:pPr>
            <w:r>
              <w:rPr>
                <w:kern w:val="0"/>
                <w:sz w:val="21"/>
              </w:rPr>
              <w:t>内高h</w:t>
            </w:r>
            <w:r>
              <w:rPr>
                <w:kern w:val="0"/>
                <w:sz w:val="21"/>
                <w:vertAlign w:val="subscript"/>
              </w:rPr>
              <w:t>1</w:t>
            </w:r>
          </w:p>
        </w:tc>
        <w:tc>
          <w:tcPr>
            <w:tcW w:w="1984" w:type="dxa"/>
            <w:vAlign w:val="center"/>
          </w:tcPr>
          <w:p>
            <w:pPr>
              <w:widowControl/>
              <w:spacing w:line="240" w:lineRule="auto"/>
              <w:jc w:val="center"/>
              <w:textAlignment w:val="center"/>
              <w:rPr>
                <w:sz w:val="21"/>
              </w:rPr>
            </w:pPr>
            <w:r>
              <w:rPr>
                <w:kern w:val="0"/>
                <w:sz w:val="21"/>
              </w:rPr>
              <w:t xml:space="preserve">600 </w:t>
            </w:r>
            <w:r>
              <w:rPr>
                <w:sz w:val="21"/>
              </w:rPr>
              <w:t xml:space="preserve">～ </w:t>
            </w:r>
            <w:r>
              <w:rPr>
                <w:kern w:val="0"/>
                <w:sz w:val="21"/>
              </w:rPr>
              <w:t>1500</w:t>
            </w:r>
          </w:p>
        </w:tc>
        <w:tc>
          <w:tcPr>
            <w:tcW w:w="3817" w:type="dxa"/>
            <w:vAlign w:val="center"/>
          </w:tcPr>
          <w:p>
            <w:pPr>
              <w:widowControl/>
              <w:spacing w:line="240"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spacing w:line="240" w:lineRule="auto"/>
              <w:jc w:val="center"/>
              <w:rPr>
                <w:sz w:val="21"/>
              </w:rPr>
            </w:pPr>
          </w:p>
        </w:tc>
        <w:tc>
          <w:tcPr>
            <w:tcW w:w="851" w:type="dxa"/>
            <w:vMerge w:val="continue"/>
            <w:vAlign w:val="center"/>
          </w:tcPr>
          <w:p>
            <w:pPr>
              <w:spacing w:line="240" w:lineRule="auto"/>
              <w:jc w:val="center"/>
              <w:rPr>
                <w:sz w:val="21"/>
              </w:rPr>
            </w:pPr>
          </w:p>
        </w:tc>
        <w:tc>
          <w:tcPr>
            <w:tcW w:w="1984" w:type="dxa"/>
            <w:vAlign w:val="center"/>
          </w:tcPr>
          <w:p>
            <w:pPr>
              <w:widowControl/>
              <w:spacing w:line="240" w:lineRule="auto"/>
              <w:jc w:val="center"/>
              <w:textAlignment w:val="center"/>
              <w:rPr>
                <w:sz w:val="21"/>
              </w:rPr>
            </w:pPr>
            <w:r>
              <w:rPr>
                <w:kern w:val="0"/>
                <w:sz w:val="21"/>
              </w:rPr>
              <w:t xml:space="preserve">1800 </w:t>
            </w:r>
            <w:r>
              <w:rPr>
                <w:sz w:val="21"/>
              </w:rPr>
              <w:t xml:space="preserve">～ </w:t>
            </w:r>
            <w:r>
              <w:rPr>
                <w:kern w:val="0"/>
                <w:sz w:val="21"/>
              </w:rPr>
              <w:t>3900</w:t>
            </w:r>
          </w:p>
        </w:tc>
        <w:tc>
          <w:tcPr>
            <w:tcW w:w="3817" w:type="dxa"/>
            <w:vAlign w:val="center"/>
          </w:tcPr>
          <w:p>
            <w:pPr>
              <w:widowControl/>
              <w:spacing w:line="240" w:lineRule="auto"/>
              <w:jc w:val="center"/>
              <w:textAlignment w:val="center"/>
              <w:rPr>
                <w:sz w:val="21"/>
              </w:rPr>
            </w:pPr>
            <w:r>
              <w:rPr>
                <w:kern w:val="0"/>
                <w:sz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spacing w:line="240" w:lineRule="auto"/>
              <w:jc w:val="center"/>
              <w:rPr>
                <w:sz w:val="21"/>
              </w:rPr>
            </w:pPr>
          </w:p>
        </w:tc>
        <w:tc>
          <w:tcPr>
            <w:tcW w:w="851" w:type="dxa"/>
            <w:vMerge w:val="continue"/>
            <w:vAlign w:val="center"/>
          </w:tcPr>
          <w:p>
            <w:pPr>
              <w:spacing w:line="240" w:lineRule="auto"/>
              <w:jc w:val="center"/>
              <w:rPr>
                <w:sz w:val="21"/>
              </w:rPr>
            </w:pPr>
          </w:p>
        </w:tc>
        <w:tc>
          <w:tcPr>
            <w:tcW w:w="1984" w:type="dxa"/>
            <w:vAlign w:val="center"/>
          </w:tcPr>
          <w:p>
            <w:pPr>
              <w:widowControl/>
              <w:spacing w:line="240" w:lineRule="auto"/>
              <w:jc w:val="center"/>
              <w:textAlignment w:val="center"/>
              <w:rPr>
                <w:sz w:val="21"/>
              </w:rPr>
            </w:pPr>
            <w:r>
              <w:rPr>
                <w:kern w:val="0"/>
                <w:sz w:val="21"/>
              </w:rPr>
              <w:t xml:space="preserve">4200 </w:t>
            </w:r>
            <w:r>
              <w:rPr>
                <w:sz w:val="21"/>
              </w:rPr>
              <w:t xml:space="preserve">～ </w:t>
            </w:r>
            <w:r>
              <w:rPr>
                <w:kern w:val="0"/>
                <w:sz w:val="21"/>
              </w:rPr>
              <w:t>7200</w:t>
            </w:r>
          </w:p>
        </w:tc>
        <w:tc>
          <w:tcPr>
            <w:tcW w:w="3817" w:type="dxa"/>
            <w:vAlign w:val="center"/>
          </w:tcPr>
          <w:p>
            <w:pPr>
              <w:widowControl/>
              <w:spacing w:line="240" w:lineRule="auto"/>
              <w:jc w:val="center"/>
              <w:textAlignment w:val="center"/>
              <w:rPr>
                <w:sz w:val="21"/>
              </w:rPr>
            </w:pPr>
            <w:r>
              <w:rPr>
                <w:kern w:val="0"/>
                <w:sz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Align w:val="center"/>
          </w:tcPr>
          <w:p>
            <w:pPr>
              <w:widowControl/>
              <w:spacing w:line="240" w:lineRule="auto"/>
              <w:jc w:val="center"/>
              <w:textAlignment w:val="center"/>
              <w:rPr>
                <w:kern w:val="0"/>
                <w:sz w:val="21"/>
              </w:rPr>
            </w:pPr>
            <w:r>
              <w:rPr>
                <w:rFonts w:hint="eastAsia"/>
                <w:kern w:val="0"/>
                <w:sz w:val="21"/>
              </w:rPr>
              <w:t>7</w:t>
            </w:r>
          </w:p>
        </w:tc>
        <w:tc>
          <w:tcPr>
            <w:tcW w:w="2835" w:type="dxa"/>
            <w:gridSpan w:val="2"/>
            <w:vAlign w:val="center"/>
          </w:tcPr>
          <w:p>
            <w:pPr>
              <w:widowControl/>
              <w:spacing w:line="240" w:lineRule="auto"/>
              <w:jc w:val="center"/>
              <w:textAlignment w:val="center"/>
              <w:rPr>
                <w:kern w:val="0"/>
                <w:sz w:val="21"/>
              </w:rPr>
            </w:pPr>
            <w:r>
              <w:rPr>
                <w:kern w:val="0"/>
                <w:sz w:val="21"/>
              </w:rPr>
              <w:t>外宽B</w:t>
            </w:r>
          </w:p>
        </w:tc>
        <w:tc>
          <w:tcPr>
            <w:tcW w:w="3817" w:type="dxa"/>
            <w:vAlign w:val="center"/>
          </w:tcPr>
          <w:p>
            <w:pPr>
              <w:widowControl/>
              <w:spacing w:line="240" w:lineRule="auto"/>
              <w:jc w:val="center"/>
              <w:textAlignment w:val="center"/>
              <w:rPr>
                <w:kern w:val="0"/>
                <w:sz w:val="21"/>
              </w:rPr>
            </w:pPr>
            <w:r>
              <w:rPr>
                <w:kern w:val="0"/>
                <w:sz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Align w:val="center"/>
          </w:tcPr>
          <w:p>
            <w:pPr>
              <w:widowControl/>
              <w:spacing w:line="240" w:lineRule="auto"/>
              <w:jc w:val="center"/>
              <w:textAlignment w:val="center"/>
              <w:rPr>
                <w:sz w:val="21"/>
              </w:rPr>
            </w:pPr>
            <w:r>
              <w:rPr>
                <w:kern w:val="0"/>
                <w:sz w:val="21"/>
              </w:rPr>
              <w:t>8</w:t>
            </w:r>
          </w:p>
        </w:tc>
        <w:tc>
          <w:tcPr>
            <w:tcW w:w="2835" w:type="dxa"/>
            <w:gridSpan w:val="2"/>
            <w:vAlign w:val="center"/>
          </w:tcPr>
          <w:p>
            <w:pPr>
              <w:widowControl/>
              <w:spacing w:line="240" w:lineRule="auto"/>
              <w:jc w:val="center"/>
              <w:textAlignment w:val="center"/>
              <w:rPr>
                <w:sz w:val="21"/>
              </w:rPr>
            </w:pPr>
            <w:r>
              <w:rPr>
                <w:kern w:val="0"/>
                <w:sz w:val="21"/>
              </w:rPr>
              <w:t>有效长度L</w:t>
            </w:r>
          </w:p>
        </w:tc>
        <w:tc>
          <w:tcPr>
            <w:tcW w:w="3817" w:type="dxa"/>
            <w:vAlign w:val="center"/>
          </w:tcPr>
          <w:p>
            <w:pPr>
              <w:widowControl/>
              <w:spacing w:line="240" w:lineRule="auto"/>
              <w:jc w:val="center"/>
              <w:textAlignment w:val="center"/>
              <w:rPr>
                <w:sz w:val="21"/>
              </w:rPr>
            </w:pPr>
            <w:r>
              <w:rPr>
                <w:kern w:val="0"/>
                <w:sz w:val="21"/>
              </w:rPr>
              <w:t>-5～+10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40" w:lineRule="auto"/>
              <w:jc w:val="center"/>
              <w:textAlignment w:val="center"/>
              <w:rPr>
                <w:sz w:val="21"/>
              </w:rPr>
            </w:pPr>
            <w:r>
              <w:rPr>
                <w:kern w:val="0"/>
                <w:sz w:val="21"/>
              </w:rPr>
              <w:t>9</w:t>
            </w:r>
          </w:p>
        </w:tc>
        <w:tc>
          <w:tcPr>
            <w:tcW w:w="851" w:type="dxa"/>
            <w:vMerge w:val="restart"/>
            <w:vAlign w:val="center"/>
          </w:tcPr>
          <w:p>
            <w:pPr>
              <w:widowControl/>
              <w:spacing w:line="240" w:lineRule="auto"/>
              <w:jc w:val="center"/>
              <w:textAlignment w:val="center"/>
              <w:rPr>
                <w:sz w:val="21"/>
              </w:rPr>
            </w:pPr>
            <w:r>
              <w:rPr>
                <w:kern w:val="0"/>
                <w:sz w:val="21"/>
              </w:rPr>
              <w:t>腋角 宽×高</w:t>
            </w:r>
          </w:p>
        </w:tc>
        <w:tc>
          <w:tcPr>
            <w:tcW w:w="1984" w:type="dxa"/>
            <w:vAlign w:val="center"/>
          </w:tcPr>
          <w:p>
            <w:pPr>
              <w:widowControl/>
              <w:spacing w:line="240" w:lineRule="auto"/>
              <w:jc w:val="center"/>
              <w:textAlignment w:val="center"/>
              <w:rPr>
                <w:sz w:val="21"/>
              </w:rPr>
            </w:pPr>
            <w:r>
              <w:rPr>
                <w:kern w:val="0"/>
                <w:sz w:val="21"/>
              </w:rPr>
              <w:t>a</w:t>
            </w:r>
          </w:p>
        </w:tc>
        <w:tc>
          <w:tcPr>
            <w:tcW w:w="3817" w:type="dxa"/>
            <w:vAlign w:val="center"/>
          </w:tcPr>
          <w:p>
            <w:pPr>
              <w:widowControl/>
              <w:spacing w:line="240"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spacing w:line="240" w:lineRule="auto"/>
              <w:jc w:val="center"/>
              <w:rPr>
                <w:sz w:val="21"/>
              </w:rPr>
            </w:pPr>
          </w:p>
        </w:tc>
        <w:tc>
          <w:tcPr>
            <w:tcW w:w="851" w:type="dxa"/>
            <w:vMerge w:val="continue"/>
            <w:vAlign w:val="center"/>
          </w:tcPr>
          <w:p>
            <w:pPr>
              <w:spacing w:line="240" w:lineRule="auto"/>
              <w:jc w:val="center"/>
              <w:rPr>
                <w:sz w:val="21"/>
              </w:rPr>
            </w:pPr>
          </w:p>
        </w:tc>
        <w:tc>
          <w:tcPr>
            <w:tcW w:w="1984" w:type="dxa"/>
            <w:vAlign w:val="center"/>
          </w:tcPr>
          <w:p>
            <w:pPr>
              <w:widowControl/>
              <w:spacing w:line="240" w:lineRule="auto"/>
              <w:jc w:val="center"/>
              <w:textAlignment w:val="center"/>
              <w:rPr>
                <w:sz w:val="21"/>
              </w:rPr>
            </w:pPr>
            <w:r>
              <w:rPr>
                <w:kern w:val="0"/>
                <w:sz w:val="21"/>
              </w:rPr>
              <w:t>b</w:t>
            </w:r>
          </w:p>
        </w:tc>
        <w:tc>
          <w:tcPr>
            <w:tcW w:w="3817" w:type="dxa"/>
            <w:vAlign w:val="center"/>
          </w:tcPr>
          <w:p>
            <w:pPr>
              <w:widowControl/>
              <w:spacing w:line="240"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40" w:lineRule="auto"/>
              <w:jc w:val="center"/>
              <w:textAlignment w:val="center"/>
              <w:rPr>
                <w:sz w:val="21"/>
              </w:rPr>
            </w:pPr>
            <w:r>
              <w:rPr>
                <w:kern w:val="0"/>
                <w:sz w:val="21"/>
              </w:rPr>
              <w:t>10</w:t>
            </w:r>
          </w:p>
        </w:tc>
        <w:tc>
          <w:tcPr>
            <w:tcW w:w="851" w:type="dxa"/>
            <w:vMerge w:val="restart"/>
            <w:vAlign w:val="center"/>
          </w:tcPr>
          <w:p>
            <w:pPr>
              <w:widowControl/>
              <w:spacing w:line="240" w:lineRule="auto"/>
              <w:jc w:val="center"/>
              <w:textAlignment w:val="center"/>
              <w:rPr>
                <w:sz w:val="21"/>
              </w:rPr>
            </w:pPr>
            <w:r>
              <w:rPr>
                <w:kern w:val="0"/>
                <w:sz w:val="21"/>
              </w:rPr>
              <w:t>壁厚</w:t>
            </w:r>
          </w:p>
        </w:tc>
        <w:tc>
          <w:tcPr>
            <w:tcW w:w="1984" w:type="dxa"/>
            <w:vAlign w:val="center"/>
          </w:tcPr>
          <w:p>
            <w:pPr>
              <w:widowControl/>
              <w:spacing w:line="240" w:lineRule="auto"/>
              <w:jc w:val="center"/>
              <w:textAlignment w:val="center"/>
              <w:rPr>
                <w:sz w:val="21"/>
              </w:rPr>
            </w:pPr>
            <w:r>
              <w:rPr>
                <w:kern w:val="0"/>
                <w:sz w:val="21"/>
              </w:rPr>
              <w:t>顶板T</w:t>
            </w:r>
            <w:r>
              <w:rPr>
                <w:kern w:val="0"/>
                <w:sz w:val="21"/>
                <w:vertAlign w:val="subscript"/>
              </w:rPr>
              <w:t>1</w:t>
            </w:r>
          </w:p>
        </w:tc>
        <w:tc>
          <w:tcPr>
            <w:tcW w:w="3817" w:type="dxa"/>
            <w:vAlign w:val="center"/>
          </w:tcPr>
          <w:p>
            <w:pPr>
              <w:widowControl/>
              <w:spacing w:line="240"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spacing w:line="240" w:lineRule="auto"/>
              <w:jc w:val="center"/>
              <w:rPr>
                <w:sz w:val="21"/>
              </w:rPr>
            </w:pPr>
          </w:p>
        </w:tc>
        <w:tc>
          <w:tcPr>
            <w:tcW w:w="851" w:type="dxa"/>
            <w:vMerge w:val="continue"/>
            <w:vAlign w:val="center"/>
          </w:tcPr>
          <w:p>
            <w:pPr>
              <w:spacing w:line="240" w:lineRule="auto"/>
              <w:jc w:val="center"/>
              <w:rPr>
                <w:sz w:val="21"/>
              </w:rPr>
            </w:pPr>
          </w:p>
        </w:tc>
        <w:tc>
          <w:tcPr>
            <w:tcW w:w="1984" w:type="dxa"/>
            <w:vAlign w:val="center"/>
          </w:tcPr>
          <w:p>
            <w:pPr>
              <w:widowControl/>
              <w:spacing w:line="240" w:lineRule="auto"/>
              <w:jc w:val="center"/>
              <w:textAlignment w:val="center"/>
              <w:rPr>
                <w:sz w:val="21"/>
              </w:rPr>
            </w:pPr>
            <w:r>
              <w:rPr>
                <w:kern w:val="0"/>
                <w:sz w:val="21"/>
              </w:rPr>
              <w:t>侧板T</w:t>
            </w:r>
            <w:r>
              <w:rPr>
                <w:kern w:val="0"/>
                <w:sz w:val="21"/>
                <w:vertAlign w:val="subscript"/>
              </w:rPr>
              <w:t>2</w:t>
            </w:r>
          </w:p>
        </w:tc>
        <w:tc>
          <w:tcPr>
            <w:tcW w:w="3817" w:type="dxa"/>
            <w:vAlign w:val="center"/>
          </w:tcPr>
          <w:p>
            <w:pPr>
              <w:widowControl/>
              <w:spacing w:line="240"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restart"/>
            <w:vAlign w:val="center"/>
          </w:tcPr>
          <w:p>
            <w:pPr>
              <w:widowControl/>
              <w:spacing w:line="240" w:lineRule="auto"/>
              <w:jc w:val="center"/>
              <w:textAlignment w:val="center"/>
              <w:rPr>
                <w:sz w:val="21"/>
              </w:rPr>
            </w:pPr>
            <w:r>
              <w:rPr>
                <w:kern w:val="0"/>
                <w:sz w:val="21"/>
              </w:rPr>
              <w:t>11</w:t>
            </w:r>
          </w:p>
        </w:tc>
        <w:tc>
          <w:tcPr>
            <w:tcW w:w="2835" w:type="dxa"/>
            <w:gridSpan w:val="2"/>
            <w:vAlign w:val="center"/>
          </w:tcPr>
          <w:p>
            <w:pPr>
              <w:widowControl/>
              <w:spacing w:line="240" w:lineRule="auto"/>
              <w:jc w:val="center"/>
              <w:textAlignment w:val="center"/>
              <w:rPr>
                <w:sz w:val="21"/>
              </w:rPr>
            </w:pPr>
            <w:r>
              <w:rPr>
                <w:kern w:val="0"/>
                <w:sz w:val="21"/>
              </w:rPr>
              <w:t>预留孔位置</w:t>
            </w:r>
          </w:p>
        </w:tc>
        <w:tc>
          <w:tcPr>
            <w:tcW w:w="3817" w:type="dxa"/>
            <w:vAlign w:val="center"/>
          </w:tcPr>
          <w:p>
            <w:pPr>
              <w:widowControl/>
              <w:spacing w:line="240" w:lineRule="auto"/>
              <w:jc w:val="center"/>
              <w:textAlignment w:val="center"/>
              <w:rPr>
                <w:sz w:val="21"/>
              </w:rPr>
            </w:pPr>
            <w:r>
              <w:rPr>
                <w:kern w:val="0"/>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704" w:type="dxa"/>
            <w:vMerge w:val="continue"/>
            <w:vAlign w:val="center"/>
          </w:tcPr>
          <w:p>
            <w:pPr>
              <w:spacing w:line="240" w:lineRule="auto"/>
              <w:jc w:val="center"/>
              <w:rPr>
                <w:sz w:val="21"/>
              </w:rPr>
            </w:pPr>
          </w:p>
        </w:tc>
        <w:tc>
          <w:tcPr>
            <w:tcW w:w="2835" w:type="dxa"/>
            <w:gridSpan w:val="2"/>
            <w:vAlign w:val="center"/>
          </w:tcPr>
          <w:p>
            <w:pPr>
              <w:widowControl/>
              <w:spacing w:line="240" w:lineRule="auto"/>
              <w:jc w:val="center"/>
              <w:textAlignment w:val="center"/>
              <w:rPr>
                <w:sz w:val="21"/>
              </w:rPr>
            </w:pPr>
            <w:r>
              <w:rPr>
                <w:kern w:val="0"/>
                <w:sz w:val="21"/>
              </w:rPr>
              <w:t>预埋件位置</w:t>
            </w:r>
          </w:p>
        </w:tc>
        <w:tc>
          <w:tcPr>
            <w:tcW w:w="3817" w:type="dxa"/>
            <w:vAlign w:val="center"/>
          </w:tcPr>
          <w:p>
            <w:pPr>
              <w:widowControl/>
              <w:spacing w:line="240" w:lineRule="auto"/>
              <w:jc w:val="center"/>
              <w:textAlignment w:val="center"/>
              <w:rPr>
                <w:sz w:val="21"/>
              </w:rPr>
            </w:pPr>
            <w:r>
              <w:rPr>
                <w:kern w:val="0"/>
                <w:sz w:val="21"/>
              </w:rPr>
              <w:t>±5</w:t>
            </w:r>
          </w:p>
        </w:tc>
      </w:tr>
    </w:tbl>
    <w:p>
      <w:pPr>
        <w:jc w:val="center"/>
        <w:rPr>
          <w:sz w:val="21"/>
        </w:rPr>
      </w:pPr>
    </w:p>
    <w:p>
      <w:pPr>
        <w:jc w:val="center"/>
        <w:rPr>
          <w:b/>
          <w:bCs/>
          <w:sz w:val="21"/>
        </w:rPr>
      </w:pPr>
      <w:r>
        <w:rPr>
          <w:b/>
          <w:bCs/>
          <w:sz w:val="21"/>
        </w:rPr>
        <w:t>表6.7.12-2  管节接口的尺寸允许偏差（mm）</w:t>
      </w:r>
    </w:p>
    <w:tbl>
      <w:tblPr>
        <w:tblStyle w:val="47"/>
        <w:tblW w:w="737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
      <w:tblGrid>
        <w:gridCol w:w="1852"/>
        <w:gridCol w:w="2269"/>
        <w:gridCol w:w="32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52" w:type="dxa"/>
            <w:vAlign w:val="center"/>
          </w:tcPr>
          <w:p>
            <w:pPr>
              <w:widowControl/>
              <w:spacing w:line="288" w:lineRule="auto"/>
              <w:jc w:val="center"/>
              <w:textAlignment w:val="center"/>
              <w:rPr>
                <w:sz w:val="21"/>
              </w:rPr>
            </w:pPr>
            <w:r>
              <w:rPr>
                <w:kern w:val="0"/>
                <w:sz w:val="21"/>
              </w:rPr>
              <w:t>序号</w:t>
            </w:r>
          </w:p>
        </w:tc>
        <w:tc>
          <w:tcPr>
            <w:tcW w:w="2269" w:type="dxa"/>
            <w:vAlign w:val="center"/>
          </w:tcPr>
          <w:p>
            <w:pPr>
              <w:widowControl/>
              <w:spacing w:line="288" w:lineRule="auto"/>
              <w:jc w:val="center"/>
              <w:textAlignment w:val="center"/>
              <w:rPr>
                <w:sz w:val="21"/>
              </w:rPr>
            </w:pPr>
            <w:r>
              <w:rPr>
                <w:kern w:val="0"/>
                <w:sz w:val="21"/>
              </w:rPr>
              <w:t>项目</w:t>
            </w:r>
          </w:p>
        </w:tc>
        <w:tc>
          <w:tcPr>
            <w:tcW w:w="3251" w:type="dxa"/>
            <w:vAlign w:val="center"/>
          </w:tcPr>
          <w:p>
            <w:pPr>
              <w:widowControl/>
              <w:spacing w:line="288" w:lineRule="auto"/>
              <w:jc w:val="center"/>
              <w:textAlignment w:val="center"/>
              <w:rPr>
                <w:sz w:val="21"/>
              </w:rPr>
            </w:pPr>
            <w:r>
              <w:rPr>
                <w:rFonts w:hint="eastAsia"/>
                <w:kern w:val="0"/>
                <w:sz w:val="21"/>
              </w:rPr>
              <w:t>允许偏差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52" w:type="dxa"/>
            <w:vAlign w:val="center"/>
          </w:tcPr>
          <w:p>
            <w:pPr>
              <w:widowControl/>
              <w:spacing w:line="288" w:lineRule="auto"/>
              <w:jc w:val="center"/>
              <w:textAlignment w:val="center"/>
              <w:rPr>
                <w:sz w:val="21"/>
              </w:rPr>
            </w:pPr>
            <w:r>
              <w:rPr>
                <w:kern w:val="0"/>
                <w:sz w:val="21"/>
              </w:rPr>
              <w:t>1</w:t>
            </w:r>
          </w:p>
        </w:tc>
        <w:tc>
          <w:tcPr>
            <w:tcW w:w="2269" w:type="dxa"/>
            <w:vAlign w:val="center"/>
          </w:tcPr>
          <w:p>
            <w:pPr>
              <w:widowControl/>
              <w:spacing w:line="288" w:lineRule="auto"/>
              <w:jc w:val="center"/>
              <w:textAlignment w:val="center"/>
              <w:rPr>
                <w:sz w:val="21"/>
              </w:rPr>
            </w:pPr>
            <w:r>
              <w:rPr>
                <w:kern w:val="0"/>
                <w:sz w:val="21"/>
              </w:rPr>
              <w:t>接口间隙d</w:t>
            </w:r>
          </w:p>
        </w:tc>
        <w:tc>
          <w:tcPr>
            <w:tcW w:w="3251" w:type="dxa"/>
            <w:vAlign w:val="center"/>
          </w:tcPr>
          <w:p>
            <w:pPr>
              <w:widowControl/>
              <w:spacing w:line="288" w:lineRule="auto"/>
              <w:jc w:val="center"/>
              <w:textAlignment w:val="center"/>
              <w:rPr>
                <w:sz w:val="21"/>
              </w:rPr>
            </w:pPr>
            <w:r>
              <w:rPr>
                <w:kern w:val="0"/>
                <w:sz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15" w:type="dxa"/>
            <w:left w:w="15" w:type="dxa"/>
            <w:bottom w:w="15" w:type="dxa"/>
            <w:right w:w="15" w:type="dxa"/>
          </w:tblCellMar>
        </w:tblPrEx>
        <w:trPr>
          <w:trHeight w:val="397" w:hRule="atLeast"/>
          <w:jc w:val="center"/>
        </w:trPr>
        <w:tc>
          <w:tcPr>
            <w:tcW w:w="1852" w:type="dxa"/>
            <w:vAlign w:val="center"/>
          </w:tcPr>
          <w:p>
            <w:pPr>
              <w:widowControl/>
              <w:spacing w:line="288" w:lineRule="auto"/>
              <w:jc w:val="center"/>
              <w:textAlignment w:val="center"/>
              <w:rPr>
                <w:sz w:val="21"/>
              </w:rPr>
            </w:pPr>
            <w:r>
              <w:rPr>
                <w:kern w:val="0"/>
                <w:sz w:val="21"/>
              </w:rPr>
              <w:t>2</w:t>
            </w:r>
          </w:p>
        </w:tc>
        <w:tc>
          <w:tcPr>
            <w:tcW w:w="2269" w:type="dxa"/>
            <w:vAlign w:val="center"/>
          </w:tcPr>
          <w:p>
            <w:pPr>
              <w:widowControl/>
              <w:spacing w:line="288" w:lineRule="auto"/>
              <w:jc w:val="center"/>
              <w:textAlignment w:val="center"/>
              <w:rPr>
                <w:sz w:val="21"/>
              </w:rPr>
            </w:pPr>
            <w:r>
              <w:rPr>
                <w:kern w:val="0"/>
                <w:sz w:val="21"/>
              </w:rPr>
              <w:t>接口图上注明尺寸</w:t>
            </w:r>
          </w:p>
        </w:tc>
        <w:tc>
          <w:tcPr>
            <w:tcW w:w="3251" w:type="dxa"/>
            <w:vAlign w:val="center"/>
          </w:tcPr>
          <w:p>
            <w:pPr>
              <w:widowControl/>
              <w:spacing w:line="288" w:lineRule="auto"/>
              <w:jc w:val="center"/>
              <w:textAlignment w:val="center"/>
              <w:rPr>
                <w:sz w:val="21"/>
              </w:rPr>
            </w:pPr>
            <w:r>
              <w:rPr>
                <w:kern w:val="0"/>
                <w:sz w:val="21"/>
              </w:rPr>
              <w:t>±2</w:t>
            </w:r>
          </w:p>
        </w:tc>
      </w:tr>
    </w:tbl>
    <w:p/>
    <w:p>
      <w:pPr>
        <w:rPr>
          <w:rFonts w:eastAsia="华文仿宋"/>
        </w:rPr>
      </w:pPr>
    </w:p>
    <w:p>
      <w:pPr>
        <w:sectPr>
          <w:pgSz w:w="11906" w:h="16838"/>
          <w:pgMar w:top="1440" w:right="1800" w:bottom="1440" w:left="1800" w:header="851" w:footer="992" w:gutter="0"/>
          <w:cols w:space="425" w:num="1"/>
          <w:docGrid w:type="lines" w:linePitch="312" w:charSpace="0"/>
        </w:sectPr>
      </w:pPr>
    </w:p>
    <w:p>
      <w:pPr>
        <w:pStyle w:val="2"/>
        <w:rPr>
          <w:rFonts w:cs="Times New Roman" w:eastAsiaTheme="minorEastAsia"/>
        </w:rPr>
      </w:pPr>
      <w:bookmarkStart w:id="333" w:name="_Toc9248"/>
      <w:bookmarkStart w:id="334" w:name="_Toc880"/>
      <w:bookmarkStart w:id="335" w:name="_Toc26880"/>
      <w:bookmarkStart w:id="336" w:name="_Toc27055"/>
      <w:bookmarkStart w:id="337" w:name="_Toc8089"/>
      <w:bookmarkStart w:id="338" w:name="_Toc32220"/>
      <w:bookmarkStart w:id="339" w:name="_Toc21134"/>
      <w:r>
        <w:rPr>
          <w:rFonts w:cs="Times New Roman"/>
        </w:rPr>
        <w:fldChar w:fldCharType="begin"/>
      </w:r>
      <w:r>
        <w:rPr>
          <w:rFonts w:cs="Times New Roman"/>
        </w:rPr>
        <w:instrText xml:space="preserve"> HYPERLINK \l "_Toc30255" </w:instrText>
      </w:r>
      <w:r>
        <w:rPr>
          <w:rFonts w:cs="Times New Roman"/>
        </w:rPr>
        <w:fldChar w:fldCharType="separate"/>
      </w:r>
      <w:bookmarkStart w:id="340" w:name="_Toc60173797"/>
      <w:bookmarkStart w:id="341" w:name="_Toc18057051"/>
      <w:bookmarkStart w:id="342" w:name="_Toc47692169"/>
      <w:bookmarkStart w:id="343" w:name="_Toc60172910"/>
      <w:r>
        <w:rPr>
          <w:rFonts w:cs="Times New Roman" w:eastAsiaTheme="minorEastAsia"/>
        </w:rPr>
        <w:t>7  工作井施工</w:t>
      </w:r>
      <w:bookmarkEnd w:id="340"/>
      <w:bookmarkEnd w:id="341"/>
      <w:bookmarkEnd w:id="342"/>
      <w:bookmarkEnd w:id="343"/>
      <w:r>
        <w:rPr>
          <w:rFonts w:cs="Times New Roman" w:eastAsiaTheme="minorEastAsia"/>
        </w:rPr>
        <w:fldChar w:fldCharType="end"/>
      </w:r>
      <w:bookmarkEnd w:id="333"/>
      <w:bookmarkEnd w:id="334"/>
      <w:bookmarkEnd w:id="335"/>
      <w:bookmarkEnd w:id="336"/>
      <w:bookmarkEnd w:id="337"/>
      <w:bookmarkEnd w:id="338"/>
      <w:bookmarkEnd w:id="339"/>
    </w:p>
    <w:p>
      <w:pPr>
        <w:pStyle w:val="3"/>
        <w:rPr>
          <w:rFonts w:eastAsia="黑体" w:cs="Times New Roman"/>
          <w:b w:val="0"/>
        </w:rPr>
      </w:pPr>
      <w:bookmarkStart w:id="344" w:name="_Toc440352207"/>
      <w:bookmarkStart w:id="345" w:name="_Toc441067571"/>
      <w:bookmarkStart w:id="346" w:name="_Toc436297527"/>
      <w:bookmarkStart w:id="347" w:name="_Toc425326020"/>
      <w:bookmarkStart w:id="348" w:name="_Toc427140092"/>
      <w:bookmarkStart w:id="349" w:name="_Toc425510764"/>
      <w:bookmarkStart w:id="350" w:name="_Toc464739761"/>
      <w:bookmarkStart w:id="351" w:name="_Toc441067457"/>
      <w:bookmarkStart w:id="352" w:name="_Toc427133029"/>
      <w:bookmarkStart w:id="353" w:name="_Toc464739837"/>
      <w:bookmarkStart w:id="354" w:name="_Toc17977"/>
      <w:bookmarkStart w:id="355" w:name="_Toc525220331"/>
      <w:bookmarkStart w:id="356" w:name="_Toc17867"/>
      <w:bookmarkStart w:id="357" w:name="_Toc6297"/>
      <w:bookmarkStart w:id="358" w:name="_Toc9763"/>
      <w:bookmarkStart w:id="359" w:name="_Toc60173798"/>
      <w:bookmarkStart w:id="360" w:name="_Toc18057052"/>
      <w:bookmarkStart w:id="361" w:name="_Toc525221314"/>
      <w:bookmarkStart w:id="362" w:name="_Toc8783"/>
      <w:bookmarkStart w:id="363" w:name="_Toc525219697"/>
      <w:bookmarkStart w:id="364" w:name="_Toc47692170"/>
      <w:bookmarkStart w:id="365" w:name="_Toc60172911"/>
      <w:bookmarkStart w:id="366" w:name="_Toc22927"/>
      <w:bookmarkStart w:id="367" w:name="_Toc15888"/>
      <w:bookmarkStart w:id="368" w:name="_Toc212013562"/>
      <w:bookmarkStart w:id="369" w:name="_Toc187201560"/>
      <w:bookmarkStart w:id="370" w:name="_Toc187566676"/>
      <w:bookmarkStart w:id="371" w:name="_Toc188966036"/>
      <w:bookmarkStart w:id="372" w:name="_Toc187134230"/>
      <w:bookmarkStart w:id="373" w:name="_Toc187204907"/>
      <w:bookmarkStart w:id="374" w:name="_Toc187133505"/>
      <w:bookmarkStart w:id="375" w:name="_Toc187219745"/>
      <w:bookmarkStart w:id="376" w:name="_Toc213486135"/>
      <w:bookmarkStart w:id="377" w:name="_Toc189361279"/>
      <w:bookmarkStart w:id="378" w:name="_Toc189361191"/>
      <w:bookmarkStart w:id="379" w:name="_Toc187136500"/>
      <w:bookmarkStart w:id="380" w:name="_Toc193079185"/>
      <w:bookmarkStart w:id="381" w:name="_Toc187133002"/>
      <w:bookmarkStart w:id="382" w:name="_Toc188776376"/>
      <w:bookmarkStart w:id="383" w:name="_Toc193079252"/>
      <w:r>
        <w:rPr>
          <w:rFonts w:eastAsia="黑体" w:cs="Times New Roman"/>
        </w:rPr>
        <w:t>7.1</w:t>
      </w:r>
      <w:r>
        <w:rPr>
          <w:rFonts w:eastAsia="黑体" w:cs="Times New Roman"/>
          <w:b w:val="0"/>
        </w:rPr>
        <w:t xml:space="preserve"> </w:t>
      </w:r>
      <w:bookmarkEnd w:id="344"/>
      <w:bookmarkEnd w:id="345"/>
      <w:bookmarkEnd w:id="346"/>
      <w:bookmarkEnd w:id="347"/>
      <w:bookmarkEnd w:id="348"/>
      <w:bookmarkEnd w:id="349"/>
      <w:bookmarkEnd w:id="350"/>
      <w:bookmarkEnd w:id="351"/>
      <w:bookmarkEnd w:id="352"/>
      <w:bookmarkEnd w:id="353"/>
      <w:r>
        <w:rPr>
          <w:rFonts w:eastAsia="黑体" w:cs="Times New Roman"/>
          <w:b w:val="0"/>
        </w:rPr>
        <w:t xml:space="preserve"> 一般规定</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
        <w:rPr>
          <w:b/>
          <w:bCs/>
        </w:rPr>
        <w:t>7.1.1</w:t>
      </w:r>
      <w:r>
        <w:t xml:space="preserve">  工作井的结构应符合下列规定：</w:t>
      </w:r>
    </w:p>
    <w:p>
      <w:pPr>
        <w:ind w:firstLine="482" w:firstLineChars="200"/>
      </w:pPr>
      <w:r>
        <w:rPr>
          <w:b/>
          <w:bCs/>
        </w:rPr>
        <w:t>1</w:t>
      </w:r>
      <w:r>
        <w:t xml:space="preserve">  始发井应满足井壁支护及顶管始发推进反力的作用；</w:t>
      </w:r>
    </w:p>
    <w:p>
      <w:pPr>
        <w:ind w:firstLine="482" w:firstLineChars="200"/>
      </w:pPr>
      <w:r>
        <w:rPr>
          <w:b/>
          <w:bCs/>
        </w:rPr>
        <w:t>2</w:t>
      </w:r>
      <w:r>
        <w:t xml:space="preserve">  工作井围护结构形式应根据工程地质条件、水文地质条件、邻近建筑物或构筑物、地上与地下管线情况，结构受力及施工安全等要求合理选型；</w:t>
      </w:r>
    </w:p>
    <w:p>
      <w:pPr>
        <w:ind w:firstLine="482" w:firstLineChars="200"/>
      </w:pPr>
      <w:r>
        <w:rPr>
          <w:b/>
          <w:bCs/>
        </w:rPr>
        <w:t>3</w:t>
      </w:r>
      <w:r>
        <w:t xml:space="preserve">  工作井的围护结构可采用灌注排桩、钢板桩、地下连续墙、咬合桩、</w:t>
      </w:r>
      <w:r>
        <w:rPr>
          <w:rFonts w:hint="eastAsia"/>
        </w:rPr>
        <w:t>型钢水泥土搅拌墙（</w:t>
      </w:r>
      <w:r>
        <w:t>SMW</w:t>
      </w:r>
      <w:r>
        <w:rPr>
          <w:rFonts w:hint="eastAsia"/>
        </w:rPr>
        <w:t>）</w:t>
      </w:r>
      <w:r>
        <w:t>及沉井等工法，且应遵照工法相应的规程进行。</w:t>
      </w:r>
    </w:p>
    <w:p>
      <w:r>
        <w:rPr>
          <w:b/>
          <w:bCs/>
        </w:rPr>
        <w:t xml:space="preserve">7.1.2  </w:t>
      </w:r>
      <w:r>
        <w:t>灌注排桩、钢板桩、地下连续墙、咬合桩工作井施工应符合现行行业标准《建筑基坑支护技术规程》JGJ 120的有关规定。</w:t>
      </w:r>
    </w:p>
    <w:p>
      <w:r>
        <w:rPr>
          <w:b/>
          <w:bCs/>
        </w:rPr>
        <w:t xml:space="preserve">7.1.3  </w:t>
      </w:r>
      <w:r>
        <w:rPr>
          <w:rFonts w:hint="eastAsia"/>
        </w:rPr>
        <w:t>型钢水泥土搅拌墙（</w:t>
      </w:r>
      <w:r>
        <w:t>SMW</w:t>
      </w:r>
      <w:r>
        <w:rPr>
          <w:rFonts w:hint="eastAsia"/>
        </w:rPr>
        <w:t>）</w:t>
      </w:r>
      <w:r>
        <w:t>法工作井施工应符合现行行业标准《型钢水泥土搅拌墙技术规程》JGJ/T 199的有关规定。</w:t>
      </w:r>
    </w:p>
    <w:p>
      <w:r>
        <w:rPr>
          <w:b/>
          <w:bCs/>
        </w:rPr>
        <w:t xml:space="preserve">7.1.4  </w:t>
      </w:r>
      <w:r>
        <w:t>沉井法工作井施工应符合现行国家标准《沉井与气压沉箱施工规范》GB/T 51130的有关规定。</w:t>
      </w:r>
    </w:p>
    <w:p>
      <w:r>
        <w:rPr>
          <w:b/>
        </w:rPr>
        <w:t xml:space="preserve">7.1.5  </w:t>
      </w:r>
      <w:r>
        <w:t>始发井的穿墙洞应设置止水装置。止水装置可采用盘根止水或橡胶止水，也可采用组合形式止水。止水装置的设置应符合下列规定：</w:t>
      </w:r>
    </w:p>
    <w:p>
      <w:pPr>
        <w:ind w:firstLine="482" w:firstLineChars="200"/>
      </w:pPr>
      <w:r>
        <w:rPr>
          <w:b/>
        </w:rPr>
        <w:t>1</w:t>
      </w:r>
      <w:r>
        <w:rPr>
          <w:bCs/>
        </w:rPr>
        <w:t xml:space="preserve">  </w:t>
      </w:r>
      <w:r>
        <w:t>砂土、粉土等土层宜采用盘根止水；</w:t>
      </w:r>
    </w:p>
    <w:p>
      <w:pPr>
        <w:ind w:firstLine="482" w:firstLineChars="200"/>
      </w:pPr>
      <w:r>
        <w:rPr>
          <w:b/>
        </w:rPr>
        <w:t>2</w:t>
      </w:r>
      <w:r>
        <w:rPr>
          <w:bCs/>
        </w:rPr>
        <w:t xml:space="preserve">  </w:t>
      </w:r>
      <w:r>
        <w:t>黏性土土层宜采用橡胶止水；</w:t>
      </w:r>
    </w:p>
    <w:p>
      <w:pPr>
        <w:ind w:firstLine="482" w:firstLineChars="200"/>
      </w:pPr>
      <w:r>
        <w:rPr>
          <w:b/>
        </w:rPr>
        <w:t>3</w:t>
      </w:r>
      <w:r>
        <w:rPr>
          <w:bCs/>
        </w:rPr>
        <w:t xml:space="preserve">  </w:t>
      </w:r>
      <w:r>
        <w:t>在长距离顶管或承压水土层中宜采用多道或组合形式止水；</w:t>
      </w:r>
    </w:p>
    <w:p>
      <w:pPr>
        <w:ind w:firstLine="482" w:firstLineChars="200"/>
      </w:pPr>
      <w:r>
        <w:rPr>
          <w:b/>
        </w:rPr>
        <w:t>4</w:t>
      </w:r>
      <w:r>
        <w:rPr>
          <w:bCs/>
        </w:rPr>
        <w:t xml:space="preserve">  </w:t>
      </w:r>
      <w:r>
        <w:t>顶管结束后，管道与穿墙洞的间隙应进行封堵。</w:t>
      </w:r>
    </w:p>
    <w:p>
      <w:pPr>
        <w:rPr>
          <w:rFonts w:eastAsiaTheme="minorEastAsia"/>
        </w:rPr>
      </w:pPr>
      <w:r>
        <w:rPr>
          <w:rFonts w:eastAsiaTheme="minorEastAsia"/>
          <w:b/>
        </w:rPr>
        <w:t xml:space="preserve">7.1.6  </w:t>
      </w:r>
      <w:r>
        <w:rPr>
          <w:rFonts w:eastAsiaTheme="minorEastAsia"/>
        </w:rPr>
        <w:t>工作井基坑监测宜</w:t>
      </w:r>
      <w:r>
        <w:rPr>
          <w:rFonts w:hint="eastAsia" w:eastAsiaTheme="minorEastAsia"/>
        </w:rPr>
        <w:t>按</w:t>
      </w:r>
      <w:r>
        <w:rPr>
          <w:rFonts w:eastAsiaTheme="minorEastAsia"/>
        </w:rPr>
        <w:t>现行</w:t>
      </w:r>
      <w:bookmarkStart w:id="384" w:name="_Hlk17382476"/>
      <w:r>
        <w:rPr>
          <w:rFonts w:eastAsiaTheme="minorEastAsia"/>
        </w:rPr>
        <w:t>国家标准《</w:t>
      </w:r>
      <w:r>
        <w:fldChar w:fldCharType="begin"/>
      </w:r>
      <w:r>
        <w:instrText xml:space="preserve"> HYPERLINK "http://www.so.com/link?m=aMge5bd5I4Bsmv6REof8XZZ%2FC4CTK6I7fqx0%2FkBd%2BAswjJlpG5QxTweMSSRaECgqZ%2B2IYEBnHSz4CbPe5tvpG4B54eay2bicEkUlKR0%2F39yhkhA7PGaRAbeRgim6cHLjSYJXWjGodpiJeXG1mfgCjs1xCwfPwM49F9taWHA%3D%3D" \t "_blank" </w:instrText>
      </w:r>
      <w:r>
        <w:fldChar w:fldCharType="separate"/>
      </w:r>
      <w:r>
        <w:rPr>
          <w:rFonts w:eastAsiaTheme="minorEastAsia"/>
        </w:rPr>
        <w:t>建筑基坑工程监测技术规范》GB 50497</w:t>
      </w:r>
      <w:r>
        <w:rPr>
          <w:rFonts w:eastAsiaTheme="minorEastAsia"/>
        </w:rPr>
        <w:fldChar w:fldCharType="end"/>
      </w:r>
      <w:bookmarkEnd w:id="384"/>
      <w:r>
        <w:t>的有关规定</w:t>
      </w:r>
      <w:r>
        <w:rPr>
          <w:rFonts w:hint="eastAsia"/>
        </w:rPr>
        <w:t>执行</w:t>
      </w:r>
      <w:r>
        <w:rPr>
          <w:rFonts w:eastAsiaTheme="minorEastAsia"/>
        </w:rPr>
        <w:t>。</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Pr>
        <w:rPr>
          <w:rFonts w:eastAsiaTheme="minorEastAsia"/>
        </w:rPr>
      </w:pPr>
    </w:p>
    <w:p>
      <w:pPr>
        <w:pStyle w:val="3"/>
        <w:rPr>
          <w:rFonts w:eastAsia="黑体" w:cs="Times New Roman"/>
          <w:b w:val="0"/>
        </w:rPr>
      </w:pPr>
      <w:bookmarkStart w:id="385" w:name="_Toc525220338"/>
      <w:bookmarkStart w:id="386" w:name="_Toc525221321"/>
      <w:bookmarkStart w:id="387" w:name="_Toc18057058"/>
      <w:bookmarkStart w:id="388" w:name="_Toc4889"/>
      <w:bookmarkStart w:id="389" w:name="_Toc47692171"/>
      <w:bookmarkStart w:id="390" w:name="_Toc22559"/>
      <w:bookmarkStart w:id="391" w:name="_Toc21534"/>
      <w:bookmarkStart w:id="392" w:name="_Toc525219704"/>
      <w:bookmarkStart w:id="393" w:name="_Toc60173799"/>
      <w:bookmarkStart w:id="394" w:name="_Toc9549"/>
      <w:bookmarkStart w:id="395" w:name="_Toc10497"/>
      <w:bookmarkStart w:id="396" w:name="_Toc60172912"/>
      <w:bookmarkStart w:id="397" w:name="_Toc3570"/>
      <w:bookmarkStart w:id="398" w:name="_Toc9093"/>
      <w:r>
        <w:rPr>
          <w:rFonts w:eastAsia="黑体" w:cs="Times New Roman"/>
        </w:rPr>
        <w:t>7.2</w:t>
      </w:r>
      <w:r>
        <w:rPr>
          <w:rFonts w:eastAsia="黑体" w:cs="Times New Roman"/>
          <w:b w:val="0"/>
        </w:rPr>
        <w:t xml:space="preserve">  土体加固</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bookmarkStart w:id="399" w:name="_Hlk511071594"/>
      <w:r>
        <w:rPr>
          <w:b/>
        </w:rPr>
        <w:t>7.2.1</w:t>
      </w:r>
      <w:bookmarkEnd w:id="399"/>
      <w:r>
        <w:t xml:space="preserve">  顶管始发井及接收井的洞口土体应进行加固，土体加固宜采用水泥土搅拌桩、</w:t>
      </w:r>
      <w:r>
        <w:rPr>
          <w:rFonts w:hint="eastAsia"/>
        </w:rPr>
        <w:t>袖阀管注浆、W</w:t>
      </w:r>
      <w:r>
        <w:t>SS</w:t>
      </w:r>
      <w:r>
        <w:rPr>
          <w:rFonts w:hint="eastAsia"/>
        </w:rPr>
        <w:t>注浆、</w:t>
      </w:r>
      <w:r>
        <w:t>高压旋喷桩等一种或几种组合</w:t>
      </w:r>
      <w:r>
        <w:rPr>
          <w:rFonts w:hint="eastAsia"/>
        </w:rPr>
        <w:t>的</w:t>
      </w:r>
      <w:r>
        <w:t>形式。</w:t>
      </w:r>
    </w:p>
    <w:p>
      <w:bookmarkStart w:id="400" w:name="_Hlk511138453"/>
      <w:bookmarkStart w:id="401" w:name="_Hlk511137943"/>
      <w:r>
        <w:rPr>
          <w:b/>
        </w:rPr>
        <w:t xml:space="preserve">7.2.2 </w:t>
      </w:r>
      <w:r>
        <w:t xml:space="preserve"> </w:t>
      </w:r>
      <w:bookmarkStart w:id="402" w:name="_Hlk511138142"/>
      <w:r>
        <w:t>顶管洞口加固应在始发井、接收井的底板达到设计强度后进行。</w:t>
      </w:r>
      <w:bookmarkEnd w:id="402"/>
      <w:r>
        <w:t>加固完成后应对加固体的强度、均匀性和防渗漏性能进行检测。</w:t>
      </w:r>
    </w:p>
    <w:p>
      <w:r>
        <w:rPr>
          <w:b/>
        </w:rPr>
        <w:t>7.2.3</w:t>
      </w:r>
      <w:r>
        <w:t xml:space="preserve">  顶管始发井的后靠土体宜进行地基加固，加固宜采用水泥土搅拌桩、旋喷桩等形式。</w:t>
      </w:r>
    </w:p>
    <w:p>
      <w:r>
        <w:rPr>
          <w:b/>
        </w:rPr>
        <w:t>7.2.4</w:t>
      </w:r>
      <w:r>
        <w:t xml:space="preserve">  顶管出洞口加固若采用冻结加固方案时，应由专业设计单位进行专项设计</w:t>
      </w:r>
      <w:r>
        <w:rPr>
          <w:rFonts w:hint="eastAsia"/>
        </w:rPr>
        <w:t>；</w:t>
      </w:r>
      <w:r>
        <w:t>设计应包括结构设计、冻结工艺设计、解冻方式和冻胀融沉控制等内容。</w:t>
      </w:r>
    </w:p>
    <w:p>
      <w:r>
        <w:rPr>
          <w:b/>
        </w:rPr>
        <w:t xml:space="preserve">7.2.5  </w:t>
      </w:r>
      <w:r>
        <w:t>冷冻站的供冷量、冻结壁的温度控制、冻结管的拆除及封堵应符合冻</w:t>
      </w:r>
      <w:r>
        <w:rPr>
          <w:rFonts w:hint="eastAsia"/>
        </w:rPr>
        <w:t>结</w:t>
      </w:r>
      <w:r>
        <w:t>工艺要求。采用冻结加固方案时，宜采用融沉注浆等措施控制融沉效应，融沉注浆等应配合变形监测进行。</w:t>
      </w:r>
    </w:p>
    <w:bookmarkEnd w:id="400"/>
    <w:bookmarkEnd w:id="401"/>
    <w:p>
      <w:r>
        <w:rPr>
          <w:b/>
        </w:rPr>
        <w:t xml:space="preserve">7.2.6  </w:t>
      </w:r>
      <w:r>
        <w:t>工作井采用降水措施时应设置水位观测井。</w:t>
      </w:r>
    </w:p>
    <w:p>
      <w:r>
        <w:rPr>
          <w:b/>
        </w:rPr>
        <w:t xml:space="preserve">7.2.7  </w:t>
      </w:r>
      <w:r>
        <w:t>在含承压水的砂性土层中，顶管工作井宜采用降压措施。当周边环境保护要求高时，顶管机接收可采用水下进洞和钢套筒辅助进洞方式。</w:t>
      </w:r>
    </w:p>
    <w:p>
      <w:r>
        <w:rPr>
          <w:b/>
          <w:bCs/>
        </w:rPr>
        <w:t>7.2.8</w:t>
      </w:r>
      <w:r>
        <w:t xml:space="preserve">  工作井的顶部为软土时，应在洞口上方采取水平方向的加固</w:t>
      </w:r>
      <w:r>
        <w:rPr>
          <w:rFonts w:hint="eastAsia"/>
        </w:rPr>
        <w:t>措施</w:t>
      </w:r>
      <w:r>
        <w:t>。</w:t>
      </w:r>
    </w:p>
    <w:p>
      <w:pPr>
        <w:rPr>
          <w:rFonts w:eastAsiaTheme="minorEastAsia"/>
        </w:rPr>
      </w:pPr>
    </w:p>
    <w:p>
      <w:pPr>
        <w:pStyle w:val="3"/>
        <w:rPr>
          <w:rFonts w:eastAsia="黑体" w:cs="Times New Roman"/>
          <w:b w:val="0"/>
        </w:rPr>
      </w:pPr>
      <w:bookmarkStart w:id="403" w:name="_Toc18057059"/>
      <w:bookmarkStart w:id="404" w:name="_Toc26086"/>
      <w:bookmarkStart w:id="405" w:name="_Toc30752"/>
      <w:bookmarkStart w:id="406" w:name="_Toc47692172"/>
      <w:bookmarkStart w:id="407" w:name="_Toc17512"/>
      <w:bookmarkStart w:id="408" w:name="_Toc15565"/>
      <w:bookmarkStart w:id="409" w:name="_Toc60173800"/>
      <w:bookmarkStart w:id="410" w:name="_Toc3965"/>
      <w:bookmarkStart w:id="411" w:name="_Toc60172913"/>
      <w:bookmarkStart w:id="412" w:name="_Toc31993"/>
      <w:bookmarkStart w:id="413" w:name="_Toc2090"/>
      <w:r>
        <w:rPr>
          <w:rFonts w:eastAsia="黑体" w:cs="Times New Roman"/>
        </w:rPr>
        <w:t xml:space="preserve">7.3 </w:t>
      </w:r>
      <w:r>
        <w:rPr>
          <w:rFonts w:eastAsia="黑体" w:cs="Times New Roman"/>
          <w:b w:val="0"/>
        </w:rPr>
        <w:t xml:space="preserve"> 工作井质量控制</w:t>
      </w:r>
      <w:bookmarkEnd w:id="403"/>
      <w:bookmarkEnd w:id="404"/>
      <w:bookmarkEnd w:id="405"/>
      <w:bookmarkEnd w:id="406"/>
      <w:bookmarkEnd w:id="407"/>
      <w:bookmarkEnd w:id="408"/>
      <w:bookmarkEnd w:id="409"/>
      <w:bookmarkEnd w:id="410"/>
      <w:bookmarkEnd w:id="411"/>
      <w:bookmarkEnd w:id="412"/>
      <w:bookmarkEnd w:id="413"/>
    </w:p>
    <w:p>
      <w:pPr>
        <w:jc w:val="center"/>
        <w:rPr>
          <w:rFonts w:eastAsia="仿宋"/>
          <w:b/>
          <w:bCs/>
        </w:rPr>
      </w:pPr>
      <w:r>
        <w:rPr>
          <w:rFonts w:eastAsia="仿宋"/>
          <w:b/>
          <w:bCs/>
        </w:rPr>
        <w:t>Ⅰ  主控项目</w:t>
      </w:r>
    </w:p>
    <w:p>
      <w:r>
        <w:rPr>
          <w:b/>
          <w:bCs/>
        </w:rPr>
        <w:t xml:space="preserve">7.3.1  </w:t>
      </w:r>
      <w:r>
        <w:t>工作井的围护结构、井内结构施工的质量验收，应符合现行国家标准《建筑地基基础工程施工质量验收规范》GB 50202、《给水排水构筑物工程施工及验收规范》GB 50141、《沉井与气压沉箱施工规范》GB/T 5113</w:t>
      </w:r>
      <w:r>
        <w:rPr>
          <w:rFonts w:hint="eastAsia"/>
        </w:rPr>
        <w:t>和现行行业标准</w:t>
      </w:r>
      <w:r>
        <w:t>《建筑基坑支护技术规程》JGJ 120和《型钢水泥土搅拌墙技术规程》JGJ/T 199的有关规定。</w:t>
      </w:r>
    </w:p>
    <w:p>
      <w:r>
        <w:rPr>
          <w:b/>
          <w:bCs/>
        </w:rPr>
        <w:t xml:space="preserve">7.3.2  </w:t>
      </w:r>
      <w:r>
        <w:t>工作井的施工质量检验与验收应符合下列规定：</w:t>
      </w:r>
    </w:p>
    <w:p>
      <w:pPr>
        <w:ind w:firstLine="482" w:firstLineChars="200"/>
      </w:pPr>
      <w:r>
        <w:rPr>
          <w:b/>
          <w:bCs/>
        </w:rPr>
        <w:t xml:space="preserve">1  </w:t>
      </w:r>
      <w:r>
        <w:t>工作井原材料、成品、半成品的产品质量应符合相应产品的国家标准和设计文件的</w:t>
      </w:r>
      <w:r>
        <w:rPr>
          <w:rFonts w:hint="eastAsia"/>
        </w:rPr>
        <w:t>有关</w:t>
      </w:r>
      <w:r>
        <w:t>规定；</w:t>
      </w:r>
    </w:p>
    <w:p>
      <w:pPr>
        <w:ind w:firstLine="480" w:firstLineChars="200"/>
      </w:pPr>
      <w:r>
        <w:rPr>
          <w:rFonts w:hint="eastAsia"/>
        </w:rPr>
        <w:t>检验</w:t>
      </w:r>
      <w:r>
        <w:t>方法：检查产品质量合格证、出厂检验报告和进场复验报告。</w:t>
      </w:r>
    </w:p>
    <w:p>
      <w:pPr>
        <w:ind w:firstLine="480" w:firstLineChars="200"/>
      </w:pPr>
      <w:r>
        <w:t>检查数量：全数检查</w:t>
      </w:r>
      <w:r>
        <w:rPr>
          <w:rFonts w:hint="eastAsia"/>
        </w:rPr>
        <w:t>。</w:t>
      </w:r>
    </w:p>
    <w:p>
      <w:pPr>
        <w:ind w:firstLine="482" w:firstLineChars="200"/>
      </w:pPr>
      <w:r>
        <w:rPr>
          <w:b/>
          <w:bCs/>
        </w:rPr>
        <w:t>2</w:t>
      </w:r>
      <w:r>
        <w:t xml:space="preserve">  混凝土结构的抗压强度等级、抗渗等级应满足设计要求；</w:t>
      </w:r>
    </w:p>
    <w:p>
      <w:pPr>
        <w:ind w:firstLine="480" w:firstLineChars="200"/>
      </w:pPr>
      <w:r>
        <w:rPr>
          <w:rFonts w:hint="eastAsia"/>
        </w:rPr>
        <w:t>检验</w:t>
      </w:r>
      <w:r>
        <w:t>方法：检查混凝土浇筑记录，检查试块的抗压强度、抗渗试验报告。</w:t>
      </w:r>
    </w:p>
    <w:p>
      <w:pPr>
        <w:ind w:firstLine="480" w:firstLineChars="200"/>
      </w:pPr>
      <w:r>
        <w:t>检查数量：每根钻孔灌柱桩、每幅地下连续墙混凝土为一个</w:t>
      </w:r>
      <w:r>
        <w:rPr>
          <w:rFonts w:hint="eastAsia"/>
        </w:rPr>
        <w:t>检验批</w:t>
      </w:r>
      <w:r>
        <w:t>，抗压强度、抗渗试块应各留置一组；沉井及其他现浇结构的同一配合比混凝土，每工作班且每浇筑100m</w:t>
      </w:r>
      <w:r>
        <w:rPr>
          <w:vertAlign w:val="superscript"/>
        </w:rPr>
        <w:t>3</w:t>
      </w:r>
      <w:r>
        <w:t>为一个</w:t>
      </w:r>
      <w:r>
        <w:rPr>
          <w:rFonts w:hint="eastAsia"/>
        </w:rPr>
        <w:t>检验批</w:t>
      </w:r>
      <w:r>
        <w:t>，抗压强度试块留置不应少于l组；每浇筑500m</w:t>
      </w:r>
      <w:r>
        <w:rPr>
          <w:vertAlign w:val="superscript"/>
        </w:rPr>
        <w:t>3</w:t>
      </w:r>
      <w:r>
        <w:t>混凝土抗渗试块留置不应少于1组。</w:t>
      </w:r>
    </w:p>
    <w:p>
      <w:pPr>
        <w:ind w:firstLine="482" w:firstLineChars="200"/>
      </w:pPr>
      <w:r>
        <w:rPr>
          <w:b/>
          <w:bCs/>
        </w:rPr>
        <w:t>3</w:t>
      </w:r>
      <w:r>
        <w:t xml:space="preserve">  始发井的反力墙应坚实、平整；后座与井壁反力墙应紧贴；</w:t>
      </w:r>
    </w:p>
    <w:p>
      <w:pPr>
        <w:ind w:firstLine="480" w:firstLineChars="200"/>
      </w:pPr>
      <w:r>
        <w:rPr>
          <w:rFonts w:hint="eastAsia"/>
        </w:rPr>
        <w:t>检验</w:t>
      </w:r>
      <w:r>
        <w:t>方法：逐个观察；检查相关施工记录。</w:t>
      </w:r>
    </w:p>
    <w:p>
      <w:pPr>
        <w:ind w:firstLine="480" w:firstLineChars="200"/>
      </w:pPr>
      <w:r>
        <w:t>检查数量：全数检查</w:t>
      </w:r>
      <w:r>
        <w:rPr>
          <w:rFonts w:hint="eastAsia"/>
        </w:rPr>
        <w:t>。</w:t>
      </w:r>
    </w:p>
    <w:p>
      <w:pPr>
        <w:ind w:firstLine="482" w:firstLineChars="200"/>
      </w:pPr>
      <w:r>
        <w:rPr>
          <w:b/>
          <w:bCs/>
        </w:rPr>
        <w:t>4</w:t>
      </w:r>
      <w:r>
        <w:t xml:space="preserve">  两导轨应顺直、平行、等高，基座及导轨的夹角</w:t>
      </w:r>
      <w:r>
        <w:rPr>
          <w:rFonts w:hint="eastAsia"/>
        </w:rPr>
        <w:t>应根据管节的设计轴线和施工要求确定</w:t>
      </w:r>
      <w:r>
        <w:t>；导轨与基座连接应牢固可靠，不得在使用中产生位移。</w:t>
      </w:r>
    </w:p>
    <w:p>
      <w:pPr>
        <w:ind w:firstLine="480" w:firstLineChars="200"/>
      </w:pPr>
      <w:r>
        <w:rPr>
          <w:rFonts w:hint="eastAsia"/>
        </w:rPr>
        <w:t>检验</w:t>
      </w:r>
      <w:r>
        <w:t>方法：逐个观察、量测。</w:t>
      </w:r>
    </w:p>
    <w:p>
      <w:pPr>
        <w:ind w:firstLine="480" w:firstLineChars="200"/>
      </w:pPr>
      <w:r>
        <w:t>检查数量：全数检查</w:t>
      </w:r>
      <w:r>
        <w:rPr>
          <w:rFonts w:hint="eastAsia"/>
        </w:rPr>
        <w:t>。</w:t>
      </w:r>
    </w:p>
    <w:p>
      <w:pPr>
        <w:jc w:val="center"/>
        <w:rPr>
          <w:rFonts w:eastAsia="仿宋"/>
          <w:b/>
          <w:bCs/>
        </w:rPr>
      </w:pPr>
      <w:r>
        <w:rPr>
          <w:rFonts w:eastAsia="仿宋"/>
          <w:b/>
          <w:bCs/>
        </w:rPr>
        <w:t>Ⅱ  一般项目</w:t>
      </w:r>
    </w:p>
    <w:p>
      <w:r>
        <w:rPr>
          <w:b/>
          <w:bCs/>
        </w:rPr>
        <w:t xml:space="preserve">7.3.3  </w:t>
      </w:r>
      <w:r>
        <w:t>工作井施工的允许偏差应符合表7.3.3的规定。</w:t>
      </w:r>
    </w:p>
    <w:p>
      <w:pPr>
        <w:jc w:val="center"/>
        <w:rPr>
          <w:b/>
          <w:bCs/>
          <w:sz w:val="21"/>
          <w:szCs w:val="18"/>
        </w:rPr>
      </w:pPr>
      <w:r>
        <w:rPr>
          <w:b/>
          <w:bCs/>
          <w:sz w:val="21"/>
          <w:szCs w:val="18"/>
        </w:rPr>
        <w:t>表7.3.3  工作井施工的允许偏差</w:t>
      </w:r>
    </w:p>
    <w:tbl>
      <w:tblPr>
        <w:tblStyle w:val="47"/>
        <w:tblW w:w="8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
      <w:tblGrid>
        <w:gridCol w:w="442"/>
        <w:gridCol w:w="780"/>
        <w:gridCol w:w="973"/>
        <w:gridCol w:w="1364"/>
        <w:gridCol w:w="973"/>
        <w:gridCol w:w="584"/>
        <w:gridCol w:w="1604"/>
        <w:gridCol w:w="15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3559" w:type="dxa"/>
            <w:gridSpan w:val="4"/>
            <w:vMerge w:val="restart"/>
            <w:vAlign w:val="center"/>
          </w:tcPr>
          <w:p>
            <w:pPr>
              <w:spacing w:line="240" w:lineRule="auto"/>
              <w:jc w:val="center"/>
              <w:rPr>
                <w:rFonts w:eastAsiaTheme="minorEastAsia"/>
                <w:sz w:val="21"/>
              </w:rPr>
            </w:pPr>
            <w:r>
              <w:rPr>
                <w:rFonts w:eastAsiaTheme="minorEastAsia"/>
                <w:sz w:val="21"/>
              </w:rPr>
              <w:t>检查项目</w:t>
            </w:r>
          </w:p>
        </w:tc>
        <w:tc>
          <w:tcPr>
            <w:tcW w:w="973" w:type="dxa"/>
            <w:vMerge w:val="restart"/>
            <w:vAlign w:val="center"/>
          </w:tcPr>
          <w:p>
            <w:pPr>
              <w:spacing w:line="240" w:lineRule="auto"/>
              <w:jc w:val="center"/>
              <w:rPr>
                <w:rFonts w:eastAsiaTheme="minorEastAsia"/>
                <w:sz w:val="21"/>
              </w:rPr>
            </w:pPr>
            <w:r>
              <w:rPr>
                <w:rFonts w:eastAsiaTheme="minorEastAsia"/>
                <w:sz w:val="21"/>
              </w:rPr>
              <w:t>允许偏差（mm）</w:t>
            </w:r>
          </w:p>
        </w:tc>
        <w:tc>
          <w:tcPr>
            <w:tcW w:w="2188" w:type="dxa"/>
            <w:gridSpan w:val="2"/>
            <w:vAlign w:val="center"/>
          </w:tcPr>
          <w:p>
            <w:pPr>
              <w:spacing w:line="240" w:lineRule="auto"/>
              <w:jc w:val="center"/>
              <w:rPr>
                <w:rFonts w:eastAsiaTheme="minorEastAsia"/>
                <w:sz w:val="21"/>
              </w:rPr>
            </w:pPr>
            <w:r>
              <w:rPr>
                <w:rFonts w:eastAsiaTheme="minorEastAsia"/>
                <w:sz w:val="21"/>
              </w:rPr>
              <w:t>检查数量</w:t>
            </w:r>
          </w:p>
        </w:tc>
        <w:tc>
          <w:tcPr>
            <w:tcW w:w="1556" w:type="dxa"/>
            <w:vMerge w:val="restart"/>
            <w:vAlign w:val="center"/>
          </w:tcPr>
          <w:p>
            <w:pPr>
              <w:spacing w:line="240" w:lineRule="auto"/>
              <w:jc w:val="center"/>
              <w:rPr>
                <w:rFonts w:eastAsiaTheme="minorEastAsia"/>
                <w:sz w:val="21"/>
              </w:rPr>
            </w:pPr>
            <w:r>
              <w:rPr>
                <w:rFonts w:eastAsiaTheme="minorEastAsia"/>
                <w:sz w:val="21"/>
              </w:rPr>
              <w:t>检查方法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3559" w:type="dxa"/>
            <w:gridSpan w:val="4"/>
            <w:vMerge w:val="continue"/>
            <w:vAlign w:val="center"/>
          </w:tcPr>
          <w:p>
            <w:pPr>
              <w:spacing w:line="240" w:lineRule="auto"/>
              <w:jc w:val="center"/>
              <w:rPr>
                <w:rFonts w:eastAsiaTheme="minorEastAsia"/>
                <w:sz w:val="21"/>
              </w:rPr>
            </w:pPr>
          </w:p>
        </w:tc>
        <w:tc>
          <w:tcPr>
            <w:tcW w:w="973" w:type="dxa"/>
            <w:vMerge w:val="continue"/>
            <w:vAlign w:val="center"/>
          </w:tcPr>
          <w:p>
            <w:pPr>
              <w:spacing w:line="240" w:lineRule="auto"/>
              <w:jc w:val="center"/>
              <w:rPr>
                <w:rFonts w:eastAsiaTheme="minorEastAsia"/>
                <w:sz w:val="21"/>
              </w:rPr>
            </w:pPr>
          </w:p>
        </w:tc>
        <w:tc>
          <w:tcPr>
            <w:tcW w:w="584" w:type="dxa"/>
            <w:vAlign w:val="center"/>
          </w:tcPr>
          <w:p>
            <w:pPr>
              <w:spacing w:line="240" w:lineRule="auto"/>
              <w:jc w:val="center"/>
              <w:rPr>
                <w:rFonts w:eastAsiaTheme="minorEastAsia"/>
                <w:sz w:val="21"/>
              </w:rPr>
            </w:pPr>
            <w:r>
              <w:rPr>
                <w:rFonts w:eastAsiaTheme="minorEastAsia"/>
                <w:sz w:val="21"/>
              </w:rPr>
              <w:t>范围</w:t>
            </w:r>
          </w:p>
        </w:tc>
        <w:tc>
          <w:tcPr>
            <w:tcW w:w="1604" w:type="dxa"/>
            <w:vAlign w:val="center"/>
          </w:tcPr>
          <w:p>
            <w:pPr>
              <w:spacing w:line="240" w:lineRule="auto"/>
              <w:jc w:val="center"/>
              <w:rPr>
                <w:rFonts w:eastAsiaTheme="minorEastAsia"/>
                <w:sz w:val="21"/>
              </w:rPr>
            </w:pPr>
            <w:r>
              <w:rPr>
                <w:rFonts w:eastAsiaTheme="minorEastAsia"/>
                <w:sz w:val="21"/>
              </w:rPr>
              <w:t>点  数</w:t>
            </w:r>
          </w:p>
        </w:tc>
        <w:tc>
          <w:tcPr>
            <w:tcW w:w="1556" w:type="dxa"/>
            <w:vMerge w:val="continue"/>
            <w:vAlign w:val="center"/>
          </w:tcPr>
          <w:p>
            <w:pPr>
              <w:spacing w:line="240" w:lineRule="auto"/>
              <w:jc w:val="center"/>
              <w:rPr>
                <w:rFonts w:eastAsiaTheme="minorEastAsia"/>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442" w:type="dxa"/>
            <w:vMerge w:val="restart"/>
            <w:vAlign w:val="center"/>
          </w:tcPr>
          <w:p>
            <w:pPr>
              <w:spacing w:line="240" w:lineRule="auto"/>
              <w:jc w:val="center"/>
              <w:rPr>
                <w:rFonts w:eastAsiaTheme="minorEastAsia"/>
                <w:sz w:val="21"/>
              </w:rPr>
            </w:pPr>
            <w:r>
              <w:rPr>
                <w:rFonts w:eastAsiaTheme="minorEastAsia"/>
                <w:sz w:val="21"/>
              </w:rPr>
              <w:t>1</w:t>
            </w:r>
          </w:p>
        </w:tc>
        <w:tc>
          <w:tcPr>
            <w:tcW w:w="780" w:type="dxa"/>
            <w:vMerge w:val="restart"/>
            <w:vAlign w:val="center"/>
          </w:tcPr>
          <w:p>
            <w:pPr>
              <w:spacing w:line="240" w:lineRule="auto"/>
              <w:jc w:val="center"/>
              <w:rPr>
                <w:rFonts w:eastAsiaTheme="minorEastAsia"/>
                <w:sz w:val="21"/>
              </w:rPr>
            </w:pPr>
            <w:r>
              <w:rPr>
                <w:rFonts w:eastAsiaTheme="minorEastAsia"/>
                <w:sz w:val="21"/>
              </w:rPr>
              <w:t>井内导轨安装</w:t>
            </w:r>
          </w:p>
        </w:tc>
        <w:tc>
          <w:tcPr>
            <w:tcW w:w="2337" w:type="dxa"/>
            <w:gridSpan w:val="2"/>
            <w:vAlign w:val="center"/>
          </w:tcPr>
          <w:p>
            <w:pPr>
              <w:spacing w:line="240" w:lineRule="auto"/>
              <w:jc w:val="center"/>
              <w:rPr>
                <w:rFonts w:eastAsiaTheme="minorEastAsia"/>
                <w:sz w:val="21"/>
              </w:rPr>
            </w:pPr>
            <w:r>
              <w:rPr>
                <w:rFonts w:eastAsiaTheme="minorEastAsia"/>
                <w:sz w:val="21"/>
              </w:rPr>
              <w:t>顶面高程</w:t>
            </w:r>
          </w:p>
        </w:tc>
        <w:tc>
          <w:tcPr>
            <w:tcW w:w="973" w:type="dxa"/>
            <w:vAlign w:val="center"/>
          </w:tcPr>
          <w:p>
            <w:pPr>
              <w:spacing w:line="240" w:lineRule="auto"/>
              <w:jc w:val="center"/>
              <w:rPr>
                <w:rFonts w:eastAsiaTheme="minorEastAsia"/>
                <w:sz w:val="21"/>
              </w:rPr>
            </w:pPr>
            <w:r>
              <w:rPr>
                <w:rFonts w:eastAsiaTheme="minorEastAsia"/>
                <w:sz w:val="21"/>
              </w:rPr>
              <w:t>＋3.0</w:t>
            </w:r>
          </w:p>
        </w:tc>
        <w:tc>
          <w:tcPr>
            <w:tcW w:w="584" w:type="dxa"/>
            <w:vMerge w:val="restart"/>
            <w:vAlign w:val="center"/>
          </w:tcPr>
          <w:p>
            <w:pPr>
              <w:spacing w:line="240" w:lineRule="auto"/>
              <w:jc w:val="center"/>
              <w:rPr>
                <w:rFonts w:eastAsiaTheme="minorEastAsia"/>
                <w:sz w:val="21"/>
              </w:rPr>
            </w:pPr>
            <w:r>
              <w:rPr>
                <w:rFonts w:eastAsiaTheme="minorEastAsia"/>
                <w:sz w:val="21"/>
              </w:rPr>
              <w:t>每座</w:t>
            </w:r>
          </w:p>
        </w:tc>
        <w:tc>
          <w:tcPr>
            <w:tcW w:w="1604" w:type="dxa"/>
            <w:vAlign w:val="center"/>
          </w:tcPr>
          <w:p>
            <w:pPr>
              <w:spacing w:line="240" w:lineRule="auto"/>
              <w:jc w:val="center"/>
              <w:rPr>
                <w:rFonts w:eastAsiaTheme="minorEastAsia"/>
                <w:sz w:val="21"/>
              </w:rPr>
            </w:pPr>
            <w:r>
              <w:rPr>
                <w:rFonts w:eastAsiaTheme="minorEastAsia"/>
                <w:sz w:val="21"/>
              </w:rPr>
              <w:t>每根导轨2点</w:t>
            </w:r>
          </w:p>
        </w:tc>
        <w:tc>
          <w:tcPr>
            <w:tcW w:w="1556" w:type="dxa"/>
            <w:vAlign w:val="center"/>
          </w:tcPr>
          <w:p>
            <w:pPr>
              <w:spacing w:line="240" w:lineRule="auto"/>
              <w:jc w:val="center"/>
              <w:rPr>
                <w:rFonts w:eastAsiaTheme="minorEastAsia"/>
                <w:sz w:val="21"/>
              </w:rPr>
            </w:pPr>
            <w:r>
              <w:rPr>
                <w:rFonts w:eastAsiaTheme="minorEastAsia"/>
                <w:sz w:val="21"/>
              </w:rPr>
              <w:t>用水准仪测量、</w:t>
            </w:r>
          </w:p>
          <w:p>
            <w:pPr>
              <w:spacing w:line="240" w:lineRule="auto"/>
              <w:jc w:val="center"/>
              <w:rPr>
                <w:rFonts w:eastAsiaTheme="minorEastAsia"/>
                <w:sz w:val="21"/>
              </w:rPr>
            </w:pPr>
            <w:r>
              <w:rPr>
                <w:rFonts w:eastAsiaTheme="minorEastAsia"/>
                <w:sz w:val="21"/>
              </w:rPr>
              <w:t>水平尺量测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442" w:type="dxa"/>
            <w:vMerge w:val="continue"/>
            <w:vAlign w:val="center"/>
          </w:tcPr>
          <w:p>
            <w:pPr>
              <w:spacing w:line="240" w:lineRule="auto"/>
              <w:jc w:val="center"/>
              <w:rPr>
                <w:rFonts w:eastAsiaTheme="minorEastAsia"/>
                <w:sz w:val="21"/>
              </w:rPr>
            </w:pPr>
          </w:p>
        </w:tc>
        <w:tc>
          <w:tcPr>
            <w:tcW w:w="780" w:type="dxa"/>
            <w:vMerge w:val="continue"/>
            <w:vAlign w:val="center"/>
          </w:tcPr>
          <w:p>
            <w:pPr>
              <w:spacing w:line="240" w:lineRule="auto"/>
              <w:jc w:val="center"/>
              <w:rPr>
                <w:rFonts w:eastAsiaTheme="minorEastAsia"/>
                <w:sz w:val="21"/>
              </w:rPr>
            </w:pPr>
          </w:p>
        </w:tc>
        <w:tc>
          <w:tcPr>
            <w:tcW w:w="2337" w:type="dxa"/>
            <w:gridSpan w:val="2"/>
            <w:vAlign w:val="center"/>
          </w:tcPr>
          <w:p>
            <w:pPr>
              <w:spacing w:line="240" w:lineRule="auto"/>
              <w:jc w:val="center"/>
              <w:rPr>
                <w:rFonts w:eastAsiaTheme="minorEastAsia"/>
                <w:sz w:val="21"/>
              </w:rPr>
            </w:pPr>
            <w:r>
              <w:rPr>
                <w:rFonts w:eastAsiaTheme="minorEastAsia"/>
                <w:sz w:val="21"/>
              </w:rPr>
              <w:t>中心水平位置</w:t>
            </w:r>
          </w:p>
        </w:tc>
        <w:tc>
          <w:tcPr>
            <w:tcW w:w="973" w:type="dxa"/>
            <w:vAlign w:val="center"/>
          </w:tcPr>
          <w:p>
            <w:pPr>
              <w:spacing w:line="240" w:lineRule="auto"/>
              <w:jc w:val="center"/>
              <w:rPr>
                <w:rFonts w:eastAsiaTheme="minorEastAsia"/>
                <w:sz w:val="21"/>
              </w:rPr>
            </w:pPr>
            <w:r>
              <w:rPr>
                <w:rFonts w:eastAsiaTheme="minorEastAsia"/>
                <w:sz w:val="21"/>
              </w:rPr>
              <w:t>3</w:t>
            </w:r>
          </w:p>
        </w:tc>
        <w:tc>
          <w:tcPr>
            <w:tcW w:w="584" w:type="dxa"/>
            <w:vMerge w:val="continue"/>
            <w:vAlign w:val="center"/>
          </w:tcPr>
          <w:p>
            <w:pPr>
              <w:spacing w:line="240" w:lineRule="auto"/>
              <w:jc w:val="center"/>
              <w:rPr>
                <w:rFonts w:eastAsiaTheme="minorEastAsia"/>
                <w:sz w:val="21"/>
              </w:rPr>
            </w:pPr>
          </w:p>
        </w:tc>
        <w:tc>
          <w:tcPr>
            <w:tcW w:w="1604" w:type="dxa"/>
            <w:vAlign w:val="center"/>
          </w:tcPr>
          <w:p>
            <w:pPr>
              <w:spacing w:line="240" w:lineRule="auto"/>
              <w:jc w:val="center"/>
              <w:rPr>
                <w:rFonts w:eastAsiaTheme="minorEastAsia"/>
                <w:sz w:val="21"/>
              </w:rPr>
            </w:pPr>
            <w:r>
              <w:rPr>
                <w:rFonts w:eastAsiaTheme="minorEastAsia"/>
                <w:sz w:val="21"/>
              </w:rPr>
              <w:t>每根导轨2点</w:t>
            </w:r>
          </w:p>
        </w:tc>
        <w:tc>
          <w:tcPr>
            <w:tcW w:w="1556" w:type="dxa"/>
            <w:vAlign w:val="center"/>
          </w:tcPr>
          <w:p>
            <w:pPr>
              <w:spacing w:line="240" w:lineRule="auto"/>
              <w:jc w:val="center"/>
              <w:rPr>
                <w:rFonts w:eastAsiaTheme="minorEastAsia"/>
                <w:sz w:val="21"/>
              </w:rPr>
            </w:pPr>
            <w:r>
              <w:rPr>
                <w:rFonts w:eastAsiaTheme="minorEastAsia"/>
                <w:sz w:val="21"/>
              </w:rPr>
              <w:t>用经纬仪测量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442" w:type="dxa"/>
            <w:vAlign w:val="center"/>
          </w:tcPr>
          <w:p>
            <w:pPr>
              <w:spacing w:line="240" w:lineRule="auto"/>
              <w:jc w:val="center"/>
              <w:rPr>
                <w:rFonts w:eastAsiaTheme="minorEastAsia"/>
                <w:sz w:val="21"/>
              </w:rPr>
            </w:pPr>
            <w:r>
              <w:rPr>
                <w:rFonts w:eastAsiaTheme="minorEastAsia"/>
                <w:sz w:val="21"/>
              </w:rPr>
              <w:t>2</w:t>
            </w:r>
          </w:p>
        </w:tc>
        <w:tc>
          <w:tcPr>
            <w:tcW w:w="780" w:type="dxa"/>
            <w:vAlign w:val="center"/>
          </w:tcPr>
          <w:p>
            <w:pPr>
              <w:spacing w:line="240" w:lineRule="auto"/>
              <w:jc w:val="center"/>
              <w:rPr>
                <w:rFonts w:eastAsiaTheme="minorEastAsia"/>
                <w:sz w:val="21"/>
              </w:rPr>
            </w:pPr>
            <w:r>
              <w:rPr>
                <w:rFonts w:eastAsiaTheme="minorEastAsia"/>
                <w:sz w:val="21"/>
              </w:rPr>
              <w:t>井尺寸</w:t>
            </w:r>
          </w:p>
        </w:tc>
        <w:tc>
          <w:tcPr>
            <w:tcW w:w="973" w:type="dxa"/>
            <w:vAlign w:val="center"/>
          </w:tcPr>
          <w:p>
            <w:pPr>
              <w:spacing w:line="240" w:lineRule="auto"/>
              <w:jc w:val="center"/>
              <w:rPr>
                <w:rFonts w:eastAsiaTheme="minorEastAsia"/>
                <w:sz w:val="21"/>
              </w:rPr>
            </w:pPr>
            <w:r>
              <w:rPr>
                <w:rFonts w:eastAsiaTheme="minorEastAsia"/>
                <w:sz w:val="21"/>
              </w:rPr>
              <w:t>矩形</w:t>
            </w:r>
          </w:p>
        </w:tc>
        <w:tc>
          <w:tcPr>
            <w:tcW w:w="1364" w:type="dxa"/>
            <w:vAlign w:val="center"/>
          </w:tcPr>
          <w:p>
            <w:pPr>
              <w:spacing w:line="240" w:lineRule="auto"/>
              <w:jc w:val="center"/>
              <w:rPr>
                <w:rFonts w:eastAsiaTheme="minorEastAsia"/>
                <w:sz w:val="21"/>
              </w:rPr>
            </w:pPr>
            <w:r>
              <w:rPr>
                <w:rFonts w:eastAsiaTheme="minorEastAsia"/>
                <w:sz w:val="21"/>
              </w:rPr>
              <w:t>每侧长、宽</w:t>
            </w:r>
          </w:p>
        </w:tc>
        <w:tc>
          <w:tcPr>
            <w:tcW w:w="973" w:type="dxa"/>
            <w:vAlign w:val="center"/>
          </w:tcPr>
          <w:p>
            <w:pPr>
              <w:spacing w:line="240" w:lineRule="auto"/>
              <w:jc w:val="center"/>
              <w:rPr>
                <w:rFonts w:eastAsiaTheme="minorEastAsia"/>
                <w:sz w:val="21"/>
              </w:rPr>
            </w:pPr>
            <w:r>
              <w:rPr>
                <w:rFonts w:eastAsiaTheme="minorEastAsia"/>
                <w:sz w:val="21"/>
              </w:rPr>
              <w:t>不小于设</w:t>
            </w:r>
          </w:p>
          <w:p>
            <w:pPr>
              <w:spacing w:line="240" w:lineRule="auto"/>
              <w:jc w:val="center"/>
              <w:rPr>
                <w:rFonts w:eastAsiaTheme="minorEastAsia"/>
                <w:sz w:val="21"/>
              </w:rPr>
            </w:pPr>
            <w:r>
              <w:rPr>
                <w:rFonts w:eastAsiaTheme="minorEastAsia"/>
                <w:sz w:val="21"/>
              </w:rPr>
              <w:t>计要求</w:t>
            </w:r>
          </w:p>
        </w:tc>
        <w:tc>
          <w:tcPr>
            <w:tcW w:w="584" w:type="dxa"/>
            <w:vAlign w:val="center"/>
          </w:tcPr>
          <w:p>
            <w:pPr>
              <w:spacing w:line="240" w:lineRule="auto"/>
              <w:jc w:val="center"/>
              <w:rPr>
                <w:rFonts w:eastAsiaTheme="minorEastAsia"/>
                <w:sz w:val="21"/>
              </w:rPr>
            </w:pPr>
            <w:r>
              <w:rPr>
                <w:rFonts w:eastAsiaTheme="minorEastAsia"/>
                <w:sz w:val="21"/>
              </w:rPr>
              <w:t>每座</w:t>
            </w:r>
          </w:p>
        </w:tc>
        <w:tc>
          <w:tcPr>
            <w:tcW w:w="1604" w:type="dxa"/>
            <w:vAlign w:val="center"/>
          </w:tcPr>
          <w:p>
            <w:pPr>
              <w:spacing w:line="240" w:lineRule="auto"/>
              <w:jc w:val="center"/>
              <w:rPr>
                <w:rFonts w:eastAsiaTheme="minorEastAsia"/>
                <w:sz w:val="21"/>
              </w:rPr>
            </w:pPr>
            <w:r>
              <w:rPr>
                <w:rFonts w:eastAsiaTheme="minorEastAsia"/>
                <w:sz w:val="21"/>
              </w:rPr>
              <w:t>2点</w:t>
            </w:r>
          </w:p>
        </w:tc>
        <w:tc>
          <w:tcPr>
            <w:tcW w:w="1556" w:type="dxa"/>
            <w:vAlign w:val="center"/>
          </w:tcPr>
          <w:p>
            <w:pPr>
              <w:spacing w:line="240" w:lineRule="auto"/>
              <w:jc w:val="center"/>
              <w:rPr>
                <w:rFonts w:eastAsiaTheme="minorEastAsia"/>
                <w:sz w:val="21"/>
              </w:rPr>
            </w:pPr>
            <w:r>
              <w:rPr>
                <w:rFonts w:eastAsiaTheme="minorEastAsia"/>
                <w:sz w:val="21"/>
              </w:rPr>
              <w:t>挂中线用尺量测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442" w:type="dxa"/>
            <w:vMerge w:val="restart"/>
            <w:vAlign w:val="center"/>
          </w:tcPr>
          <w:p>
            <w:pPr>
              <w:spacing w:line="240" w:lineRule="auto"/>
              <w:jc w:val="center"/>
              <w:rPr>
                <w:rFonts w:eastAsiaTheme="minorEastAsia"/>
                <w:sz w:val="21"/>
              </w:rPr>
            </w:pPr>
            <w:r>
              <w:rPr>
                <w:rFonts w:eastAsiaTheme="minorEastAsia"/>
                <w:sz w:val="21"/>
              </w:rPr>
              <w:t>3</w:t>
            </w:r>
          </w:p>
        </w:tc>
        <w:tc>
          <w:tcPr>
            <w:tcW w:w="1753" w:type="dxa"/>
            <w:gridSpan w:val="2"/>
            <w:vMerge w:val="restart"/>
            <w:vAlign w:val="center"/>
          </w:tcPr>
          <w:p>
            <w:pPr>
              <w:spacing w:line="240" w:lineRule="auto"/>
              <w:jc w:val="center"/>
              <w:rPr>
                <w:rFonts w:eastAsiaTheme="minorEastAsia"/>
                <w:sz w:val="21"/>
              </w:rPr>
            </w:pPr>
            <w:r>
              <w:rPr>
                <w:rFonts w:eastAsiaTheme="minorEastAsia"/>
                <w:sz w:val="21"/>
              </w:rPr>
              <w:t>进、出井预留洞口</w:t>
            </w:r>
          </w:p>
        </w:tc>
        <w:tc>
          <w:tcPr>
            <w:tcW w:w="1364" w:type="dxa"/>
            <w:vAlign w:val="center"/>
          </w:tcPr>
          <w:p>
            <w:pPr>
              <w:spacing w:line="240" w:lineRule="auto"/>
              <w:jc w:val="center"/>
              <w:rPr>
                <w:rFonts w:eastAsiaTheme="minorEastAsia"/>
                <w:sz w:val="21"/>
              </w:rPr>
            </w:pPr>
            <w:r>
              <w:rPr>
                <w:rFonts w:eastAsiaTheme="minorEastAsia"/>
                <w:sz w:val="21"/>
              </w:rPr>
              <w:t>中心位置</w:t>
            </w:r>
          </w:p>
        </w:tc>
        <w:tc>
          <w:tcPr>
            <w:tcW w:w="973" w:type="dxa"/>
            <w:vAlign w:val="center"/>
          </w:tcPr>
          <w:p>
            <w:pPr>
              <w:spacing w:line="240" w:lineRule="auto"/>
              <w:jc w:val="center"/>
              <w:rPr>
                <w:rFonts w:eastAsiaTheme="minorEastAsia"/>
                <w:sz w:val="21"/>
              </w:rPr>
            </w:pPr>
            <w:r>
              <w:rPr>
                <w:rFonts w:eastAsiaTheme="minorEastAsia"/>
                <w:sz w:val="21"/>
              </w:rPr>
              <w:t>20</w:t>
            </w:r>
          </w:p>
        </w:tc>
        <w:tc>
          <w:tcPr>
            <w:tcW w:w="584" w:type="dxa"/>
            <w:vMerge w:val="restart"/>
            <w:vAlign w:val="center"/>
          </w:tcPr>
          <w:p>
            <w:pPr>
              <w:spacing w:line="240" w:lineRule="auto"/>
              <w:jc w:val="center"/>
              <w:rPr>
                <w:rFonts w:eastAsiaTheme="minorEastAsia"/>
                <w:sz w:val="21"/>
              </w:rPr>
            </w:pPr>
            <w:r>
              <w:rPr>
                <w:rFonts w:eastAsiaTheme="minorEastAsia"/>
                <w:sz w:val="21"/>
              </w:rPr>
              <w:t>每个</w:t>
            </w:r>
          </w:p>
        </w:tc>
        <w:tc>
          <w:tcPr>
            <w:tcW w:w="1604" w:type="dxa"/>
            <w:vAlign w:val="center"/>
          </w:tcPr>
          <w:p>
            <w:pPr>
              <w:spacing w:line="240" w:lineRule="auto"/>
              <w:jc w:val="center"/>
              <w:rPr>
                <w:rFonts w:eastAsiaTheme="minorEastAsia"/>
                <w:sz w:val="21"/>
              </w:rPr>
            </w:pPr>
            <w:r>
              <w:rPr>
                <w:rFonts w:eastAsiaTheme="minorEastAsia"/>
                <w:sz w:val="21"/>
              </w:rPr>
              <w:t>竖、水平各l点</w:t>
            </w:r>
          </w:p>
        </w:tc>
        <w:tc>
          <w:tcPr>
            <w:tcW w:w="1556" w:type="dxa"/>
            <w:vAlign w:val="center"/>
          </w:tcPr>
          <w:p>
            <w:pPr>
              <w:spacing w:line="240" w:lineRule="auto"/>
              <w:jc w:val="center"/>
              <w:rPr>
                <w:rFonts w:eastAsiaTheme="minorEastAsia"/>
                <w:sz w:val="21"/>
              </w:rPr>
            </w:pPr>
            <w:r>
              <w:rPr>
                <w:rFonts w:eastAsiaTheme="minorEastAsia"/>
                <w:sz w:val="21"/>
              </w:rPr>
              <w:t>用经纬仪测量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442" w:type="dxa"/>
            <w:vMerge w:val="continue"/>
            <w:vAlign w:val="center"/>
          </w:tcPr>
          <w:p>
            <w:pPr>
              <w:spacing w:line="240" w:lineRule="auto"/>
              <w:jc w:val="center"/>
              <w:rPr>
                <w:rFonts w:eastAsiaTheme="minorEastAsia"/>
                <w:sz w:val="21"/>
              </w:rPr>
            </w:pPr>
          </w:p>
        </w:tc>
        <w:tc>
          <w:tcPr>
            <w:tcW w:w="1753" w:type="dxa"/>
            <w:gridSpan w:val="2"/>
            <w:vMerge w:val="continue"/>
            <w:vAlign w:val="center"/>
          </w:tcPr>
          <w:p>
            <w:pPr>
              <w:spacing w:line="240" w:lineRule="auto"/>
              <w:jc w:val="center"/>
              <w:rPr>
                <w:rFonts w:eastAsiaTheme="minorEastAsia"/>
                <w:sz w:val="21"/>
              </w:rPr>
            </w:pPr>
          </w:p>
        </w:tc>
        <w:tc>
          <w:tcPr>
            <w:tcW w:w="1364" w:type="dxa"/>
            <w:vAlign w:val="center"/>
          </w:tcPr>
          <w:p>
            <w:pPr>
              <w:spacing w:line="240" w:lineRule="auto"/>
              <w:jc w:val="center"/>
              <w:rPr>
                <w:rFonts w:eastAsiaTheme="minorEastAsia"/>
                <w:sz w:val="21"/>
              </w:rPr>
            </w:pPr>
            <w:r>
              <w:rPr>
                <w:rFonts w:eastAsiaTheme="minorEastAsia"/>
                <w:sz w:val="21"/>
              </w:rPr>
              <w:t>宽、高尺寸</w:t>
            </w:r>
          </w:p>
        </w:tc>
        <w:tc>
          <w:tcPr>
            <w:tcW w:w="973" w:type="dxa"/>
            <w:vAlign w:val="center"/>
          </w:tcPr>
          <w:p>
            <w:pPr>
              <w:spacing w:line="240" w:lineRule="auto"/>
              <w:jc w:val="center"/>
              <w:rPr>
                <w:rFonts w:eastAsiaTheme="minorEastAsia"/>
                <w:sz w:val="21"/>
              </w:rPr>
            </w:pPr>
            <w:r>
              <w:rPr>
                <w:rFonts w:eastAsiaTheme="minorEastAsia"/>
                <w:sz w:val="21"/>
              </w:rPr>
              <w:t>±20</w:t>
            </w:r>
          </w:p>
        </w:tc>
        <w:tc>
          <w:tcPr>
            <w:tcW w:w="584" w:type="dxa"/>
            <w:vMerge w:val="continue"/>
            <w:vAlign w:val="center"/>
          </w:tcPr>
          <w:p>
            <w:pPr>
              <w:spacing w:line="240" w:lineRule="auto"/>
              <w:jc w:val="center"/>
              <w:rPr>
                <w:rFonts w:eastAsiaTheme="minorEastAsia"/>
                <w:sz w:val="21"/>
              </w:rPr>
            </w:pPr>
          </w:p>
        </w:tc>
        <w:tc>
          <w:tcPr>
            <w:tcW w:w="1604" w:type="dxa"/>
            <w:vAlign w:val="center"/>
          </w:tcPr>
          <w:p>
            <w:pPr>
              <w:spacing w:line="240" w:lineRule="auto"/>
              <w:jc w:val="center"/>
              <w:rPr>
                <w:rFonts w:eastAsiaTheme="minorEastAsia"/>
                <w:sz w:val="21"/>
              </w:rPr>
            </w:pPr>
            <w:r>
              <w:rPr>
                <w:rFonts w:eastAsiaTheme="minorEastAsia"/>
                <w:sz w:val="21"/>
              </w:rPr>
              <w:t>垂直向各1点</w:t>
            </w:r>
          </w:p>
        </w:tc>
        <w:tc>
          <w:tcPr>
            <w:tcW w:w="1556" w:type="dxa"/>
            <w:vAlign w:val="center"/>
          </w:tcPr>
          <w:p>
            <w:pPr>
              <w:spacing w:line="240" w:lineRule="auto"/>
              <w:jc w:val="center"/>
              <w:rPr>
                <w:rFonts w:eastAsiaTheme="minorEastAsia"/>
                <w:sz w:val="21"/>
              </w:rPr>
            </w:pPr>
            <w:r>
              <w:rPr>
                <w:rFonts w:eastAsiaTheme="minorEastAsia"/>
                <w:sz w:val="21"/>
              </w:rPr>
              <w:t>用钢尺量测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442" w:type="dxa"/>
            <w:vAlign w:val="center"/>
          </w:tcPr>
          <w:p>
            <w:pPr>
              <w:spacing w:line="240" w:lineRule="auto"/>
              <w:jc w:val="center"/>
              <w:rPr>
                <w:rFonts w:eastAsiaTheme="minorEastAsia"/>
                <w:sz w:val="21"/>
              </w:rPr>
            </w:pPr>
            <w:r>
              <w:rPr>
                <w:rFonts w:eastAsiaTheme="minorEastAsia"/>
                <w:sz w:val="21"/>
              </w:rPr>
              <w:t>4</w:t>
            </w:r>
          </w:p>
        </w:tc>
        <w:tc>
          <w:tcPr>
            <w:tcW w:w="3117" w:type="dxa"/>
            <w:gridSpan w:val="3"/>
            <w:vAlign w:val="center"/>
          </w:tcPr>
          <w:p>
            <w:pPr>
              <w:spacing w:line="240" w:lineRule="auto"/>
              <w:jc w:val="center"/>
              <w:rPr>
                <w:rFonts w:eastAsiaTheme="minorEastAsia"/>
                <w:sz w:val="21"/>
              </w:rPr>
            </w:pPr>
            <w:r>
              <w:rPr>
                <w:rFonts w:eastAsiaTheme="minorEastAsia"/>
                <w:sz w:val="21"/>
              </w:rPr>
              <w:t>井底板高程</w:t>
            </w:r>
          </w:p>
        </w:tc>
        <w:tc>
          <w:tcPr>
            <w:tcW w:w="973" w:type="dxa"/>
            <w:vAlign w:val="center"/>
          </w:tcPr>
          <w:p>
            <w:pPr>
              <w:spacing w:line="240" w:lineRule="auto"/>
              <w:jc w:val="center"/>
              <w:rPr>
                <w:rFonts w:eastAsiaTheme="minorEastAsia"/>
                <w:sz w:val="21"/>
              </w:rPr>
            </w:pPr>
            <w:r>
              <w:rPr>
                <w:rFonts w:eastAsiaTheme="minorEastAsia"/>
                <w:sz w:val="21"/>
              </w:rPr>
              <w:t>±30</w:t>
            </w:r>
          </w:p>
        </w:tc>
        <w:tc>
          <w:tcPr>
            <w:tcW w:w="584" w:type="dxa"/>
            <w:vAlign w:val="center"/>
          </w:tcPr>
          <w:p>
            <w:pPr>
              <w:spacing w:line="240" w:lineRule="auto"/>
              <w:jc w:val="center"/>
              <w:rPr>
                <w:rFonts w:eastAsiaTheme="minorEastAsia"/>
                <w:sz w:val="21"/>
              </w:rPr>
            </w:pPr>
            <w:r>
              <w:rPr>
                <w:rFonts w:eastAsiaTheme="minorEastAsia"/>
                <w:sz w:val="21"/>
              </w:rPr>
              <w:t>每座</w:t>
            </w:r>
          </w:p>
        </w:tc>
        <w:tc>
          <w:tcPr>
            <w:tcW w:w="1604" w:type="dxa"/>
            <w:vAlign w:val="center"/>
          </w:tcPr>
          <w:p>
            <w:pPr>
              <w:spacing w:line="240" w:lineRule="auto"/>
              <w:jc w:val="center"/>
              <w:rPr>
                <w:rFonts w:eastAsiaTheme="minorEastAsia"/>
                <w:sz w:val="21"/>
              </w:rPr>
            </w:pPr>
            <w:r>
              <w:rPr>
                <w:rFonts w:eastAsiaTheme="minorEastAsia"/>
                <w:sz w:val="21"/>
              </w:rPr>
              <w:t>4点</w:t>
            </w:r>
          </w:p>
        </w:tc>
        <w:tc>
          <w:tcPr>
            <w:tcW w:w="1556" w:type="dxa"/>
            <w:vAlign w:val="center"/>
          </w:tcPr>
          <w:p>
            <w:pPr>
              <w:spacing w:line="240" w:lineRule="auto"/>
              <w:jc w:val="center"/>
              <w:rPr>
                <w:rFonts w:eastAsiaTheme="minorEastAsia"/>
                <w:sz w:val="21"/>
              </w:rPr>
            </w:pPr>
            <w:r>
              <w:rPr>
                <w:rFonts w:eastAsiaTheme="minorEastAsia"/>
                <w:sz w:val="21"/>
              </w:rPr>
              <w:t>用水准仪测量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442" w:type="dxa"/>
            <w:vMerge w:val="restart"/>
            <w:vAlign w:val="center"/>
          </w:tcPr>
          <w:p>
            <w:pPr>
              <w:spacing w:line="240" w:lineRule="auto"/>
              <w:jc w:val="center"/>
              <w:rPr>
                <w:rFonts w:eastAsiaTheme="minorEastAsia"/>
                <w:sz w:val="21"/>
              </w:rPr>
            </w:pPr>
            <w:r>
              <w:rPr>
                <w:rFonts w:eastAsiaTheme="minorEastAsia"/>
                <w:sz w:val="21"/>
              </w:rPr>
              <w:t>5</w:t>
            </w:r>
          </w:p>
        </w:tc>
        <w:tc>
          <w:tcPr>
            <w:tcW w:w="1753" w:type="dxa"/>
            <w:gridSpan w:val="2"/>
            <w:vMerge w:val="restart"/>
            <w:vAlign w:val="center"/>
          </w:tcPr>
          <w:p>
            <w:pPr>
              <w:spacing w:line="240" w:lineRule="auto"/>
              <w:jc w:val="center"/>
              <w:rPr>
                <w:rFonts w:eastAsiaTheme="minorEastAsia"/>
                <w:sz w:val="21"/>
              </w:rPr>
            </w:pPr>
            <w:r>
              <w:rPr>
                <w:rFonts w:eastAsiaTheme="minorEastAsia"/>
                <w:sz w:val="21"/>
              </w:rPr>
              <w:t>顶管始发井后背墙</w:t>
            </w:r>
          </w:p>
        </w:tc>
        <w:tc>
          <w:tcPr>
            <w:tcW w:w="1364" w:type="dxa"/>
            <w:vAlign w:val="center"/>
          </w:tcPr>
          <w:p>
            <w:pPr>
              <w:spacing w:line="240" w:lineRule="auto"/>
              <w:jc w:val="center"/>
              <w:rPr>
                <w:rFonts w:eastAsiaTheme="minorEastAsia"/>
                <w:sz w:val="21"/>
              </w:rPr>
            </w:pPr>
            <w:r>
              <w:rPr>
                <w:rFonts w:eastAsiaTheme="minorEastAsia"/>
                <w:sz w:val="21"/>
              </w:rPr>
              <w:t>垂直度</w:t>
            </w:r>
          </w:p>
        </w:tc>
        <w:tc>
          <w:tcPr>
            <w:tcW w:w="973" w:type="dxa"/>
            <w:vAlign w:val="center"/>
          </w:tcPr>
          <w:p>
            <w:pPr>
              <w:spacing w:line="240" w:lineRule="auto"/>
              <w:jc w:val="center"/>
              <w:rPr>
                <w:rFonts w:eastAsiaTheme="minorEastAsia"/>
                <w:sz w:val="21"/>
              </w:rPr>
            </w:pPr>
            <w:r>
              <w:rPr>
                <w:rFonts w:eastAsiaTheme="minorEastAsia"/>
                <w:sz w:val="21"/>
              </w:rPr>
              <w:t>0.1％H</w:t>
            </w:r>
          </w:p>
        </w:tc>
        <w:tc>
          <w:tcPr>
            <w:tcW w:w="584" w:type="dxa"/>
            <w:vMerge w:val="restart"/>
            <w:vAlign w:val="center"/>
          </w:tcPr>
          <w:p>
            <w:pPr>
              <w:spacing w:line="240" w:lineRule="auto"/>
              <w:jc w:val="center"/>
              <w:rPr>
                <w:rFonts w:eastAsiaTheme="minorEastAsia"/>
                <w:sz w:val="21"/>
              </w:rPr>
            </w:pPr>
            <w:r>
              <w:rPr>
                <w:rFonts w:eastAsiaTheme="minorEastAsia"/>
                <w:sz w:val="21"/>
              </w:rPr>
              <w:t>每座</w:t>
            </w:r>
          </w:p>
        </w:tc>
        <w:tc>
          <w:tcPr>
            <w:tcW w:w="1604" w:type="dxa"/>
            <w:vMerge w:val="restart"/>
            <w:vAlign w:val="center"/>
          </w:tcPr>
          <w:p>
            <w:pPr>
              <w:spacing w:line="240" w:lineRule="auto"/>
              <w:jc w:val="center"/>
              <w:rPr>
                <w:rFonts w:eastAsiaTheme="minorEastAsia"/>
                <w:sz w:val="21"/>
              </w:rPr>
            </w:pPr>
            <w:r>
              <w:rPr>
                <w:rFonts w:eastAsiaTheme="minorEastAsia"/>
                <w:sz w:val="21"/>
              </w:rPr>
              <w:t>1点</w:t>
            </w:r>
          </w:p>
        </w:tc>
        <w:tc>
          <w:tcPr>
            <w:tcW w:w="1556" w:type="dxa"/>
            <w:vMerge w:val="restart"/>
            <w:vAlign w:val="center"/>
          </w:tcPr>
          <w:p>
            <w:pPr>
              <w:spacing w:line="240" w:lineRule="auto"/>
              <w:jc w:val="center"/>
              <w:rPr>
                <w:rFonts w:eastAsiaTheme="minorEastAsia"/>
                <w:sz w:val="21"/>
              </w:rPr>
            </w:pPr>
            <w:r>
              <w:rPr>
                <w:rFonts w:eastAsiaTheme="minorEastAsia"/>
                <w:sz w:val="21"/>
              </w:rPr>
              <w:t>用垂线，</w:t>
            </w:r>
          </w:p>
          <w:p>
            <w:pPr>
              <w:spacing w:line="240" w:lineRule="auto"/>
              <w:jc w:val="center"/>
              <w:rPr>
                <w:rFonts w:eastAsiaTheme="minorEastAsia"/>
                <w:sz w:val="21"/>
              </w:rPr>
            </w:pPr>
            <w:r>
              <w:rPr>
                <w:rFonts w:eastAsiaTheme="minorEastAsia"/>
                <w:sz w:val="21"/>
              </w:rPr>
              <w:t>角尺量测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442" w:type="dxa"/>
            <w:vMerge w:val="continue"/>
          </w:tcPr>
          <w:p>
            <w:pPr>
              <w:spacing w:line="240" w:lineRule="auto"/>
              <w:jc w:val="center"/>
              <w:rPr>
                <w:rFonts w:eastAsiaTheme="minorEastAsia"/>
                <w:sz w:val="21"/>
              </w:rPr>
            </w:pPr>
          </w:p>
        </w:tc>
        <w:tc>
          <w:tcPr>
            <w:tcW w:w="1753" w:type="dxa"/>
            <w:gridSpan w:val="2"/>
            <w:vMerge w:val="continue"/>
          </w:tcPr>
          <w:p>
            <w:pPr>
              <w:spacing w:line="240" w:lineRule="auto"/>
              <w:jc w:val="center"/>
              <w:rPr>
                <w:rFonts w:eastAsiaTheme="minorEastAsia"/>
                <w:sz w:val="21"/>
              </w:rPr>
            </w:pPr>
          </w:p>
        </w:tc>
        <w:tc>
          <w:tcPr>
            <w:tcW w:w="1364" w:type="dxa"/>
          </w:tcPr>
          <w:p>
            <w:pPr>
              <w:spacing w:line="240" w:lineRule="auto"/>
              <w:jc w:val="center"/>
              <w:rPr>
                <w:rFonts w:eastAsiaTheme="minorEastAsia"/>
                <w:sz w:val="21"/>
              </w:rPr>
            </w:pPr>
            <w:r>
              <w:rPr>
                <w:rFonts w:eastAsiaTheme="minorEastAsia"/>
                <w:sz w:val="21"/>
              </w:rPr>
              <w:t>水平扭转度</w:t>
            </w:r>
          </w:p>
        </w:tc>
        <w:tc>
          <w:tcPr>
            <w:tcW w:w="973" w:type="dxa"/>
          </w:tcPr>
          <w:p>
            <w:pPr>
              <w:spacing w:line="240" w:lineRule="auto"/>
              <w:jc w:val="center"/>
              <w:rPr>
                <w:rFonts w:eastAsiaTheme="minorEastAsia"/>
                <w:sz w:val="21"/>
              </w:rPr>
            </w:pPr>
            <w:r>
              <w:rPr>
                <w:rFonts w:eastAsiaTheme="minorEastAsia"/>
                <w:sz w:val="21"/>
              </w:rPr>
              <w:t>0.1％L</w:t>
            </w:r>
          </w:p>
        </w:tc>
        <w:tc>
          <w:tcPr>
            <w:tcW w:w="584" w:type="dxa"/>
            <w:vMerge w:val="continue"/>
          </w:tcPr>
          <w:p>
            <w:pPr>
              <w:spacing w:line="240" w:lineRule="auto"/>
              <w:rPr>
                <w:rFonts w:eastAsiaTheme="minorEastAsia"/>
                <w:sz w:val="21"/>
              </w:rPr>
            </w:pPr>
          </w:p>
        </w:tc>
        <w:tc>
          <w:tcPr>
            <w:tcW w:w="1604" w:type="dxa"/>
            <w:vMerge w:val="continue"/>
          </w:tcPr>
          <w:p>
            <w:pPr>
              <w:spacing w:line="240" w:lineRule="auto"/>
              <w:rPr>
                <w:rFonts w:eastAsiaTheme="minorEastAsia"/>
                <w:sz w:val="21"/>
              </w:rPr>
            </w:pPr>
          </w:p>
        </w:tc>
        <w:tc>
          <w:tcPr>
            <w:tcW w:w="1556" w:type="dxa"/>
            <w:vMerge w:val="continue"/>
          </w:tcPr>
          <w:p>
            <w:pPr>
              <w:spacing w:line="240" w:lineRule="auto"/>
              <w:rPr>
                <w:rFonts w:eastAsiaTheme="minorEastAsia"/>
                <w:sz w:val="21"/>
              </w:rPr>
            </w:pPr>
          </w:p>
        </w:tc>
      </w:tr>
    </w:tbl>
    <w:p>
      <w:pPr>
        <w:rPr>
          <w:sz w:val="18"/>
        </w:rPr>
      </w:pPr>
      <w:r>
        <w:rPr>
          <w:sz w:val="18"/>
        </w:rPr>
        <w:t>注：H为反力墙的高度（mm）；L为反力墙的长度（mm）。</w:t>
      </w:r>
    </w:p>
    <w:p>
      <w:pPr>
        <w:ind w:firstLine="480" w:firstLineChars="200"/>
      </w:pPr>
      <w:r>
        <w:rPr>
          <w:rFonts w:hint="eastAsia"/>
        </w:rPr>
        <w:t>检验</w:t>
      </w:r>
      <w:r>
        <w:t>方法：逐个观察、量测。</w:t>
      </w:r>
    </w:p>
    <w:p>
      <w:pPr>
        <w:ind w:firstLine="480" w:firstLineChars="200"/>
      </w:pPr>
      <w:r>
        <w:t>检查数量：全数检查</w:t>
      </w:r>
      <w:r>
        <w:rPr>
          <w:rFonts w:hint="eastAsia"/>
        </w:rPr>
        <w:t>。</w:t>
      </w:r>
    </w:p>
    <w:p>
      <w:r>
        <w:rPr>
          <w:b/>
          <w:bCs/>
        </w:rPr>
        <w:t xml:space="preserve">7.3.4  </w:t>
      </w:r>
      <w:r>
        <w:t>工作井结构应无滴漏</w:t>
      </w:r>
      <w:r>
        <w:rPr>
          <w:rFonts w:hint="eastAsia"/>
        </w:rPr>
        <w:t>、</w:t>
      </w:r>
      <w:r>
        <w:t>线流</w:t>
      </w:r>
      <w:r>
        <w:rPr>
          <w:rFonts w:hint="eastAsia"/>
        </w:rPr>
        <w:t>等缺陷</w:t>
      </w:r>
      <w:r>
        <w:t>。</w:t>
      </w:r>
    </w:p>
    <w:p>
      <w:pPr>
        <w:ind w:firstLine="480" w:firstLineChars="200"/>
      </w:pPr>
      <w:r>
        <w:rPr>
          <w:rFonts w:hint="eastAsia"/>
        </w:rPr>
        <w:t>检验</w:t>
      </w:r>
      <w:r>
        <w:t>方法：按表7.3.4的</w:t>
      </w:r>
      <w:r>
        <w:rPr>
          <w:rFonts w:hint="eastAsia"/>
        </w:rPr>
        <w:t>内容进行</w:t>
      </w:r>
      <w:r>
        <w:t>检查，检查施工记录。</w:t>
      </w:r>
    </w:p>
    <w:p>
      <w:pPr>
        <w:ind w:firstLine="480" w:firstLineChars="200"/>
      </w:pPr>
      <w:r>
        <w:t>检查数量：全数检查</w:t>
      </w:r>
      <w:r>
        <w:rPr>
          <w:rFonts w:hint="eastAsia"/>
        </w:rPr>
        <w:t>。</w:t>
      </w:r>
    </w:p>
    <w:p>
      <w:pPr>
        <w:ind w:firstLine="480" w:firstLineChars="200"/>
      </w:pPr>
    </w:p>
    <w:p>
      <w:pPr>
        <w:jc w:val="center"/>
        <w:rPr>
          <w:b/>
          <w:bCs/>
          <w:sz w:val="21"/>
          <w:szCs w:val="18"/>
        </w:rPr>
      </w:pPr>
      <w:r>
        <w:rPr>
          <w:b/>
          <w:bCs/>
          <w:sz w:val="21"/>
          <w:szCs w:val="18"/>
        </w:rPr>
        <w:t>表7.3.4  渗漏水</w:t>
      </w:r>
      <w:r>
        <w:rPr>
          <w:rFonts w:hint="eastAsia"/>
          <w:b/>
          <w:bCs/>
          <w:sz w:val="21"/>
          <w:szCs w:val="18"/>
        </w:rPr>
        <w:t>缺陷</w:t>
      </w:r>
    </w:p>
    <w:tbl>
      <w:tblPr>
        <w:tblStyle w:val="47"/>
        <w:tblW w:w="821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
      <w:tblGrid>
        <w:gridCol w:w="1372"/>
        <w:gridCol w:w="5566"/>
        <w:gridCol w:w="1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1372" w:type="dxa"/>
            <w:vAlign w:val="center"/>
          </w:tcPr>
          <w:p>
            <w:pPr>
              <w:adjustRightInd w:val="0"/>
              <w:snapToGrid w:val="0"/>
              <w:spacing w:line="240" w:lineRule="auto"/>
              <w:jc w:val="center"/>
              <w:rPr>
                <w:kern w:val="0"/>
                <w:sz w:val="21"/>
                <w:szCs w:val="15"/>
              </w:rPr>
            </w:pPr>
            <w:r>
              <w:rPr>
                <w:rFonts w:hint="eastAsia"/>
                <w:kern w:val="0"/>
                <w:sz w:val="21"/>
                <w:szCs w:val="15"/>
              </w:rPr>
              <w:t>缺陷种类</w:t>
            </w:r>
          </w:p>
        </w:tc>
        <w:tc>
          <w:tcPr>
            <w:tcW w:w="5566" w:type="dxa"/>
            <w:vAlign w:val="center"/>
          </w:tcPr>
          <w:p>
            <w:pPr>
              <w:adjustRightInd w:val="0"/>
              <w:snapToGrid w:val="0"/>
              <w:spacing w:line="240" w:lineRule="auto"/>
              <w:jc w:val="center"/>
              <w:rPr>
                <w:kern w:val="0"/>
                <w:sz w:val="21"/>
                <w:szCs w:val="15"/>
              </w:rPr>
            </w:pPr>
            <w:r>
              <w:rPr>
                <w:kern w:val="0"/>
                <w:sz w:val="21"/>
                <w:szCs w:val="15"/>
              </w:rPr>
              <w:t>定    义</w:t>
            </w:r>
          </w:p>
        </w:tc>
        <w:tc>
          <w:tcPr>
            <w:tcW w:w="1276" w:type="dxa"/>
            <w:vAlign w:val="center"/>
          </w:tcPr>
          <w:p>
            <w:pPr>
              <w:adjustRightInd w:val="0"/>
              <w:snapToGrid w:val="0"/>
              <w:spacing w:line="240" w:lineRule="auto"/>
              <w:jc w:val="center"/>
              <w:rPr>
                <w:kern w:val="0"/>
                <w:sz w:val="21"/>
                <w:szCs w:val="15"/>
              </w:rPr>
            </w:pPr>
            <w:r>
              <w:rPr>
                <w:kern w:val="0"/>
                <w:sz w:val="21"/>
                <w:szCs w:val="15"/>
              </w:rPr>
              <w:t>标识符号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1372" w:type="dxa"/>
            <w:vAlign w:val="center"/>
          </w:tcPr>
          <w:p>
            <w:pPr>
              <w:adjustRightInd w:val="0"/>
              <w:snapToGrid w:val="0"/>
              <w:jc w:val="center"/>
              <w:rPr>
                <w:kern w:val="0"/>
                <w:sz w:val="21"/>
                <w:szCs w:val="15"/>
              </w:rPr>
            </w:pPr>
            <w:r>
              <w:rPr>
                <w:kern w:val="0"/>
                <w:sz w:val="21"/>
                <w:szCs w:val="15"/>
              </w:rPr>
              <w:t>湿渍</w:t>
            </w:r>
          </w:p>
        </w:tc>
        <w:tc>
          <w:tcPr>
            <w:tcW w:w="5566" w:type="dxa"/>
            <w:vAlign w:val="center"/>
          </w:tcPr>
          <w:p>
            <w:pPr>
              <w:adjustRightInd w:val="0"/>
              <w:snapToGrid w:val="0"/>
              <w:jc w:val="left"/>
              <w:rPr>
                <w:kern w:val="0"/>
                <w:sz w:val="21"/>
                <w:szCs w:val="15"/>
              </w:rPr>
            </w:pPr>
            <w:r>
              <w:rPr>
                <w:kern w:val="0"/>
                <w:sz w:val="21"/>
                <w:szCs w:val="15"/>
              </w:rPr>
              <w:t>结构内壁，呈现明显色泽变化的潮湿斑；在通风条件下潮湿斑可消失，即蒸发量大于渗入量的状态</w:t>
            </w:r>
          </w:p>
        </w:tc>
        <w:tc>
          <w:tcPr>
            <w:tcW w:w="1276" w:type="dxa"/>
            <w:vAlign w:val="center"/>
          </w:tcPr>
          <w:p>
            <w:pPr>
              <w:adjustRightInd w:val="0"/>
              <w:snapToGrid w:val="0"/>
              <w:jc w:val="center"/>
              <w:rPr>
                <w:kern w:val="0"/>
                <w:sz w:val="21"/>
                <w:szCs w:val="15"/>
              </w:rPr>
            </w:pPr>
            <w:r>
              <w:rPr>
                <w:kern w:val="0"/>
                <w:sz w:val="21"/>
                <w:szCs w:val="15"/>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1372" w:type="dxa"/>
            <w:vAlign w:val="center"/>
          </w:tcPr>
          <w:p>
            <w:pPr>
              <w:adjustRightInd w:val="0"/>
              <w:snapToGrid w:val="0"/>
              <w:jc w:val="center"/>
              <w:rPr>
                <w:kern w:val="0"/>
                <w:sz w:val="21"/>
                <w:szCs w:val="15"/>
              </w:rPr>
            </w:pPr>
            <w:r>
              <w:rPr>
                <w:kern w:val="0"/>
                <w:sz w:val="21"/>
                <w:szCs w:val="15"/>
              </w:rPr>
              <w:t>渗水</w:t>
            </w:r>
          </w:p>
        </w:tc>
        <w:tc>
          <w:tcPr>
            <w:tcW w:w="5566" w:type="dxa"/>
            <w:vAlign w:val="center"/>
          </w:tcPr>
          <w:p>
            <w:pPr>
              <w:adjustRightInd w:val="0"/>
              <w:snapToGrid w:val="0"/>
              <w:jc w:val="left"/>
              <w:rPr>
                <w:kern w:val="0"/>
                <w:sz w:val="21"/>
                <w:szCs w:val="15"/>
              </w:rPr>
            </w:pPr>
            <w:r>
              <w:rPr>
                <w:kern w:val="0"/>
                <w:sz w:val="21"/>
                <w:szCs w:val="15"/>
              </w:rPr>
              <w:t>水从结构内壁渗出，在内壁上可观察到明显的流挂水膜范围；在通风条件下水膜也不会消失，即渗入量大于蒸发量的状态</w:t>
            </w:r>
          </w:p>
        </w:tc>
        <w:tc>
          <w:tcPr>
            <w:tcW w:w="1276" w:type="dxa"/>
            <w:vAlign w:val="center"/>
          </w:tcPr>
          <w:p>
            <w:pPr>
              <w:adjustRightInd w:val="0"/>
              <w:snapToGrid w:val="0"/>
              <w:jc w:val="center"/>
              <w:rPr>
                <w:rFonts w:asciiTheme="minorEastAsia" w:hAnsiTheme="minorEastAsia" w:eastAsiaTheme="minorEastAsia"/>
                <w:kern w:val="0"/>
                <w:sz w:val="21"/>
                <w:szCs w:val="15"/>
              </w:rPr>
            </w:pPr>
            <w:r>
              <w:rPr>
                <w:rFonts w:asciiTheme="minorEastAsia" w:hAnsiTheme="minorEastAsia" w:eastAsiaTheme="minorEastAsia"/>
                <w:kern w:val="0"/>
                <w:sz w:val="21"/>
                <w:szCs w:val="15"/>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1372" w:type="dxa"/>
            <w:vAlign w:val="center"/>
          </w:tcPr>
          <w:p>
            <w:pPr>
              <w:adjustRightInd w:val="0"/>
              <w:snapToGrid w:val="0"/>
              <w:jc w:val="center"/>
              <w:rPr>
                <w:kern w:val="0"/>
                <w:sz w:val="21"/>
                <w:szCs w:val="15"/>
              </w:rPr>
            </w:pPr>
            <w:r>
              <w:rPr>
                <w:kern w:val="0"/>
                <w:sz w:val="21"/>
                <w:szCs w:val="15"/>
              </w:rPr>
              <w:t>水珠</w:t>
            </w:r>
          </w:p>
        </w:tc>
        <w:tc>
          <w:tcPr>
            <w:tcW w:w="5566" w:type="dxa"/>
            <w:vAlign w:val="center"/>
          </w:tcPr>
          <w:p>
            <w:pPr>
              <w:adjustRightInd w:val="0"/>
              <w:snapToGrid w:val="0"/>
              <w:jc w:val="left"/>
              <w:rPr>
                <w:kern w:val="0"/>
                <w:sz w:val="21"/>
                <w:szCs w:val="15"/>
              </w:rPr>
            </w:pPr>
            <w:r>
              <w:rPr>
                <w:kern w:val="0"/>
                <w:sz w:val="21"/>
                <w:szCs w:val="15"/>
              </w:rPr>
              <w:t>悬挂在结构内壁的水珠、内壁渗漏水用细短棒引流并悬挂在棒底部的水珠，其滴落间隔时间超过1min；渗漏水用干棉纱能够拭干，但短时间内可观察到擦拭部位从湿润至水渗出的变化</w:t>
            </w:r>
          </w:p>
        </w:tc>
        <w:tc>
          <w:tcPr>
            <w:tcW w:w="1276" w:type="dxa"/>
            <w:vAlign w:val="center"/>
          </w:tcPr>
          <w:p>
            <w:pPr>
              <w:adjustRightInd w:val="0"/>
              <w:snapToGrid w:val="0"/>
              <w:jc w:val="center"/>
              <w:rPr>
                <w:rFonts w:asciiTheme="minorEastAsia" w:hAnsiTheme="minorEastAsia" w:eastAsiaTheme="minorEastAsia"/>
                <w:kern w:val="0"/>
                <w:sz w:val="21"/>
                <w:szCs w:val="15"/>
              </w:rPr>
            </w:pPr>
            <w:r>
              <w:rPr>
                <w:rFonts w:cs="Cambria Math" w:asciiTheme="minorEastAsia" w:hAnsiTheme="minorEastAsia" w:eastAsiaTheme="minorEastAsia"/>
                <w:kern w:val="0"/>
                <w:sz w:val="21"/>
                <w:szCs w:val="15"/>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1372" w:type="dxa"/>
            <w:vAlign w:val="center"/>
          </w:tcPr>
          <w:p>
            <w:pPr>
              <w:adjustRightInd w:val="0"/>
              <w:snapToGrid w:val="0"/>
              <w:jc w:val="center"/>
              <w:rPr>
                <w:kern w:val="0"/>
                <w:sz w:val="21"/>
                <w:szCs w:val="15"/>
              </w:rPr>
            </w:pPr>
            <w:r>
              <w:rPr>
                <w:kern w:val="0"/>
                <w:sz w:val="21"/>
                <w:szCs w:val="15"/>
              </w:rPr>
              <w:t>滴漏</w:t>
            </w:r>
          </w:p>
        </w:tc>
        <w:tc>
          <w:tcPr>
            <w:tcW w:w="5566" w:type="dxa"/>
            <w:vAlign w:val="center"/>
          </w:tcPr>
          <w:p>
            <w:pPr>
              <w:adjustRightInd w:val="0"/>
              <w:snapToGrid w:val="0"/>
              <w:jc w:val="left"/>
              <w:rPr>
                <w:kern w:val="0"/>
                <w:sz w:val="21"/>
                <w:szCs w:val="15"/>
              </w:rPr>
            </w:pPr>
            <w:r>
              <w:rPr>
                <w:kern w:val="0"/>
                <w:sz w:val="21"/>
                <w:szCs w:val="15"/>
              </w:rPr>
              <w:t>悬挂在结构内壁的水珠、内壁渗漏水用细短棒引流并悬挂在其底部的水珠，</w:t>
            </w:r>
            <w:r>
              <w:rPr>
                <w:rFonts w:hint="eastAsia"/>
                <w:kern w:val="0"/>
                <w:sz w:val="21"/>
                <w:szCs w:val="15"/>
              </w:rPr>
              <w:t>其</w:t>
            </w:r>
            <w:r>
              <w:rPr>
                <w:kern w:val="0"/>
                <w:sz w:val="21"/>
                <w:szCs w:val="15"/>
              </w:rPr>
              <w:t>滴落速度每min至少1滴；渗漏水用</w:t>
            </w:r>
            <w:r>
              <w:rPr>
                <w:rFonts w:hint="eastAsia"/>
                <w:kern w:val="0"/>
                <w:sz w:val="21"/>
                <w:szCs w:val="15"/>
              </w:rPr>
              <w:t>干</w:t>
            </w:r>
            <w:r>
              <w:rPr>
                <w:kern w:val="0"/>
                <w:sz w:val="21"/>
                <w:szCs w:val="15"/>
              </w:rPr>
              <w:t>棉纱不易拭于，且短时间内可明显观察到擦拭部位有水渗出和集聚的变化</w:t>
            </w:r>
          </w:p>
        </w:tc>
        <w:tc>
          <w:tcPr>
            <w:tcW w:w="1276" w:type="dxa"/>
            <w:vAlign w:val="center"/>
          </w:tcPr>
          <w:p>
            <w:pPr>
              <w:adjustRightInd w:val="0"/>
              <w:snapToGrid w:val="0"/>
              <w:jc w:val="center"/>
              <w:rPr>
                <w:rFonts w:asciiTheme="minorEastAsia" w:hAnsiTheme="minorEastAsia" w:eastAsiaTheme="minorEastAsia"/>
                <w:kern w:val="0"/>
                <w:sz w:val="21"/>
                <w:szCs w:val="15"/>
              </w:rPr>
            </w:pPr>
            <w:r>
              <w:rPr>
                <w:rFonts w:cs="Cambria Math" w:asciiTheme="minorEastAsia" w:hAnsiTheme="minorEastAsia" w:eastAsiaTheme="minorEastAsia"/>
                <w:kern w:val="0"/>
                <w:sz w:val="21"/>
                <w:szCs w:val="15"/>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Ex>
        <w:trPr>
          <w:trHeight w:val="397" w:hRule="atLeast"/>
          <w:jc w:val="center"/>
        </w:trPr>
        <w:tc>
          <w:tcPr>
            <w:tcW w:w="1372" w:type="dxa"/>
            <w:vAlign w:val="center"/>
          </w:tcPr>
          <w:p>
            <w:pPr>
              <w:adjustRightInd w:val="0"/>
              <w:snapToGrid w:val="0"/>
              <w:spacing w:line="240" w:lineRule="auto"/>
              <w:jc w:val="center"/>
              <w:rPr>
                <w:kern w:val="0"/>
                <w:sz w:val="21"/>
                <w:szCs w:val="15"/>
              </w:rPr>
            </w:pPr>
            <w:r>
              <w:rPr>
                <w:kern w:val="0"/>
                <w:sz w:val="21"/>
                <w:szCs w:val="15"/>
              </w:rPr>
              <w:t>线流</w:t>
            </w:r>
          </w:p>
        </w:tc>
        <w:tc>
          <w:tcPr>
            <w:tcW w:w="5566" w:type="dxa"/>
            <w:vAlign w:val="center"/>
          </w:tcPr>
          <w:p>
            <w:pPr>
              <w:adjustRightInd w:val="0"/>
              <w:snapToGrid w:val="0"/>
              <w:spacing w:line="240" w:lineRule="auto"/>
              <w:jc w:val="left"/>
              <w:rPr>
                <w:kern w:val="0"/>
                <w:sz w:val="21"/>
                <w:szCs w:val="15"/>
              </w:rPr>
            </w:pPr>
            <w:r>
              <w:rPr>
                <w:kern w:val="0"/>
                <w:sz w:val="21"/>
                <w:szCs w:val="15"/>
              </w:rPr>
              <w:t>指渗漏水呈线流、流淌或喷水状态</w:t>
            </w:r>
          </w:p>
        </w:tc>
        <w:tc>
          <w:tcPr>
            <w:tcW w:w="1276" w:type="dxa"/>
            <w:vAlign w:val="center"/>
          </w:tcPr>
          <w:p>
            <w:pPr>
              <w:adjustRightInd w:val="0"/>
              <w:snapToGrid w:val="0"/>
              <w:spacing w:line="240" w:lineRule="auto"/>
              <w:jc w:val="center"/>
              <w:rPr>
                <w:kern w:val="0"/>
                <w:sz w:val="21"/>
                <w:szCs w:val="15"/>
              </w:rPr>
            </w:pPr>
            <w:r>
              <w:rPr>
                <w:kern w:val="0"/>
                <w:sz w:val="21"/>
                <w:szCs w:val="15"/>
              </w:rPr>
              <w:t>↓</w:t>
            </w:r>
          </w:p>
        </w:tc>
      </w:tr>
    </w:tbl>
    <w:p>
      <w:pPr>
        <w:ind w:firstLine="480" w:firstLineChars="200"/>
      </w:pPr>
    </w:p>
    <w:p>
      <w:pPr>
        <w:rPr>
          <w:rFonts w:eastAsiaTheme="minorEastAsia"/>
        </w:rPr>
        <w:sectPr>
          <w:pgSz w:w="11906" w:h="16838"/>
          <w:pgMar w:top="1440" w:right="1800" w:bottom="1440" w:left="1800" w:header="851" w:footer="992" w:gutter="0"/>
          <w:cols w:space="425" w:num="1"/>
          <w:docGrid w:type="lines" w:linePitch="312" w:charSpace="0"/>
        </w:sectPr>
      </w:pPr>
    </w:p>
    <w:p>
      <w:pPr>
        <w:pStyle w:val="2"/>
        <w:rPr>
          <w:rFonts w:cs="Times New Roman"/>
        </w:rPr>
      </w:pPr>
      <w:bookmarkStart w:id="414" w:name="_Toc60172914"/>
      <w:bookmarkStart w:id="415" w:name="_Toc60173801"/>
      <w:r>
        <w:rPr>
          <w:rFonts w:cs="Times New Roman"/>
        </w:rPr>
        <w:t>8  顶管设备及安装</w:t>
      </w:r>
      <w:bookmarkEnd w:id="414"/>
      <w:bookmarkEnd w:id="415"/>
    </w:p>
    <w:p>
      <w:pPr>
        <w:pStyle w:val="3"/>
        <w:rPr>
          <w:rFonts w:eastAsia="黑体" w:cs="Times New Roman"/>
          <w:b w:val="0"/>
        </w:rPr>
      </w:pPr>
      <w:bookmarkStart w:id="416" w:name="_Toc60173802"/>
      <w:bookmarkStart w:id="417" w:name="_Toc60172915"/>
      <w:r>
        <w:rPr>
          <w:rFonts w:eastAsia="黑体" w:cs="Times New Roman"/>
        </w:rPr>
        <w:t>8.1</w:t>
      </w:r>
      <w:r>
        <w:rPr>
          <w:rFonts w:eastAsia="黑体" w:cs="Times New Roman"/>
          <w:b w:val="0"/>
        </w:rPr>
        <w:t xml:space="preserve">  一般规定</w:t>
      </w:r>
      <w:bookmarkEnd w:id="416"/>
      <w:bookmarkEnd w:id="417"/>
    </w:p>
    <w:p>
      <w:r>
        <w:rPr>
          <w:b/>
          <w:bCs/>
        </w:rPr>
        <w:t xml:space="preserve">8.1.1  </w:t>
      </w:r>
      <w:r>
        <w:t>起重设备应经有关部门检验合格方可使用，起重荷载应满足使用要求。</w:t>
      </w:r>
    </w:p>
    <w:p>
      <w:r>
        <w:rPr>
          <w:b/>
          <w:bCs/>
        </w:rPr>
        <w:t>8.1.2</w:t>
      </w:r>
      <w:r>
        <w:t xml:space="preserve">  起重作业人员应持证上岗。</w:t>
      </w:r>
    </w:p>
    <w:p>
      <w:r>
        <w:rPr>
          <w:b/>
          <w:bCs/>
        </w:rPr>
        <w:t xml:space="preserve">8.1.3  </w:t>
      </w:r>
      <w:r>
        <w:t>场地的地基承载力应满足最大吊装载荷要求。</w:t>
      </w:r>
    </w:p>
    <w:p>
      <w:r>
        <w:rPr>
          <w:b/>
          <w:bCs/>
        </w:rPr>
        <w:t xml:space="preserve">8.1.4  </w:t>
      </w:r>
      <w:r>
        <w:t>起重设备活动范围附近有高压电线路时，吊装活动范围应</w:t>
      </w:r>
      <w:r>
        <w:rPr>
          <w:rFonts w:hint="eastAsia"/>
        </w:rPr>
        <w:t>符合现行行业标准《施工现场临时用电安全技术规范》JGJ</w:t>
      </w:r>
      <w:r>
        <w:t xml:space="preserve"> </w:t>
      </w:r>
      <w:r>
        <w:rPr>
          <w:rFonts w:hint="eastAsia"/>
        </w:rPr>
        <w:t>46、《建筑施工起重吊装工程安全技术规范》JGJ 276的相关</w:t>
      </w:r>
      <w:r>
        <w:t>规定。</w:t>
      </w:r>
    </w:p>
    <w:p>
      <w:r>
        <w:rPr>
          <w:b/>
          <w:bCs/>
        </w:rPr>
        <w:t>8.1.5</w:t>
      </w:r>
      <w:r>
        <w:t xml:space="preserve">  吊装前应进行试吊，试吊前应严格检查吊耳、机械及索具的装设情况。经确认试吊正常后，方可正式吊装</w:t>
      </w:r>
      <w:r>
        <w:rPr>
          <w:rFonts w:hint="eastAsia"/>
        </w:rPr>
        <w:t>，并应符合现行行业标准《建筑施工起重吊装工程安全技术规范》JGJ 276的相关规定</w:t>
      </w:r>
      <w:r>
        <w:t>。</w:t>
      </w:r>
    </w:p>
    <w:p>
      <w:r>
        <w:rPr>
          <w:b/>
          <w:bCs/>
        </w:rPr>
        <w:t xml:space="preserve">8.1.6  </w:t>
      </w:r>
      <w:r>
        <w:t>设备吊装时应平稳慢放，大型设备宜用绳索辅助牵引。</w:t>
      </w:r>
    </w:p>
    <w:p>
      <w:r>
        <w:rPr>
          <w:b/>
          <w:bCs/>
        </w:rPr>
        <w:t xml:space="preserve">8.1.7  </w:t>
      </w:r>
      <w:r>
        <w:t>顶管设备安装应设置逃生通道。</w:t>
      </w:r>
    </w:p>
    <w:p>
      <w:pPr>
        <w:pStyle w:val="91"/>
        <w:spacing w:before="0" w:after="0" w:line="360" w:lineRule="auto"/>
        <w:jc w:val="both"/>
        <w:outlineLvl w:val="9"/>
        <w:rPr>
          <w:rFonts w:ascii="Times New Roman"/>
          <w:kern w:val="2"/>
          <w:sz w:val="24"/>
        </w:rPr>
      </w:pPr>
      <w:r>
        <w:rPr>
          <w:rFonts w:ascii="Times New Roman"/>
          <w:b/>
          <w:bCs/>
          <w:kern w:val="2"/>
          <w:sz w:val="24"/>
        </w:rPr>
        <w:t xml:space="preserve">8.1.8  </w:t>
      </w:r>
      <w:r>
        <w:rPr>
          <w:rFonts w:ascii="Times New Roman"/>
          <w:kern w:val="2"/>
          <w:sz w:val="24"/>
        </w:rPr>
        <w:t>组装前应对所使用设备、工具进行安全检查。</w:t>
      </w:r>
    </w:p>
    <w:p>
      <w:pPr>
        <w:pStyle w:val="91"/>
        <w:spacing w:before="0" w:after="0" w:line="360" w:lineRule="auto"/>
        <w:jc w:val="both"/>
        <w:outlineLvl w:val="9"/>
        <w:rPr>
          <w:rFonts w:ascii="Times New Roman"/>
          <w:kern w:val="2"/>
          <w:sz w:val="24"/>
        </w:rPr>
      </w:pPr>
      <w:r>
        <w:rPr>
          <w:rFonts w:hint="eastAsia" w:ascii="Times New Roman"/>
          <w:b/>
          <w:kern w:val="2"/>
          <w:sz w:val="24"/>
        </w:rPr>
        <w:t>8.1.9</w:t>
      </w:r>
      <w:r>
        <w:rPr>
          <w:rFonts w:hint="eastAsia" w:ascii="Times New Roman"/>
          <w:kern w:val="2"/>
          <w:sz w:val="24"/>
        </w:rPr>
        <w:t xml:space="preserve">  顶管设备安装前应制定组装方案。</w:t>
      </w:r>
    </w:p>
    <w:p/>
    <w:p>
      <w:pPr>
        <w:pStyle w:val="3"/>
        <w:rPr>
          <w:rFonts w:eastAsia="黑体" w:cs="Times New Roman"/>
          <w:b w:val="0"/>
        </w:rPr>
      </w:pPr>
      <w:bookmarkStart w:id="418" w:name="_Toc60173803"/>
      <w:bookmarkStart w:id="419" w:name="_Toc60172916"/>
      <w:r>
        <w:rPr>
          <w:rFonts w:eastAsia="黑体" w:cs="Times New Roman"/>
        </w:rPr>
        <w:t>8.2</w:t>
      </w:r>
      <w:r>
        <w:rPr>
          <w:rFonts w:eastAsia="黑体" w:cs="Times New Roman"/>
          <w:b w:val="0"/>
        </w:rPr>
        <w:t xml:space="preserve">  矩形顶管机设计</w:t>
      </w:r>
      <w:r>
        <w:rPr>
          <w:rFonts w:hint="eastAsia" w:eastAsia="黑体" w:cs="Times New Roman"/>
          <w:b w:val="0"/>
        </w:rPr>
        <w:t>原则</w:t>
      </w:r>
      <w:r>
        <w:rPr>
          <w:rFonts w:eastAsia="黑体" w:cs="Times New Roman"/>
          <w:b w:val="0"/>
        </w:rPr>
        <w:t>与选型</w:t>
      </w:r>
      <w:bookmarkEnd w:id="418"/>
      <w:bookmarkEnd w:id="419"/>
    </w:p>
    <w:p>
      <w:r>
        <w:rPr>
          <w:b/>
          <w:bCs/>
        </w:rPr>
        <w:t xml:space="preserve">8.2.1  </w:t>
      </w:r>
      <w:r>
        <w:t>矩形顶管机设计</w:t>
      </w:r>
      <w:r>
        <w:rPr>
          <w:rFonts w:hint="eastAsia"/>
        </w:rPr>
        <w:t>原则</w:t>
      </w:r>
      <w:r>
        <w:t>应符合下列规定：</w:t>
      </w:r>
    </w:p>
    <w:p>
      <w:pPr>
        <w:ind w:firstLine="482" w:firstLineChars="200"/>
      </w:pPr>
      <w:r>
        <w:rPr>
          <w:b/>
          <w:bCs/>
        </w:rPr>
        <w:t xml:space="preserve">1 </w:t>
      </w:r>
      <w:r>
        <w:t xml:space="preserve"> 矩形顶管机大小应与施工工况相匹配，断面大小应与隧道管节相适应，设备长度应</w:t>
      </w:r>
      <w:r>
        <w:rPr>
          <w:rFonts w:hint="eastAsia"/>
        </w:rPr>
        <w:t>根据</w:t>
      </w:r>
      <w:r>
        <w:t>工作井尺寸大小，在满足功能需求的情况下尽量缩短；同时应根据现场组装及运输条件对大断面矩形顶管机进行分块设计；</w:t>
      </w:r>
    </w:p>
    <w:p>
      <w:pPr>
        <w:ind w:firstLine="482" w:firstLineChars="200"/>
      </w:pPr>
      <w:r>
        <w:rPr>
          <w:b/>
          <w:bCs/>
        </w:rPr>
        <w:t>2</w:t>
      </w:r>
      <w:r>
        <w:t xml:space="preserve">  矩形顶管机应能在工作环境温度5℃～50℃、相对湿度小于90%的条件下正常使用；</w:t>
      </w:r>
    </w:p>
    <w:p>
      <w:pPr>
        <w:ind w:firstLine="482" w:firstLineChars="200"/>
      </w:pPr>
      <w:r>
        <w:rPr>
          <w:b/>
          <w:bCs/>
        </w:rPr>
        <w:t>3</w:t>
      </w:r>
      <w:r>
        <w:t xml:space="preserve">  矩形顶管机零部件的设计应满足强度、刚度、疲劳可靠性要求；</w:t>
      </w:r>
    </w:p>
    <w:p>
      <w:pPr>
        <w:ind w:firstLine="482" w:firstLineChars="200"/>
      </w:pPr>
      <w:r>
        <w:rPr>
          <w:b/>
          <w:bCs/>
        </w:rPr>
        <w:t>4</w:t>
      </w:r>
      <w:r>
        <w:t xml:space="preserve">  矩形顶管机各系统结构的布局应便于使用操作、物料输送、设备维修保养和紧急情况下的人员疏散。</w:t>
      </w:r>
    </w:p>
    <w:p>
      <w:pPr>
        <w:rPr>
          <w:rFonts w:eastAsiaTheme="minorEastAsia"/>
        </w:rPr>
      </w:pPr>
      <w:r>
        <w:rPr>
          <w:b/>
          <w:bCs/>
        </w:rPr>
        <w:t xml:space="preserve">8.2.2  </w:t>
      </w:r>
      <w:r>
        <w:rPr>
          <w:rFonts w:eastAsiaTheme="minorEastAsia"/>
        </w:rPr>
        <w:t>矩形顶管机选型应结合地层</w:t>
      </w:r>
      <w:r>
        <w:rPr>
          <w:color w:val="000000" w:themeColor="text1"/>
          <w14:textFill>
            <w14:solidFill>
              <w14:schemeClr w14:val="tx1"/>
            </w14:solidFill>
          </w14:textFill>
        </w:rPr>
        <w:t>岩土类别</w:t>
      </w:r>
      <w:r>
        <w:rPr>
          <w:rFonts w:hint="eastAsia"/>
          <w:b/>
          <w:color w:val="000000" w:themeColor="text1"/>
          <w14:textFill>
            <w14:solidFill>
              <w14:schemeClr w14:val="tx1"/>
            </w14:solidFill>
          </w14:textFill>
        </w:rPr>
        <w:t>、</w:t>
      </w:r>
      <w:r>
        <w:rPr>
          <w:rFonts w:eastAsiaTheme="minorEastAsia"/>
        </w:rPr>
        <w:t>岩土粒径、渗透系数、地下水压情况，以及开挖尺寸、开挖面稳定性、埋深、地层降水处理情况等因素确定。</w:t>
      </w:r>
    </w:p>
    <w:p>
      <w:r>
        <w:rPr>
          <w:b/>
          <w:bCs/>
        </w:rPr>
        <w:t xml:space="preserve">8.2.3  </w:t>
      </w:r>
      <w:r>
        <w:t>矩形顶管机适应工况宜按表8.2.3执行。</w:t>
      </w:r>
    </w:p>
    <w:p>
      <w:pPr>
        <w:jc w:val="center"/>
        <w:rPr>
          <w:rFonts w:eastAsiaTheme="minorEastAsia"/>
          <w:b/>
          <w:bCs/>
        </w:rPr>
      </w:pPr>
      <w:r>
        <w:rPr>
          <w:rFonts w:eastAsiaTheme="minorEastAsia"/>
          <w:b/>
          <w:bCs/>
          <w:kern w:val="0"/>
          <w:sz w:val="21"/>
          <w:szCs w:val="20"/>
        </w:rPr>
        <w:t>表8.2.3  矩形顶管机适用工况</w:t>
      </w:r>
    </w:p>
    <w:tbl>
      <w:tblPr>
        <w:tblStyle w:val="47"/>
        <w:tblW w:w="779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9"/>
        <w:gridCol w:w="2878"/>
        <w:gridCol w:w="31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8" w:hRule="atLeast"/>
          <w:jc w:val="center"/>
        </w:trPr>
        <w:tc>
          <w:tcPr>
            <w:tcW w:w="1759" w:type="dxa"/>
            <w:vAlign w:val="center"/>
          </w:tcPr>
          <w:p>
            <w:pPr>
              <w:spacing w:line="240" w:lineRule="auto"/>
              <w:jc w:val="center"/>
              <w:rPr>
                <w:sz w:val="21"/>
              </w:rPr>
            </w:pPr>
            <w:r>
              <w:rPr>
                <w:sz w:val="21"/>
              </w:rPr>
              <w:t>矩形顶管机类型</w:t>
            </w:r>
          </w:p>
        </w:tc>
        <w:tc>
          <w:tcPr>
            <w:tcW w:w="2878" w:type="dxa"/>
            <w:vAlign w:val="center"/>
          </w:tcPr>
          <w:p>
            <w:pPr>
              <w:spacing w:line="240" w:lineRule="auto"/>
              <w:jc w:val="center"/>
              <w:rPr>
                <w:sz w:val="21"/>
              </w:rPr>
            </w:pPr>
            <w:r>
              <w:rPr>
                <w:sz w:val="21"/>
              </w:rPr>
              <w:t>矩形土压平衡式顶管</w:t>
            </w:r>
            <w:r>
              <w:rPr>
                <w:rFonts w:hint="eastAsia"/>
                <w:sz w:val="21"/>
              </w:rPr>
              <w:t>机</w:t>
            </w:r>
          </w:p>
        </w:tc>
        <w:tc>
          <w:tcPr>
            <w:tcW w:w="3160" w:type="dxa"/>
            <w:vAlign w:val="center"/>
          </w:tcPr>
          <w:p>
            <w:pPr>
              <w:spacing w:line="240" w:lineRule="auto"/>
              <w:jc w:val="center"/>
              <w:rPr>
                <w:sz w:val="21"/>
              </w:rPr>
            </w:pPr>
            <w:r>
              <w:rPr>
                <w:sz w:val="21"/>
              </w:rPr>
              <w:t>矩形泥水平衡式顶管</w:t>
            </w:r>
            <w:r>
              <w:rPr>
                <w:rFonts w:hint="eastAsia"/>
                <w:sz w:val="21"/>
              </w:rPr>
              <w:t>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59" w:type="dxa"/>
            <w:vAlign w:val="center"/>
          </w:tcPr>
          <w:p>
            <w:pPr>
              <w:spacing w:line="240" w:lineRule="auto"/>
              <w:jc w:val="center"/>
              <w:rPr>
                <w:b/>
                <w:bCs/>
                <w:sz w:val="21"/>
              </w:rPr>
            </w:pPr>
            <w:r>
              <w:rPr>
                <w:sz w:val="21"/>
              </w:rPr>
              <w:t>适用土质</w:t>
            </w:r>
          </w:p>
        </w:tc>
        <w:tc>
          <w:tcPr>
            <w:tcW w:w="2878" w:type="dxa"/>
            <w:vAlign w:val="center"/>
          </w:tcPr>
          <w:p>
            <w:pPr>
              <w:spacing w:line="240" w:lineRule="auto"/>
              <w:jc w:val="center"/>
              <w:rPr>
                <w:b/>
                <w:bCs/>
                <w:sz w:val="21"/>
              </w:rPr>
            </w:pPr>
            <w:r>
              <w:rPr>
                <w:sz w:val="21"/>
              </w:rPr>
              <w:t>淤泥、黏土、粉土、砂土、砾石层；需适时添加相应改良剂</w:t>
            </w:r>
          </w:p>
        </w:tc>
        <w:tc>
          <w:tcPr>
            <w:tcW w:w="3160" w:type="dxa"/>
            <w:vAlign w:val="center"/>
          </w:tcPr>
          <w:p>
            <w:pPr>
              <w:spacing w:line="240" w:lineRule="auto"/>
              <w:jc w:val="center"/>
              <w:rPr>
                <w:b/>
                <w:bCs/>
                <w:sz w:val="21"/>
              </w:rPr>
            </w:pPr>
            <w:r>
              <w:rPr>
                <w:sz w:val="21"/>
              </w:rPr>
              <w:t>淤泥质土、粉土、砂土、砾石层；需适时添加适当的添加剂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59" w:type="dxa"/>
            <w:vAlign w:val="center"/>
          </w:tcPr>
          <w:p>
            <w:pPr>
              <w:spacing w:line="240" w:lineRule="auto"/>
              <w:jc w:val="center"/>
              <w:rPr>
                <w:b/>
                <w:bCs/>
                <w:sz w:val="21"/>
              </w:rPr>
            </w:pPr>
            <w:r>
              <w:rPr>
                <w:sz w:val="21"/>
              </w:rPr>
              <w:t>适用距离</w:t>
            </w:r>
          </w:p>
        </w:tc>
        <w:tc>
          <w:tcPr>
            <w:tcW w:w="2878" w:type="dxa"/>
            <w:vAlign w:val="center"/>
          </w:tcPr>
          <w:p>
            <w:pPr>
              <w:spacing w:line="240" w:lineRule="auto"/>
              <w:jc w:val="center"/>
              <w:rPr>
                <w:b/>
                <w:bCs/>
                <w:sz w:val="21"/>
              </w:rPr>
            </w:pPr>
            <w:r>
              <w:rPr>
                <w:sz w:val="21"/>
              </w:rPr>
              <w:t>小于或等于200m</w:t>
            </w:r>
          </w:p>
        </w:tc>
        <w:tc>
          <w:tcPr>
            <w:tcW w:w="3160" w:type="dxa"/>
            <w:vAlign w:val="center"/>
          </w:tcPr>
          <w:p>
            <w:pPr>
              <w:spacing w:line="240" w:lineRule="auto"/>
              <w:jc w:val="center"/>
              <w:rPr>
                <w:b/>
                <w:bCs/>
                <w:sz w:val="21"/>
              </w:rPr>
            </w:pPr>
            <w:r>
              <w:rPr>
                <w:sz w:val="21"/>
              </w:rPr>
              <w:t>小于或等于300m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59" w:type="dxa"/>
            <w:vAlign w:val="center"/>
          </w:tcPr>
          <w:p>
            <w:pPr>
              <w:spacing w:line="240" w:lineRule="auto"/>
              <w:jc w:val="center"/>
              <w:rPr>
                <w:b/>
                <w:bCs/>
                <w:sz w:val="21"/>
              </w:rPr>
            </w:pPr>
            <w:r>
              <w:rPr>
                <w:sz w:val="21"/>
              </w:rPr>
              <w:t>适用坡度</w:t>
            </w:r>
          </w:p>
        </w:tc>
        <w:tc>
          <w:tcPr>
            <w:tcW w:w="2878" w:type="dxa"/>
            <w:vAlign w:val="center"/>
          </w:tcPr>
          <w:p>
            <w:pPr>
              <w:spacing w:line="240" w:lineRule="auto"/>
              <w:jc w:val="center"/>
              <w:rPr>
                <w:b/>
                <w:bCs/>
                <w:sz w:val="21"/>
              </w:rPr>
            </w:pPr>
            <w:r>
              <w:rPr>
                <w:sz w:val="21"/>
              </w:rPr>
              <w:t>一般平坡顶进，迎坡顶进时，纵坡不宜大于2%</w:t>
            </w:r>
          </w:p>
        </w:tc>
        <w:tc>
          <w:tcPr>
            <w:tcW w:w="3160" w:type="dxa"/>
            <w:vAlign w:val="center"/>
          </w:tcPr>
          <w:p>
            <w:pPr>
              <w:spacing w:line="240" w:lineRule="auto"/>
              <w:jc w:val="center"/>
              <w:rPr>
                <w:b/>
                <w:bCs/>
                <w:sz w:val="21"/>
              </w:rPr>
            </w:pPr>
            <w:r>
              <w:rPr>
                <w:sz w:val="21"/>
              </w:rPr>
              <w:t>一般平坡顶进，迎坡顶进时，纵坡不宜大于2%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59" w:type="dxa"/>
            <w:vAlign w:val="center"/>
          </w:tcPr>
          <w:p>
            <w:pPr>
              <w:spacing w:line="240" w:lineRule="auto"/>
              <w:jc w:val="center"/>
              <w:rPr>
                <w:sz w:val="21"/>
              </w:rPr>
            </w:pPr>
            <w:r>
              <w:rPr>
                <w:sz w:val="21"/>
              </w:rPr>
              <w:t>管顶覆土</w:t>
            </w:r>
          </w:p>
        </w:tc>
        <w:tc>
          <w:tcPr>
            <w:tcW w:w="2878" w:type="dxa"/>
            <w:vAlign w:val="center"/>
          </w:tcPr>
          <w:p>
            <w:pPr>
              <w:spacing w:line="240" w:lineRule="auto"/>
              <w:jc w:val="center"/>
              <w:rPr>
                <w:b/>
                <w:bCs/>
                <w:sz w:val="21"/>
              </w:rPr>
            </w:pPr>
            <w:r>
              <w:rPr>
                <w:sz w:val="21"/>
              </w:rPr>
              <w:t>不小于3m</w:t>
            </w:r>
          </w:p>
        </w:tc>
        <w:tc>
          <w:tcPr>
            <w:tcW w:w="3160" w:type="dxa"/>
            <w:vAlign w:val="center"/>
          </w:tcPr>
          <w:p>
            <w:pPr>
              <w:spacing w:line="240" w:lineRule="auto"/>
              <w:jc w:val="center"/>
              <w:rPr>
                <w:b/>
                <w:bCs/>
                <w:sz w:val="21"/>
              </w:rPr>
            </w:pPr>
            <w:r>
              <w:rPr>
                <w:sz w:val="21"/>
              </w:rPr>
              <w:t>不小于</w:t>
            </w:r>
            <w:r>
              <w:rPr>
                <w:rFonts w:hint="eastAsia"/>
                <w:sz w:val="21"/>
              </w:rPr>
              <w:t>1</w:t>
            </w:r>
            <w:r>
              <w:rPr>
                <w:sz w:val="21"/>
              </w:rPr>
              <w:t>倍管节高度，且不小于4m</w:t>
            </w:r>
          </w:p>
        </w:tc>
      </w:tr>
    </w:tbl>
    <w:p>
      <w:pPr>
        <w:rPr>
          <w:b/>
          <w:bCs/>
        </w:rPr>
      </w:pPr>
    </w:p>
    <w:p>
      <w:r>
        <w:rPr>
          <w:b/>
          <w:bCs/>
        </w:rPr>
        <w:t>8.2.4</w:t>
      </w:r>
      <w:r>
        <w:t xml:space="preserve">  掘进系统选型与设计应符合下列规定：</w:t>
      </w:r>
    </w:p>
    <w:p>
      <w:pPr>
        <w:ind w:firstLine="482" w:firstLineChars="200"/>
      </w:pPr>
      <w:r>
        <w:rPr>
          <w:b/>
          <w:bCs/>
        </w:rPr>
        <w:t>1</w:t>
      </w:r>
      <w:r>
        <w:t xml:space="preserve">  应根据工程地质和水文地质及开挖面稳定形式选择矩形顶管机；</w:t>
      </w:r>
    </w:p>
    <w:p>
      <w:pPr>
        <w:ind w:firstLine="482" w:firstLineChars="200"/>
      </w:pPr>
      <w:r>
        <w:rPr>
          <w:b/>
          <w:bCs/>
        </w:rPr>
        <w:t>2</w:t>
      </w:r>
      <w:r>
        <w:t xml:space="preserve">  掘进系统应具有切削矩形断面土体、支撑开挖掌子面、渣土改良和搅拌的功能；</w:t>
      </w:r>
    </w:p>
    <w:p>
      <w:pPr>
        <w:ind w:firstLine="482" w:firstLineChars="200"/>
      </w:pPr>
      <w:r>
        <w:rPr>
          <w:b/>
          <w:bCs/>
        </w:rPr>
        <w:t xml:space="preserve">3  </w:t>
      </w:r>
      <w:r>
        <w:t>矩形顶管机掘进系统宜采用多个刀盘单元组成，也可由单个仿形刀盘构成；</w:t>
      </w:r>
    </w:p>
    <w:p>
      <w:pPr>
        <w:ind w:firstLine="482" w:firstLineChars="200"/>
      </w:pPr>
      <w:r>
        <w:rPr>
          <w:b/>
          <w:bCs/>
        </w:rPr>
        <w:t>4</w:t>
      </w:r>
      <w:r>
        <w:t xml:space="preserve">  矩形顶管机掘进系统应具备矩形断面切削能力；</w:t>
      </w:r>
    </w:p>
    <w:p>
      <w:pPr>
        <w:ind w:firstLine="482" w:firstLineChars="200"/>
      </w:pPr>
      <w:r>
        <w:rPr>
          <w:b/>
          <w:bCs/>
        </w:rPr>
        <w:t xml:space="preserve">5  </w:t>
      </w:r>
      <w:r>
        <w:t>矩形顶管机掘进系统设计应减少开挖盲区，开挖盲区可采用高压水射流、风钻等主动切削形式或盾体切刀等被动切削形式；未采用盲区处理措施的地层，开挖盲区不应影响矩形顶管的正常掘进；</w:t>
      </w:r>
    </w:p>
    <w:p>
      <w:pPr>
        <w:jc w:val="left"/>
        <w:rPr>
          <w:kern w:val="0"/>
          <w:szCs w:val="20"/>
        </w:rPr>
      </w:pPr>
      <w:r>
        <w:rPr>
          <w:b/>
          <w:bCs/>
        </w:rPr>
        <w:t xml:space="preserve">8.2.5  </w:t>
      </w:r>
      <w:r>
        <w:rPr>
          <w:kern w:val="0"/>
          <w:szCs w:val="20"/>
        </w:rPr>
        <w:t>排渣系统选型与设计应符合下列规定：</w:t>
      </w:r>
    </w:p>
    <w:p>
      <w:pPr>
        <w:pStyle w:val="89"/>
        <w:tabs>
          <w:tab w:val="center" w:pos="4201"/>
          <w:tab w:val="right" w:leader="dot" w:pos="9298"/>
        </w:tabs>
        <w:spacing w:line="360" w:lineRule="auto"/>
        <w:ind w:firstLine="482"/>
        <w:rPr>
          <w:rFonts w:ascii="Times New Roman"/>
          <w:sz w:val="24"/>
        </w:rPr>
      </w:pPr>
      <w:r>
        <w:rPr>
          <w:rFonts w:ascii="Times New Roman"/>
          <w:b/>
          <w:bCs/>
          <w:sz w:val="24"/>
        </w:rPr>
        <w:t>1</w:t>
      </w:r>
      <w:r>
        <w:rPr>
          <w:rFonts w:ascii="Times New Roman"/>
          <w:sz w:val="24"/>
        </w:rPr>
        <w:t xml:space="preserve">  排渣系统选型应与土仓压力平衡形式相匹配，并</w:t>
      </w:r>
      <w:r>
        <w:rPr>
          <w:rFonts w:hint="eastAsia" w:ascii="Times New Roman"/>
          <w:sz w:val="24"/>
        </w:rPr>
        <w:t>宜</w:t>
      </w:r>
      <w:r>
        <w:rPr>
          <w:rFonts w:ascii="Times New Roman"/>
          <w:sz w:val="24"/>
        </w:rPr>
        <w:t>具有辅助调节土仓压力的功能；</w:t>
      </w:r>
    </w:p>
    <w:p>
      <w:pPr>
        <w:pStyle w:val="89"/>
        <w:tabs>
          <w:tab w:val="center" w:pos="4201"/>
          <w:tab w:val="right" w:leader="dot" w:pos="9298"/>
        </w:tabs>
        <w:spacing w:line="360" w:lineRule="auto"/>
        <w:ind w:firstLine="482"/>
        <w:rPr>
          <w:rFonts w:ascii="Times New Roman"/>
          <w:sz w:val="24"/>
        </w:rPr>
      </w:pPr>
      <w:r>
        <w:rPr>
          <w:rFonts w:ascii="Times New Roman"/>
          <w:b/>
          <w:bCs/>
          <w:sz w:val="24"/>
        </w:rPr>
        <w:t>2</w:t>
      </w:r>
      <w:r>
        <w:rPr>
          <w:rFonts w:ascii="Times New Roman"/>
          <w:sz w:val="24"/>
        </w:rPr>
        <w:t xml:space="preserve">  矩形土压平衡顶管机螺旋输送机可根据地质工况不同，选用有轴式输送机或带式输送机；</w:t>
      </w:r>
    </w:p>
    <w:p>
      <w:pPr>
        <w:ind w:firstLine="482" w:firstLineChars="200"/>
        <w:rPr>
          <w:kern w:val="0"/>
          <w:szCs w:val="20"/>
        </w:rPr>
      </w:pPr>
      <w:r>
        <w:rPr>
          <w:b/>
          <w:bCs/>
          <w:kern w:val="0"/>
          <w:szCs w:val="20"/>
        </w:rPr>
        <w:t>3</w:t>
      </w:r>
      <w:r>
        <w:rPr>
          <w:kern w:val="0"/>
          <w:szCs w:val="20"/>
        </w:rPr>
        <w:t xml:space="preserve">  当富水地层选用螺旋输送机出渣时，螺旋输送机出渣口宜配置双闸门。</w:t>
      </w:r>
    </w:p>
    <w:p>
      <w:pPr>
        <w:jc w:val="left"/>
      </w:pPr>
      <w:r>
        <w:rPr>
          <w:b/>
          <w:bCs/>
          <w:kern w:val="0"/>
          <w:szCs w:val="20"/>
        </w:rPr>
        <w:t xml:space="preserve">8.2.6  </w:t>
      </w:r>
      <w:r>
        <w:t>矩形土压平衡顶管机应配置渣土改良系统，并应符合下列规定：</w:t>
      </w:r>
    </w:p>
    <w:p>
      <w:pPr>
        <w:ind w:firstLine="482" w:firstLineChars="200"/>
        <w:jc w:val="left"/>
      </w:pPr>
      <w:r>
        <w:rPr>
          <w:b/>
          <w:bCs/>
        </w:rPr>
        <w:t>1</w:t>
      </w:r>
      <w:r>
        <w:t xml:space="preserve">  黏土、粉土地层应配置</w:t>
      </w:r>
      <w:r>
        <w:rPr>
          <w:rFonts w:hint="eastAsia"/>
        </w:rPr>
        <w:t>渣土</w:t>
      </w:r>
      <w:r>
        <w:t>改良系统；</w:t>
      </w:r>
    </w:p>
    <w:p>
      <w:pPr>
        <w:ind w:firstLine="482" w:firstLineChars="200"/>
        <w:jc w:val="left"/>
      </w:pPr>
      <w:r>
        <w:rPr>
          <w:b/>
          <w:bCs/>
        </w:rPr>
        <w:t>2</w:t>
      </w:r>
      <w:r>
        <w:t xml:space="preserve">  砂土地层应配置膨润土改良系统；</w:t>
      </w:r>
    </w:p>
    <w:p>
      <w:pPr>
        <w:ind w:firstLine="482" w:firstLineChars="200"/>
        <w:jc w:val="left"/>
      </w:pPr>
      <w:r>
        <w:rPr>
          <w:b/>
          <w:bCs/>
        </w:rPr>
        <w:t>3</w:t>
      </w:r>
      <w:r>
        <w:t xml:space="preserve">  砾石层矩形</w:t>
      </w:r>
      <w:r>
        <w:rPr>
          <w:szCs w:val="20"/>
        </w:rPr>
        <w:t>顶管机</w:t>
      </w:r>
      <w:r>
        <w:t>应配备泡沫、膨润土、黏土综合改良系统。</w:t>
      </w:r>
    </w:p>
    <w:p>
      <w:pPr>
        <w:rPr>
          <w:bCs/>
        </w:rPr>
      </w:pPr>
      <w:r>
        <w:rPr>
          <w:rFonts w:hint="eastAsia"/>
          <w:b/>
          <w:bCs/>
        </w:rPr>
        <w:t xml:space="preserve">8.2.7  </w:t>
      </w:r>
      <w:r>
        <w:rPr>
          <w:rFonts w:hint="eastAsia"/>
          <w:bCs/>
        </w:rPr>
        <w:t>矩形泥水平衡顶管机泥浆循环系统，并应符合下列规定：</w:t>
      </w:r>
    </w:p>
    <w:p>
      <w:pPr>
        <w:ind w:firstLine="482" w:firstLineChars="200"/>
        <w:jc w:val="left"/>
      </w:pPr>
      <w:r>
        <w:rPr>
          <w:rFonts w:hint="eastAsia"/>
          <w:b/>
        </w:rPr>
        <w:t xml:space="preserve">1 </w:t>
      </w:r>
      <w:r>
        <w:rPr>
          <w:rFonts w:hint="eastAsia"/>
        </w:rPr>
        <w:t xml:space="preserve"> 系统应具有能实现掘进、旁通、逆洗和补浆工作模式的功能，模式切换的阀门动作满足设计要求；</w:t>
      </w:r>
    </w:p>
    <w:p>
      <w:pPr>
        <w:ind w:firstLine="482" w:firstLineChars="200"/>
        <w:jc w:val="left"/>
      </w:pPr>
      <w:r>
        <w:rPr>
          <w:rFonts w:hint="eastAsia"/>
          <w:b/>
        </w:rPr>
        <w:t>2</w:t>
      </w:r>
      <w:r>
        <w:rPr>
          <w:rFonts w:hint="eastAsia"/>
        </w:rPr>
        <w:t xml:space="preserve">  在刀盘中心和排渣口区域宜设置高压冲刷口；</w:t>
      </w:r>
    </w:p>
    <w:p>
      <w:pPr>
        <w:ind w:firstLine="482" w:firstLineChars="200"/>
        <w:jc w:val="left"/>
      </w:pPr>
      <w:r>
        <w:rPr>
          <w:rFonts w:hint="eastAsia"/>
          <w:b/>
        </w:rPr>
        <w:t xml:space="preserve">3  </w:t>
      </w:r>
      <w:r>
        <w:rPr>
          <w:rFonts w:hint="eastAsia"/>
        </w:rPr>
        <w:t>应配有进排浆密度、压力和流量检测装置；</w:t>
      </w:r>
    </w:p>
    <w:p>
      <w:pPr>
        <w:ind w:firstLine="482" w:firstLineChars="200"/>
        <w:jc w:val="left"/>
      </w:pPr>
      <w:r>
        <w:rPr>
          <w:rFonts w:hint="eastAsia"/>
          <w:b/>
        </w:rPr>
        <w:t xml:space="preserve">4 </w:t>
      </w:r>
      <w:r>
        <w:rPr>
          <w:rFonts w:hint="eastAsia"/>
        </w:rPr>
        <w:t xml:space="preserve"> 泥浆泵进、出口应配置压力传感器及软连接；</w:t>
      </w:r>
    </w:p>
    <w:p>
      <w:pPr>
        <w:ind w:firstLine="482" w:firstLineChars="200"/>
        <w:jc w:val="left"/>
      </w:pPr>
      <w:r>
        <w:rPr>
          <w:rFonts w:hint="eastAsia"/>
          <w:b/>
        </w:rPr>
        <w:t xml:space="preserve">5 </w:t>
      </w:r>
      <w:r>
        <w:rPr>
          <w:rFonts w:hint="eastAsia"/>
        </w:rPr>
        <w:t xml:space="preserve"> 主控室内应设置泥水循环系统急停按钮。</w:t>
      </w:r>
    </w:p>
    <w:p>
      <w:r>
        <w:rPr>
          <w:b/>
          <w:bCs/>
        </w:rPr>
        <w:t xml:space="preserve">8.2.8 </w:t>
      </w:r>
      <w:r>
        <w:t xml:space="preserve"> 人员带压进仓作业时，矩形顶管机应设置人舱，人舱技术应符合现行国家标准《全断面隧道掘进机</w:t>
      </w:r>
      <w:r>
        <w:rPr>
          <w:rFonts w:hint="eastAsia"/>
        </w:rPr>
        <w:t xml:space="preserve">  </w:t>
      </w:r>
      <w:r>
        <w:t>土压平衡盾构机</w:t>
      </w:r>
      <w:r>
        <w:rPr>
          <w:rFonts w:hint="eastAsia"/>
        </w:rPr>
        <w:t>》</w:t>
      </w:r>
      <w:r>
        <w:t>GB/T 34651的有关规定。</w:t>
      </w:r>
    </w:p>
    <w:p>
      <w:pPr>
        <w:pStyle w:val="91"/>
        <w:spacing w:before="0" w:after="0" w:line="360" w:lineRule="auto"/>
        <w:jc w:val="both"/>
        <w:outlineLvl w:val="9"/>
        <w:rPr>
          <w:rFonts w:ascii="Times New Roman" w:eastAsiaTheme="minorEastAsia"/>
          <w:sz w:val="24"/>
          <w:szCs w:val="24"/>
        </w:rPr>
      </w:pPr>
    </w:p>
    <w:p>
      <w:pPr>
        <w:pStyle w:val="3"/>
        <w:rPr>
          <w:rFonts w:eastAsia="黑体" w:cs="Times New Roman"/>
          <w:b w:val="0"/>
        </w:rPr>
      </w:pPr>
      <w:bookmarkStart w:id="420" w:name="_Toc60172917"/>
      <w:bookmarkStart w:id="421" w:name="_Toc60173804"/>
      <w:r>
        <w:rPr>
          <w:rFonts w:eastAsia="黑体" w:cs="Times New Roman"/>
        </w:rPr>
        <w:t>8.3</w:t>
      </w:r>
      <w:r>
        <w:rPr>
          <w:rFonts w:eastAsia="黑体" w:cs="Times New Roman"/>
          <w:b w:val="0"/>
        </w:rPr>
        <w:t xml:space="preserve">  顶推系统及安装</w:t>
      </w:r>
      <w:bookmarkEnd w:id="420"/>
      <w:bookmarkEnd w:id="421"/>
    </w:p>
    <w:p>
      <w:pPr>
        <w:rPr>
          <w:rFonts w:eastAsiaTheme="minorEastAsia"/>
        </w:rPr>
      </w:pPr>
      <w:r>
        <w:rPr>
          <w:rFonts w:eastAsiaTheme="minorEastAsia"/>
          <w:b/>
          <w:kern w:val="0"/>
        </w:rPr>
        <w:t>8.3.1</w:t>
      </w:r>
      <w:r>
        <w:rPr>
          <w:rFonts w:eastAsiaTheme="minorEastAsia"/>
          <w:kern w:val="0"/>
        </w:rPr>
        <w:t xml:space="preserve">  </w:t>
      </w:r>
      <w:r>
        <w:rPr>
          <w:rFonts w:eastAsiaTheme="minorEastAsia"/>
        </w:rPr>
        <w:t>顶推液压缸支架的安装应符合下列规定：</w:t>
      </w:r>
    </w:p>
    <w:p>
      <w:pPr>
        <w:ind w:firstLine="482" w:firstLineChars="200"/>
      </w:pPr>
      <w:r>
        <w:rPr>
          <w:b/>
          <w:bCs/>
        </w:rPr>
        <w:t>1</w:t>
      </w:r>
      <w:r>
        <w:t xml:space="preserve">  顶推液压缸支架应牢固安装在始发井底板上，支架两侧应平行、等高、对称，安装轴线应与隧道设计轴线一致；</w:t>
      </w:r>
    </w:p>
    <w:p>
      <w:pPr>
        <w:ind w:firstLine="482" w:firstLineChars="200"/>
      </w:pPr>
      <w:r>
        <w:rPr>
          <w:b/>
          <w:bCs/>
        </w:rPr>
        <w:t>2</w:t>
      </w:r>
      <w:r>
        <w:t xml:space="preserve">  顶推液压缸支架安装应使顶推液压缸的合力中心在隧道中心的垂直线上，且合力中心点宜低于隧道中心。</w:t>
      </w:r>
    </w:p>
    <w:p>
      <w:pPr>
        <w:rPr>
          <w:rFonts w:eastAsiaTheme="minorEastAsia"/>
        </w:rPr>
      </w:pPr>
      <w:r>
        <w:rPr>
          <w:rFonts w:eastAsiaTheme="minorEastAsia"/>
          <w:b/>
          <w:kern w:val="0"/>
        </w:rPr>
        <w:t xml:space="preserve">8.3.2  </w:t>
      </w:r>
      <w:r>
        <w:rPr>
          <w:rFonts w:eastAsiaTheme="minorEastAsia"/>
        </w:rPr>
        <w:t>顶推液压缸的安装及调试应符合下列规定：</w:t>
      </w:r>
    </w:p>
    <w:p>
      <w:pPr>
        <w:ind w:firstLine="482" w:firstLineChars="200"/>
      </w:pPr>
      <w:r>
        <w:rPr>
          <w:b/>
          <w:bCs/>
        </w:rPr>
        <w:t>1</w:t>
      </w:r>
      <w:r>
        <w:t xml:space="preserve">  </w:t>
      </w:r>
      <w:r>
        <w:rPr>
          <w:lang w:val="de-DE"/>
        </w:rPr>
        <w:t>顶推</w:t>
      </w:r>
      <w:r>
        <w:t>液压缸宜固定在支架上，可做整体吊装；</w:t>
      </w:r>
    </w:p>
    <w:p>
      <w:pPr>
        <w:ind w:firstLine="482" w:firstLineChars="200"/>
      </w:pPr>
      <w:r>
        <w:rPr>
          <w:b/>
          <w:bCs/>
        </w:rPr>
        <w:t>2</w:t>
      </w:r>
      <w:r>
        <w:t xml:space="preserve">  每根液压缸中心轴线宜与管节厚度中心重合；</w:t>
      </w:r>
    </w:p>
    <w:p>
      <w:pPr>
        <w:ind w:firstLine="482" w:firstLineChars="200"/>
      </w:pPr>
      <w:r>
        <w:rPr>
          <w:b/>
          <w:bCs/>
        </w:rPr>
        <w:t>3</w:t>
      </w:r>
      <w:r>
        <w:t xml:space="preserve">  液压缸的油路应并联，每根液压缸应有进油、出油的控制系统；</w:t>
      </w:r>
    </w:p>
    <w:p>
      <w:pPr>
        <w:ind w:firstLine="482" w:firstLineChars="200"/>
      </w:pPr>
      <w:r>
        <w:rPr>
          <w:b/>
          <w:bCs/>
        </w:rPr>
        <w:t>4</w:t>
      </w:r>
      <w:r>
        <w:t xml:space="preserve">  每根液压缸应设置油路断路开关；</w:t>
      </w:r>
    </w:p>
    <w:p>
      <w:pPr>
        <w:ind w:firstLine="482" w:firstLineChars="200"/>
      </w:pPr>
      <w:r>
        <w:rPr>
          <w:b/>
          <w:bCs/>
        </w:rPr>
        <w:t>5</w:t>
      </w:r>
      <w:r>
        <w:t xml:space="preserve">  应分别对每</w:t>
      </w:r>
      <w:r>
        <w:rPr>
          <w:rFonts w:hint="eastAsia"/>
        </w:rPr>
        <w:t>台</w:t>
      </w:r>
      <w:r>
        <w:t>液压缸进行调试，油压均应达到额定压力；</w:t>
      </w:r>
    </w:p>
    <w:p>
      <w:pPr>
        <w:ind w:firstLine="482" w:firstLineChars="200"/>
      </w:pPr>
      <w:r>
        <w:rPr>
          <w:b/>
          <w:bCs/>
        </w:rPr>
        <w:t>6</w:t>
      </w:r>
      <w:r>
        <w:t xml:space="preserve">  顶推液压缸宜取偶数，且规格宜相同。当规格不同时，应保证行程一致，并应将同规格的液压缸对称布置。</w:t>
      </w:r>
    </w:p>
    <w:p>
      <w:pPr>
        <w:rPr>
          <w:rFonts w:eastAsiaTheme="minorEastAsia"/>
          <w:b/>
        </w:rPr>
      </w:pPr>
      <w:r>
        <w:rPr>
          <w:rFonts w:eastAsiaTheme="minorEastAsia"/>
          <w:b/>
          <w:kern w:val="0"/>
        </w:rPr>
        <w:t xml:space="preserve">8.3.3  </w:t>
      </w:r>
      <w:r>
        <w:rPr>
          <w:rFonts w:eastAsiaTheme="minorEastAsia"/>
        </w:rPr>
        <w:t>顶推液压泵站的安装及调试应符合下列规定：</w:t>
      </w:r>
    </w:p>
    <w:p>
      <w:pPr>
        <w:ind w:firstLine="482" w:firstLineChars="200"/>
      </w:pPr>
      <w:r>
        <w:rPr>
          <w:b/>
          <w:bCs/>
        </w:rPr>
        <w:t>1</w:t>
      </w:r>
      <w:r>
        <w:t xml:space="preserve">  顶推液压泵站的油箱有效容积不应小于液压缸用油量总和的1.1倍，油管通径应与液压缸的大小和数量匹配；</w:t>
      </w:r>
    </w:p>
    <w:p>
      <w:pPr>
        <w:ind w:firstLine="482" w:firstLineChars="200"/>
      </w:pPr>
      <w:r>
        <w:rPr>
          <w:b/>
          <w:bCs/>
        </w:rPr>
        <w:t>2</w:t>
      </w:r>
      <w:r>
        <w:t xml:space="preserve">  顶推液压泵站安放的场地应平整压实、通风、防雨，严寒地区应配备保温措施；</w:t>
      </w:r>
    </w:p>
    <w:p>
      <w:pPr>
        <w:ind w:firstLine="482" w:firstLineChars="200"/>
        <w:rPr>
          <w:rStyle w:val="43"/>
          <w:rFonts w:asciiTheme="minorHAnsi" w:hAnsiTheme="minorHAnsi" w:eastAsiaTheme="minorEastAsia" w:cstheme="minorBidi"/>
        </w:rPr>
      </w:pPr>
      <w:r>
        <w:rPr>
          <w:b/>
          <w:bCs/>
        </w:rPr>
        <w:t>3</w:t>
      </w:r>
      <w:r>
        <w:t xml:space="preserve">  顶推液压泵站应靠近液压缸安装。设定工作压力不得超出液压泵的额定压力</w:t>
      </w:r>
      <w:r>
        <w:rPr>
          <w:rStyle w:val="43"/>
          <w:rFonts w:hint="eastAsia" w:asciiTheme="minorHAnsi" w:hAnsiTheme="minorHAnsi" w:eastAsiaTheme="minorEastAsia" w:cstheme="minorBidi"/>
        </w:rPr>
        <w:t>；</w:t>
      </w:r>
    </w:p>
    <w:p>
      <w:pPr>
        <w:ind w:firstLine="482" w:firstLineChars="200"/>
      </w:pPr>
      <w:r>
        <w:rPr>
          <w:b/>
          <w:bCs/>
        </w:rPr>
        <w:t>4</w:t>
      </w:r>
      <w:r>
        <w:t xml:space="preserve">  油管的承压能力不应小于系统的最高压力，</w:t>
      </w:r>
      <w:r>
        <w:rPr>
          <w:rFonts w:hint="eastAsia"/>
        </w:rPr>
        <w:t>油管</w:t>
      </w:r>
      <w:r>
        <w:t>安装时应顺直但不</w:t>
      </w:r>
      <w:r>
        <w:rPr>
          <w:rFonts w:hint="eastAsia"/>
        </w:rPr>
        <w:t>应</w:t>
      </w:r>
      <w:r>
        <w:t>紧绷，不宜使用过长的油管。</w:t>
      </w:r>
    </w:p>
    <w:p>
      <w:pPr>
        <w:rPr>
          <w:rFonts w:eastAsiaTheme="minorEastAsia"/>
          <w:b/>
        </w:rPr>
      </w:pPr>
      <w:r>
        <w:rPr>
          <w:rFonts w:eastAsiaTheme="minorEastAsia"/>
          <w:b/>
          <w:kern w:val="0"/>
        </w:rPr>
        <w:t xml:space="preserve">8.3.4  </w:t>
      </w:r>
      <w:r>
        <w:rPr>
          <w:rFonts w:eastAsiaTheme="minorEastAsia"/>
        </w:rPr>
        <w:t>后靠的安装及调试应符合下列规定：</w:t>
      </w:r>
    </w:p>
    <w:p>
      <w:pPr>
        <w:ind w:firstLine="482" w:firstLineChars="200"/>
      </w:pPr>
      <w:r>
        <w:rPr>
          <w:b/>
          <w:bCs/>
        </w:rPr>
        <w:t>1</w:t>
      </w:r>
      <w:r>
        <w:t xml:space="preserve">  后靠宜采用焊接钢构，后靠的立面面积应根据顶力、井壁厚度及强度、土层的承载力确定；安装时应确保作用面与</w:t>
      </w:r>
      <w:r>
        <w:rPr>
          <w:rFonts w:hint="eastAsia"/>
        </w:rPr>
        <w:t>隧道设计轴线</w:t>
      </w:r>
      <w:r>
        <w:t>垂直，倾斜误差不应大于0.5%；</w:t>
      </w:r>
    </w:p>
    <w:p>
      <w:pPr>
        <w:ind w:firstLine="482" w:firstLineChars="200"/>
      </w:pPr>
      <w:r>
        <w:rPr>
          <w:b/>
          <w:bCs/>
        </w:rPr>
        <w:t>2</w:t>
      </w:r>
      <w:r>
        <w:t xml:space="preserve">  可用型钢对后靠进行横向的固定；</w:t>
      </w:r>
    </w:p>
    <w:p>
      <w:pPr>
        <w:ind w:firstLine="482" w:firstLineChars="200"/>
      </w:pPr>
      <w:r>
        <w:rPr>
          <w:b/>
          <w:bCs/>
        </w:rPr>
        <w:t>3</w:t>
      </w:r>
      <w:r>
        <w:t xml:space="preserve">  应根据后靠的布筋结构确定后靠</w:t>
      </w:r>
      <w:r>
        <w:rPr>
          <w:rFonts w:hint="eastAsia"/>
        </w:rPr>
        <w:t>的</w:t>
      </w:r>
      <w:r>
        <w:t>安装位置及前后朝向；</w:t>
      </w:r>
    </w:p>
    <w:p>
      <w:pPr>
        <w:ind w:firstLine="482" w:firstLineChars="200"/>
      </w:pPr>
      <w:r>
        <w:rPr>
          <w:b/>
          <w:bCs/>
        </w:rPr>
        <w:t>4</w:t>
      </w:r>
      <w:r>
        <w:t xml:space="preserve">  后靠与井壁之间的空隙应浇筑强度等级不低于C30的混凝土。</w:t>
      </w:r>
    </w:p>
    <w:p>
      <w:pPr>
        <w:rPr>
          <w:rFonts w:eastAsiaTheme="minorEastAsia"/>
        </w:rPr>
      </w:pPr>
      <w:r>
        <w:rPr>
          <w:rFonts w:eastAsiaTheme="minorEastAsia"/>
          <w:b/>
          <w:kern w:val="0"/>
        </w:rPr>
        <w:t xml:space="preserve">8.3.5  </w:t>
      </w:r>
      <w:r>
        <w:rPr>
          <w:rFonts w:eastAsiaTheme="minorEastAsia"/>
        </w:rPr>
        <w:t>顶铁的安装和使用应符合下列规定：</w:t>
      </w:r>
    </w:p>
    <w:p>
      <w:pPr>
        <w:ind w:firstLine="482" w:firstLineChars="200"/>
      </w:pPr>
      <w:r>
        <w:rPr>
          <w:b/>
          <w:bCs/>
        </w:rPr>
        <w:t>1</w:t>
      </w:r>
      <w:r>
        <w:t xml:space="preserve">  顶铁宜采用型钢焊接成型，顶铁的强度、刚度应满足最大允许顶力要求；</w:t>
      </w:r>
    </w:p>
    <w:p>
      <w:pPr>
        <w:ind w:firstLine="482" w:firstLineChars="200"/>
        <w:rPr>
          <w:strike/>
        </w:rPr>
      </w:pPr>
      <w:r>
        <w:rPr>
          <w:b/>
          <w:bCs/>
        </w:rPr>
        <w:t>2</w:t>
      </w:r>
      <w:r>
        <w:t xml:space="preserve">  顶铁安装轴线应与隧道设计轴线一致，顶铁与导轨、管节、液压缸之间的接触面不得有泥土等异物；</w:t>
      </w:r>
    </w:p>
    <w:p>
      <w:pPr>
        <w:ind w:firstLine="482" w:firstLineChars="200"/>
      </w:pPr>
      <w:r>
        <w:rPr>
          <w:b/>
          <w:bCs/>
        </w:rPr>
        <w:t>3</w:t>
      </w:r>
      <w:r>
        <w:t xml:space="preserve">  顶铁与管节之间应采用缓冲材料衬垫；</w:t>
      </w:r>
    </w:p>
    <w:p>
      <w:pPr>
        <w:ind w:firstLine="482" w:firstLineChars="200"/>
      </w:pPr>
      <w:r>
        <w:rPr>
          <w:b/>
          <w:bCs/>
        </w:rPr>
        <w:t>4</w:t>
      </w:r>
      <w:r>
        <w:t xml:space="preserve">  顶铁与顶推液压缸连接端宜配置顶推液压缸向后拖拽装置；</w:t>
      </w:r>
    </w:p>
    <w:p>
      <w:pPr>
        <w:ind w:firstLine="482" w:firstLineChars="200"/>
        <w:rPr>
          <w:b/>
        </w:rPr>
      </w:pPr>
      <w:r>
        <w:rPr>
          <w:b/>
          <w:bCs/>
        </w:rPr>
        <w:t>5</w:t>
      </w:r>
      <w:r>
        <w:t xml:space="preserve">  顶铁放置导轨上时应保持稳定；</w:t>
      </w:r>
    </w:p>
    <w:p>
      <w:pPr>
        <w:ind w:firstLine="482" w:firstLineChars="200"/>
      </w:pPr>
      <w:r>
        <w:rPr>
          <w:b/>
          <w:bCs/>
        </w:rPr>
        <w:t>6</w:t>
      </w:r>
      <w:r>
        <w:t xml:space="preserve">  顶进时，工作人员不得在顶铁上方及侧面停留，并应随时观察顶铁的工作状况；</w:t>
      </w:r>
    </w:p>
    <w:p>
      <w:pPr>
        <w:ind w:firstLine="482" w:firstLineChars="200"/>
      </w:pPr>
      <w:r>
        <w:rPr>
          <w:b/>
          <w:bCs/>
        </w:rPr>
        <w:t>7</w:t>
      </w:r>
      <w:r>
        <w:t xml:space="preserve">  安装前应检查顶铁规格和完好性，不同规格的顶铁不宜混用。</w:t>
      </w:r>
    </w:p>
    <w:p>
      <w:pPr>
        <w:rPr>
          <w:rFonts w:eastAsiaTheme="minorEastAsia"/>
          <w:b/>
        </w:rPr>
      </w:pPr>
      <w:r>
        <w:rPr>
          <w:rFonts w:eastAsiaTheme="minorEastAsia"/>
          <w:b/>
          <w:kern w:val="0"/>
        </w:rPr>
        <w:t xml:space="preserve">8.3.6  </w:t>
      </w:r>
      <w:r>
        <w:rPr>
          <w:rFonts w:eastAsiaTheme="minorEastAsia"/>
        </w:rPr>
        <w:t>止退装置的安装应符合下列规定：</w:t>
      </w:r>
    </w:p>
    <w:p>
      <w:pPr>
        <w:ind w:firstLine="482" w:firstLineChars="200"/>
      </w:pPr>
      <w:r>
        <w:rPr>
          <w:b/>
          <w:bCs/>
        </w:rPr>
        <w:t>1</w:t>
      </w:r>
      <w:r>
        <w:t xml:space="preserve">  顶管机始发井内应设置止退装置，止退装置应相对隧道设计轴线对称布置，管节两侧受力应均匀；</w:t>
      </w:r>
    </w:p>
    <w:p>
      <w:pPr>
        <w:ind w:firstLine="482" w:firstLineChars="200"/>
      </w:pPr>
      <w:r>
        <w:rPr>
          <w:b/>
          <w:bCs/>
        </w:rPr>
        <w:t>2</w:t>
      </w:r>
      <w:r>
        <w:t xml:space="preserve">  止退装置的基座标高应能保证止退销安装轴线与管节吊装孔轴线处于同一高度；</w:t>
      </w:r>
    </w:p>
    <w:p>
      <w:pPr>
        <w:ind w:firstLine="482" w:firstLineChars="200"/>
        <w:rPr>
          <w:szCs w:val="24"/>
        </w:rPr>
      </w:pPr>
      <w:r>
        <w:rPr>
          <w:b/>
          <w:bCs/>
        </w:rPr>
        <w:t>3</w:t>
      </w:r>
      <w:r>
        <w:t xml:space="preserve">  止退装置的安装方向应能承受来自掌子面向后的水土压力。</w:t>
      </w:r>
    </w:p>
    <w:p>
      <w:pPr>
        <w:autoSpaceDE w:val="0"/>
        <w:autoSpaceDN w:val="0"/>
        <w:adjustRightInd w:val="0"/>
        <w:ind w:firstLine="480" w:firstLineChars="200"/>
        <w:rPr>
          <w:kern w:val="0"/>
          <w:szCs w:val="24"/>
        </w:rPr>
      </w:pPr>
    </w:p>
    <w:p>
      <w:pPr>
        <w:pStyle w:val="3"/>
        <w:rPr>
          <w:rFonts w:eastAsia="黑体" w:cs="Times New Roman"/>
          <w:b w:val="0"/>
        </w:rPr>
      </w:pPr>
      <w:bookmarkStart w:id="422" w:name="_Toc60172918"/>
      <w:bookmarkStart w:id="423" w:name="_Toc60173805"/>
      <w:r>
        <w:rPr>
          <w:rFonts w:eastAsia="黑体" w:cs="Times New Roman"/>
        </w:rPr>
        <w:t>8.4</w:t>
      </w:r>
      <w:r>
        <w:rPr>
          <w:rFonts w:eastAsia="黑体" w:cs="Times New Roman"/>
          <w:b w:val="0"/>
        </w:rPr>
        <w:t xml:space="preserve">  导轨选择与安装</w:t>
      </w:r>
      <w:bookmarkEnd w:id="422"/>
      <w:bookmarkEnd w:id="423"/>
    </w:p>
    <w:p>
      <w:r>
        <w:rPr>
          <w:rFonts w:eastAsiaTheme="minorEastAsia"/>
          <w:b/>
          <w:kern w:val="0"/>
        </w:rPr>
        <w:t xml:space="preserve">8.4.1  </w:t>
      </w:r>
      <w:r>
        <w:t>导轨可选用钢混基础直接铺钢轨形式或钢台架基础铺设钢轨形式，基础刚度和强度应满足施工要求</w:t>
      </w:r>
      <w:r>
        <w:rPr>
          <w:rFonts w:hint="eastAsia"/>
        </w:rPr>
        <w:t>，并应</w:t>
      </w:r>
      <w:r>
        <w:t>保证轨道</w:t>
      </w:r>
      <w:r>
        <w:rPr>
          <w:rFonts w:hint="eastAsia"/>
        </w:rPr>
        <w:t>的</w:t>
      </w:r>
      <w:r>
        <w:t>安装精度。</w:t>
      </w:r>
    </w:p>
    <w:p>
      <w:r>
        <w:rPr>
          <w:rFonts w:eastAsiaTheme="minorEastAsia"/>
          <w:b/>
          <w:kern w:val="0"/>
        </w:rPr>
        <w:t xml:space="preserve">8.4.2  </w:t>
      </w:r>
      <w:r>
        <w:t>导轨安装位置应避开刀盘旋转范围，轨道前端应距始发洞门0.5m～0.7m。</w:t>
      </w:r>
    </w:p>
    <w:p>
      <w:r>
        <w:rPr>
          <w:rFonts w:eastAsiaTheme="minorEastAsia"/>
          <w:b/>
          <w:kern w:val="0"/>
        </w:rPr>
        <w:t xml:space="preserve">8.4.3  </w:t>
      </w:r>
      <w:r>
        <w:t>始发洞门破除后，应在洞门下方铺设辅助导轨，辅助导轨安装数量、水平位置及标高应与始发主导轨相匹配，整体应满足始发精度要求。</w:t>
      </w:r>
    </w:p>
    <w:p>
      <w:r>
        <w:rPr>
          <w:rFonts w:eastAsiaTheme="minorEastAsia"/>
          <w:b/>
          <w:kern w:val="0"/>
        </w:rPr>
        <w:t xml:space="preserve">8.4.4  </w:t>
      </w:r>
      <w:r>
        <w:t>导轨安装轴线的</w:t>
      </w:r>
      <w:r>
        <w:rPr>
          <w:rFonts w:hint="eastAsia"/>
        </w:rPr>
        <w:t>允许偏差应为</w:t>
      </w:r>
      <w:r>
        <w:t>±3mm；导轨顶面高程的</w:t>
      </w:r>
      <w:r>
        <w:rPr>
          <w:rFonts w:hint="eastAsia"/>
        </w:rPr>
        <w:t>允许偏差应在</w:t>
      </w:r>
      <w:r>
        <w:t>0mm～3 mm</w:t>
      </w:r>
      <w:r>
        <w:rPr>
          <w:rFonts w:hint="eastAsia"/>
        </w:rPr>
        <w:t>内</w:t>
      </w:r>
      <w:r>
        <w:t>；</w:t>
      </w:r>
      <w:r>
        <w:rPr>
          <w:rFonts w:hint="eastAsia"/>
        </w:rPr>
        <w:t>导轨</w:t>
      </w:r>
      <w:r>
        <w:t>轨距的允许偏差应</w:t>
      </w:r>
      <w:r>
        <w:rPr>
          <w:rFonts w:hint="eastAsia"/>
        </w:rPr>
        <w:t>为</w:t>
      </w:r>
      <w:r>
        <w:t>±3mm。</w:t>
      </w:r>
    </w:p>
    <w:p>
      <w:r>
        <w:rPr>
          <w:rFonts w:eastAsiaTheme="minorEastAsia"/>
          <w:b/>
          <w:kern w:val="0"/>
        </w:rPr>
        <w:t xml:space="preserve">8.4.5  </w:t>
      </w:r>
      <w:r>
        <w:t>导轨应安装牢固，使用过程中不应产生位移，施工过程中应经常检查。</w:t>
      </w:r>
    </w:p>
    <w:p>
      <w:r>
        <w:rPr>
          <w:rFonts w:eastAsiaTheme="minorEastAsia"/>
          <w:b/>
          <w:kern w:val="0"/>
        </w:rPr>
        <w:t xml:space="preserve">8.4.6  </w:t>
      </w:r>
      <w:r>
        <w:t>导轨标高和坡度</w:t>
      </w:r>
      <w:r>
        <w:rPr>
          <w:rFonts w:eastAsiaTheme="minorEastAsia"/>
          <w:kern w:val="0"/>
        </w:rPr>
        <w:t>应</w:t>
      </w:r>
      <w:r>
        <w:t>依据隧道设计线路提前调整</w:t>
      </w:r>
      <w:r>
        <w:rPr>
          <w:rFonts w:hint="eastAsia"/>
        </w:rPr>
        <w:t>，敷设导轨应顺直、平行、等高，安装的纵向坡度应与隧道设计坡度一致</w:t>
      </w:r>
      <w:r>
        <w:t>。</w:t>
      </w:r>
    </w:p>
    <w:p>
      <w:pPr>
        <w:pStyle w:val="31"/>
        <w:tabs>
          <w:tab w:val="right" w:leader="dot" w:pos="8306"/>
        </w:tabs>
        <w:ind w:left="0"/>
        <w:rPr>
          <w:rFonts w:ascii="Times New Roman" w:hAnsi="Times New Roman" w:cs="Times New Roman"/>
          <w:szCs w:val="21"/>
        </w:rPr>
      </w:pPr>
    </w:p>
    <w:p>
      <w:pPr>
        <w:pStyle w:val="3"/>
        <w:rPr>
          <w:rFonts w:eastAsia="黑体" w:cs="Times New Roman"/>
          <w:b w:val="0"/>
        </w:rPr>
      </w:pPr>
      <w:bookmarkStart w:id="424" w:name="_Toc60173806"/>
      <w:bookmarkStart w:id="425" w:name="_Toc60172919"/>
      <w:r>
        <w:rPr>
          <w:rFonts w:eastAsia="黑体" w:cs="Times New Roman"/>
        </w:rPr>
        <w:t>8.5</w:t>
      </w:r>
      <w:r>
        <w:rPr>
          <w:rFonts w:eastAsia="黑体" w:cs="Times New Roman"/>
          <w:b w:val="0"/>
        </w:rPr>
        <w:t xml:space="preserve">  顶管机安装和调试</w:t>
      </w:r>
      <w:bookmarkEnd w:id="424"/>
      <w:bookmarkEnd w:id="425"/>
    </w:p>
    <w:p>
      <w:r>
        <w:rPr>
          <w:b/>
          <w:bCs/>
        </w:rPr>
        <w:t>8.5.1</w:t>
      </w:r>
      <w:r>
        <w:t xml:space="preserve">  顶管机的尺寸和结构应满足实际工程要求，在吊装前应做详细的检查。</w:t>
      </w:r>
    </w:p>
    <w:p>
      <w:r>
        <w:rPr>
          <w:b/>
          <w:bCs/>
        </w:rPr>
        <w:t xml:space="preserve">8.5.2 </w:t>
      </w:r>
      <w:r>
        <w:t xml:space="preserve"> 顶管机正式起吊前应进行试吊，试吊中应检查全部机索具、场地受力情况，</w:t>
      </w:r>
      <w:r>
        <w:rPr>
          <w:rFonts w:hint="eastAsia"/>
        </w:rPr>
        <w:t>应在</w:t>
      </w:r>
      <w:r>
        <w:t>系好溜绳后平稳起吊，吊装人员不得站立在吊臂和顶管机下方。</w:t>
      </w:r>
    </w:p>
    <w:p>
      <w:r>
        <w:rPr>
          <w:b/>
          <w:bCs/>
        </w:rPr>
        <w:t xml:space="preserve">8.5.3  </w:t>
      </w:r>
      <w:r>
        <w:t>吊装顶管机时应平稳、缓慢、避免任何冲击和碰撞。重量较轻的小型简单顶管机可采用钢丝绳吊放，吊装大型顶管机等重要设备时，应采用专用吊具。</w:t>
      </w:r>
    </w:p>
    <w:p>
      <w:r>
        <w:rPr>
          <w:b/>
          <w:bCs/>
        </w:rPr>
        <w:t xml:space="preserve">8.5.4 </w:t>
      </w:r>
      <w:r>
        <w:t xml:space="preserve"> 顶管机下放至距离导轨</w:t>
      </w:r>
      <w:r>
        <w:rPr>
          <w:rFonts w:hint="eastAsia"/>
        </w:rPr>
        <w:t>0.</w:t>
      </w:r>
      <w:r>
        <w:t>5m时，应暂停吊装机的下放操作，调整顶管机的吊放位置，并</w:t>
      </w:r>
      <w:r>
        <w:rPr>
          <w:rFonts w:hint="eastAsia"/>
        </w:rPr>
        <w:t>应</w:t>
      </w:r>
      <w:r>
        <w:t>在顶管机前端预留出洞门处理空间，然后缓慢放下。</w:t>
      </w:r>
    </w:p>
    <w:p>
      <w:r>
        <w:rPr>
          <w:b/>
          <w:bCs/>
        </w:rPr>
        <w:t xml:space="preserve">8.5.5  </w:t>
      </w:r>
      <w:r>
        <w:t>始发井内矩形顶管机两侧宜设置左右限位装置或左右位置调节装置。</w:t>
      </w:r>
    </w:p>
    <w:p>
      <w:r>
        <w:rPr>
          <w:b/>
          <w:bCs/>
        </w:rPr>
        <w:t>8.5.6</w:t>
      </w:r>
      <w:r>
        <w:t xml:space="preserve">  顶管机主机组装前应熟知所组装部件的结构、连接方式及技术要求。</w:t>
      </w:r>
    </w:p>
    <w:p>
      <w:r>
        <w:rPr>
          <w:b/>
          <w:bCs/>
        </w:rPr>
        <w:t>8.5.7</w:t>
      </w:r>
      <w:r>
        <w:t xml:space="preserve">  顶管机主机组装工作应遵循由前向后、先下后上、先机械后液压电气的原则。</w:t>
      </w:r>
    </w:p>
    <w:p>
      <w:r>
        <w:rPr>
          <w:b/>
          <w:bCs/>
        </w:rPr>
        <w:t>8.5.8</w:t>
      </w:r>
      <w:r>
        <w:t xml:space="preserve">  顶管机顶进前应进行调试，并应符合下列规定：</w:t>
      </w:r>
    </w:p>
    <w:p>
      <w:pPr>
        <w:ind w:firstLine="482" w:firstLineChars="200"/>
      </w:pPr>
      <w:r>
        <w:rPr>
          <w:b/>
          <w:bCs/>
        </w:rPr>
        <w:t>1</w:t>
      </w:r>
      <w:r>
        <w:t xml:space="preserve">  连接顶管机操作台、电气柜内部与外部的电线电缆，应接线正确、规范；</w:t>
      </w:r>
    </w:p>
    <w:p>
      <w:pPr>
        <w:ind w:firstLine="482" w:firstLineChars="200"/>
      </w:pPr>
      <w:r>
        <w:rPr>
          <w:b/>
          <w:bCs/>
        </w:rPr>
        <w:t>2</w:t>
      </w:r>
      <w:r>
        <w:t xml:space="preserve">  应检查并确保所有电气柜、控制盒、端子盒、传感器等安装正确、防护到位，不得有松动、损坏、污染等异常情况；</w:t>
      </w:r>
    </w:p>
    <w:p>
      <w:pPr>
        <w:ind w:firstLine="482" w:firstLineChars="200"/>
      </w:pPr>
      <w:r>
        <w:rPr>
          <w:b/>
          <w:bCs/>
        </w:rPr>
        <w:t>3</w:t>
      </w:r>
      <w:r>
        <w:t xml:space="preserve">  应按顺序逐级给整机送电，送电前所有开关均应处于断开状态；</w:t>
      </w:r>
    </w:p>
    <w:p>
      <w:pPr>
        <w:ind w:firstLine="482" w:firstLineChars="200"/>
      </w:pPr>
      <w:r>
        <w:rPr>
          <w:b/>
          <w:bCs/>
        </w:rPr>
        <w:t>4</w:t>
      </w:r>
      <w:r>
        <w:t xml:space="preserve">  PLC程序、上位机软件及视频监控系统软件应正确下载及安装；</w:t>
      </w:r>
    </w:p>
    <w:p>
      <w:pPr>
        <w:ind w:firstLine="482" w:firstLineChars="200"/>
      </w:pPr>
      <w:r>
        <w:rPr>
          <w:b/>
          <w:bCs/>
        </w:rPr>
        <w:t>5</w:t>
      </w:r>
      <w:r>
        <w:t xml:space="preserve">  通讯系统应正常，液压、流体及机械应满足调试的动作条件要求；</w:t>
      </w:r>
    </w:p>
    <w:p>
      <w:pPr>
        <w:ind w:firstLine="482" w:firstLineChars="200"/>
      </w:pPr>
      <w:r>
        <w:rPr>
          <w:b/>
          <w:bCs/>
        </w:rPr>
        <w:t>6</w:t>
      </w:r>
      <w:r>
        <w:t xml:space="preserve">  应按调试验收大纲分系统进行调试，并应符合下列规定：</w:t>
      </w:r>
    </w:p>
    <w:p>
      <w:pPr>
        <w:ind w:left="1200" w:leftChars="350" w:hanging="360" w:hangingChars="150"/>
      </w:pPr>
      <w:r>
        <w:t>1）刀盘应安装正确、运转无干涉，刀盘系统开挖轮廓应满足设计要求；</w:t>
      </w:r>
    </w:p>
    <w:p>
      <w:pPr>
        <w:ind w:left="1200" w:leftChars="350" w:hanging="360" w:hangingChars="150"/>
      </w:pPr>
      <w:r>
        <w:t>2）各刀盘正、反转动应平稳，电机转动电流无突变；</w:t>
      </w:r>
    </w:p>
    <w:p>
      <w:pPr>
        <w:ind w:left="1200" w:leftChars="350" w:hanging="360" w:hangingChars="150"/>
      </w:pPr>
      <w:r>
        <w:t>3）纠偏系统的动作反应应及时，上下左右纠偏动作</w:t>
      </w:r>
      <w:r>
        <w:rPr>
          <w:rFonts w:hint="eastAsia"/>
        </w:rPr>
        <w:t>的</w:t>
      </w:r>
      <w:r>
        <w:t>液压缸伸缩量应与操作台的数值一致。</w:t>
      </w:r>
    </w:p>
    <w:p>
      <w:pPr>
        <w:ind w:firstLine="482" w:firstLineChars="200"/>
      </w:pPr>
      <w:r>
        <w:rPr>
          <w:b/>
          <w:bCs/>
        </w:rPr>
        <w:t>7</w:t>
      </w:r>
      <w:r>
        <w:t xml:space="preserve">  系统调试完成后应进行整机调试，整机调试应达到验收大纲的性能指标要求。</w:t>
      </w:r>
    </w:p>
    <w:p>
      <w:pPr>
        <w:ind w:firstLine="420"/>
        <w:rPr>
          <w:rFonts w:eastAsiaTheme="minorEastAsia"/>
        </w:rPr>
      </w:pPr>
    </w:p>
    <w:p>
      <w:pPr>
        <w:pStyle w:val="3"/>
        <w:rPr>
          <w:rFonts w:eastAsia="黑体" w:cs="Times New Roman"/>
          <w:b w:val="0"/>
        </w:rPr>
      </w:pPr>
      <w:bookmarkStart w:id="426" w:name="_Toc60173807"/>
      <w:bookmarkStart w:id="427" w:name="_Toc60172920"/>
      <w:r>
        <w:rPr>
          <w:rFonts w:eastAsia="黑体" w:cs="Times New Roman"/>
        </w:rPr>
        <w:t>8.6</w:t>
      </w:r>
      <w:r>
        <w:rPr>
          <w:rFonts w:eastAsia="黑体" w:cs="Times New Roman"/>
          <w:b w:val="0"/>
        </w:rPr>
        <w:t xml:space="preserve">  土压平衡出渣系统的安装</w:t>
      </w:r>
      <w:bookmarkEnd w:id="426"/>
      <w:bookmarkEnd w:id="427"/>
    </w:p>
    <w:p>
      <w:pPr>
        <w:rPr>
          <w:kern w:val="0"/>
        </w:rPr>
      </w:pPr>
      <w:r>
        <w:rPr>
          <w:b/>
          <w:kern w:val="0"/>
        </w:rPr>
        <w:t>8.6.</w:t>
      </w:r>
      <w:r>
        <w:rPr>
          <w:b/>
          <w:shd w:val="clear" w:color="auto" w:fill="FFFFFF"/>
        </w:rPr>
        <w:t>1</w:t>
      </w:r>
      <w:r>
        <w:rPr>
          <w:shd w:val="clear" w:color="auto" w:fill="FFFFFF"/>
        </w:rPr>
        <w:t xml:space="preserve">  矩形土压平衡顶管机排渣系统应配置螺旋输送机；顶进距离较长时可用渣土</w:t>
      </w:r>
      <w:r>
        <w:rPr>
          <w:kern w:val="0"/>
        </w:rPr>
        <w:t>泵</w:t>
      </w:r>
      <w:r>
        <w:rPr>
          <w:shd w:val="clear" w:color="auto" w:fill="FFFFFF"/>
        </w:rPr>
        <w:t>、皮带机输送</w:t>
      </w:r>
      <w:r>
        <w:rPr>
          <w:kern w:val="0"/>
        </w:rPr>
        <w:t>将渣土送至地面</w:t>
      </w:r>
      <w:r>
        <w:rPr>
          <w:shd w:val="clear" w:color="auto" w:fill="FFFFFF"/>
        </w:rPr>
        <w:t>；顶进距离较短时可用渣车</w:t>
      </w:r>
      <w:r>
        <w:rPr>
          <w:kern w:val="0"/>
        </w:rPr>
        <w:t>运输至始发井，再由垂直运输机械吊至地面。</w:t>
      </w:r>
    </w:p>
    <w:p>
      <w:pPr>
        <w:rPr>
          <w:shd w:val="clear" w:color="auto" w:fill="FFFFFF"/>
        </w:rPr>
      </w:pPr>
      <w:r>
        <w:rPr>
          <w:b/>
          <w:bCs/>
          <w:shd w:val="clear" w:color="auto" w:fill="FFFFFF"/>
        </w:rPr>
        <w:t>8.6.2</w:t>
      </w:r>
      <w:r>
        <w:rPr>
          <w:shd w:val="clear" w:color="auto" w:fill="FFFFFF"/>
        </w:rPr>
        <w:t xml:space="preserve">  土压平衡顶管施工的排渣设备安装应符合下列规定：</w:t>
      </w:r>
    </w:p>
    <w:p>
      <w:pPr>
        <w:ind w:firstLine="482" w:firstLineChars="200"/>
        <w:rPr>
          <w:shd w:val="clear" w:color="auto" w:fill="FFFFFF"/>
        </w:rPr>
      </w:pPr>
      <w:r>
        <w:rPr>
          <w:b/>
          <w:bCs/>
          <w:shd w:val="clear" w:color="auto" w:fill="FFFFFF"/>
        </w:rPr>
        <w:t>1</w:t>
      </w:r>
      <w:r>
        <w:rPr>
          <w:shd w:val="clear" w:color="auto" w:fill="FFFFFF"/>
        </w:rPr>
        <w:t xml:space="preserve">  采用渣土泵出土时</w:t>
      </w:r>
      <w:r>
        <w:rPr>
          <w:kern w:val="0"/>
        </w:rPr>
        <w:t>，应设置泥浆沉淀池</w:t>
      </w:r>
      <w:r>
        <w:rPr>
          <w:shd w:val="clear" w:color="auto" w:fill="FFFFFF"/>
        </w:rPr>
        <w:t>，进排浆管宜平直、少弯道，进排浆管间连接应严密，送土管间的折角不宜超过2°；</w:t>
      </w:r>
    </w:p>
    <w:p>
      <w:pPr>
        <w:ind w:firstLine="482" w:firstLineChars="200"/>
        <w:rPr>
          <w:shd w:val="clear" w:color="auto" w:fill="FFFFFF"/>
        </w:rPr>
      </w:pPr>
      <w:r>
        <w:rPr>
          <w:b/>
          <w:bCs/>
          <w:shd w:val="clear" w:color="auto" w:fill="FFFFFF"/>
        </w:rPr>
        <w:t>2</w:t>
      </w:r>
      <w:r>
        <w:rPr>
          <w:shd w:val="clear" w:color="auto" w:fill="FFFFFF"/>
        </w:rPr>
        <w:t xml:space="preserve">  用轨道渣车出土时，轨道对接错位水平向不应大于5mm，</w:t>
      </w:r>
      <w:r>
        <w:rPr>
          <w:rFonts w:hint="eastAsia"/>
          <w:shd w:val="clear" w:color="auto" w:fill="FFFFFF"/>
        </w:rPr>
        <w:t>竖直向</w:t>
      </w:r>
      <w:r>
        <w:rPr>
          <w:shd w:val="clear" w:color="auto" w:fill="FFFFFF"/>
        </w:rPr>
        <w:t>不应大于2mm，轨道两端应设置渣车防撞装置；</w:t>
      </w:r>
    </w:p>
    <w:p>
      <w:pPr>
        <w:ind w:firstLine="482" w:firstLineChars="200"/>
        <w:rPr>
          <w:shd w:val="clear" w:color="auto" w:fill="FFFFFF"/>
        </w:rPr>
      </w:pPr>
      <w:r>
        <w:rPr>
          <w:b/>
          <w:bCs/>
          <w:shd w:val="clear" w:color="auto" w:fill="FFFFFF"/>
        </w:rPr>
        <w:t>3</w:t>
      </w:r>
      <w:r>
        <w:rPr>
          <w:shd w:val="clear" w:color="auto" w:fill="FFFFFF"/>
        </w:rPr>
        <w:t xml:space="preserve">  采用卷扬机牵引渣车时，卷扬机的线速度不宜大于0.5m/s；</w:t>
      </w:r>
    </w:p>
    <w:p>
      <w:pPr>
        <w:ind w:firstLine="482" w:firstLineChars="200"/>
      </w:pPr>
      <w:r>
        <w:rPr>
          <w:b/>
          <w:bCs/>
        </w:rPr>
        <w:t>4</w:t>
      </w:r>
      <w:r>
        <w:t xml:space="preserve">  </w:t>
      </w:r>
      <w:r>
        <w:rPr>
          <w:shd w:val="clear" w:color="auto" w:fill="FFFFFF"/>
        </w:rPr>
        <w:t>渣车轨道</w:t>
      </w:r>
      <w:r>
        <w:t>安装应延伸到顶推液压缸支架上。</w:t>
      </w:r>
    </w:p>
    <w:p>
      <w:pPr>
        <w:rPr>
          <w:kern w:val="0"/>
        </w:rPr>
      </w:pPr>
    </w:p>
    <w:p>
      <w:pPr>
        <w:pStyle w:val="3"/>
        <w:rPr>
          <w:rFonts w:eastAsia="黑体" w:cs="Times New Roman"/>
          <w:b w:val="0"/>
        </w:rPr>
      </w:pPr>
      <w:bookmarkStart w:id="428" w:name="_Toc60173808"/>
      <w:bookmarkStart w:id="429" w:name="_Toc60172921"/>
      <w:r>
        <w:rPr>
          <w:rFonts w:eastAsia="黑体" w:cs="Times New Roman"/>
        </w:rPr>
        <w:t>8.7</w:t>
      </w:r>
      <w:r>
        <w:rPr>
          <w:rFonts w:eastAsia="黑体" w:cs="Times New Roman"/>
          <w:b w:val="0"/>
        </w:rPr>
        <w:t xml:space="preserve">  泥水</w:t>
      </w:r>
      <w:r>
        <w:rPr>
          <w:rFonts w:hint="eastAsia" w:eastAsia="黑体" w:cs="Times New Roman"/>
          <w:b w:val="0"/>
        </w:rPr>
        <w:t>循环</w:t>
      </w:r>
      <w:r>
        <w:rPr>
          <w:rFonts w:eastAsia="黑体" w:cs="Times New Roman"/>
          <w:b w:val="0"/>
        </w:rPr>
        <w:t>系统的安装</w:t>
      </w:r>
      <w:bookmarkEnd w:id="428"/>
      <w:bookmarkEnd w:id="429"/>
    </w:p>
    <w:p>
      <w:r>
        <w:rPr>
          <w:b/>
          <w:kern w:val="0"/>
        </w:rPr>
        <w:t>8.7.</w:t>
      </w:r>
      <w:r>
        <w:rPr>
          <w:rFonts w:hint="eastAsia"/>
          <w:b/>
        </w:rPr>
        <w:t>1</w:t>
      </w:r>
      <w:r>
        <w:t xml:space="preserve">  泥水平衡顶管</w:t>
      </w:r>
      <w:r>
        <w:rPr>
          <w:shd w:val="clear" w:color="auto" w:fill="FFFFFF"/>
        </w:rPr>
        <w:t>机</w:t>
      </w:r>
      <w:r>
        <w:t>的泥水循环系统安装应根据场地条件设置泥浆箱或泥浆池，并设置泥水处理器对渣土、水进行分离</w:t>
      </w:r>
      <w:r>
        <w:rPr>
          <w:rFonts w:hint="eastAsia"/>
        </w:rPr>
        <w:t>。</w:t>
      </w:r>
    </w:p>
    <w:p>
      <w:r>
        <w:rPr>
          <w:rFonts w:hint="eastAsia"/>
          <w:b/>
          <w:bCs/>
        </w:rPr>
        <w:t>8.7.</w:t>
      </w:r>
      <w:r>
        <w:rPr>
          <w:b/>
          <w:bCs/>
        </w:rPr>
        <w:t>2</w:t>
      </w:r>
      <w:r>
        <w:t xml:space="preserve">  泥水循环系统进浆泵宜靠近泥浆箱安装，泥浆箱出浆口宜高出箱底500mm，出浆口宜设置截止阀，再通过软管与进浆泵连接</w:t>
      </w:r>
      <w:r>
        <w:rPr>
          <w:rFonts w:hint="eastAsia"/>
        </w:rPr>
        <w:t>。</w:t>
      </w:r>
    </w:p>
    <w:p>
      <w:r>
        <w:rPr>
          <w:rFonts w:hint="eastAsia"/>
          <w:b/>
          <w:bCs/>
        </w:rPr>
        <w:t>8.7.</w:t>
      </w:r>
      <w:r>
        <w:rPr>
          <w:b/>
          <w:bCs/>
        </w:rPr>
        <w:t>3</w:t>
      </w:r>
      <w:r>
        <w:t xml:space="preserve">  泥水循环系统排浆泵</w:t>
      </w:r>
      <w:r>
        <w:rPr>
          <w:rFonts w:hint="eastAsia"/>
        </w:rPr>
        <w:t>应</w:t>
      </w:r>
      <w:r>
        <w:t>安装在井内或隧道内，井内安装高度宜高出井底500mm，</w:t>
      </w:r>
      <w:r>
        <w:rPr>
          <w:rFonts w:hint="eastAsia"/>
        </w:rPr>
        <w:t>隧道</w:t>
      </w:r>
      <w:r>
        <w:t>内安装宜离开顶管机主机5m～10m，</w:t>
      </w:r>
      <w:r>
        <w:rPr>
          <w:rFonts w:hint="eastAsia"/>
        </w:rPr>
        <w:t>并应</w:t>
      </w:r>
      <w:r>
        <w:t>视顶进距离和断面大小布置排浆泵数量；</w:t>
      </w:r>
    </w:p>
    <w:p>
      <w:r>
        <w:rPr>
          <w:rFonts w:hint="eastAsia"/>
          <w:b/>
          <w:bCs/>
        </w:rPr>
        <w:t>8.7.</w:t>
      </w:r>
      <w:r>
        <w:rPr>
          <w:b/>
          <w:bCs/>
        </w:rPr>
        <w:t>4</w:t>
      </w:r>
      <w:r>
        <w:t xml:space="preserve">  泥水平衡顶管</w:t>
      </w:r>
      <w:r>
        <w:rPr>
          <w:shd w:val="clear" w:color="auto" w:fill="FFFFFF"/>
        </w:rPr>
        <w:t>机</w:t>
      </w:r>
      <w:r>
        <w:rPr>
          <w:rFonts w:hint="eastAsia"/>
          <w:shd w:val="clear" w:color="auto" w:fill="FFFFFF"/>
        </w:rPr>
        <w:t>的</w:t>
      </w:r>
      <w:r>
        <w:t>管路拐弯处应使用弯头连接；</w:t>
      </w:r>
    </w:p>
    <w:p>
      <w:pPr>
        <w:autoSpaceDE w:val="0"/>
        <w:autoSpaceDN w:val="0"/>
        <w:adjustRightInd w:val="0"/>
        <w:rPr>
          <w:szCs w:val="24"/>
        </w:rPr>
      </w:pPr>
      <w:r>
        <w:rPr>
          <w:rFonts w:hint="eastAsia"/>
          <w:b/>
          <w:kern w:val="0"/>
        </w:rPr>
        <w:t>8.7.</w:t>
      </w:r>
      <w:r>
        <w:rPr>
          <w:b/>
          <w:kern w:val="0"/>
        </w:rPr>
        <w:t>5</w:t>
      </w:r>
      <w:r>
        <w:rPr>
          <w:bCs/>
          <w:kern w:val="0"/>
        </w:rPr>
        <w:t xml:space="preserve">  </w:t>
      </w:r>
      <w:r>
        <w:rPr>
          <w:rFonts w:hint="eastAsia"/>
          <w:bCs/>
          <w:kern w:val="0"/>
        </w:rPr>
        <w:t>泥水循环系统的</w:t>
      </w:r>
      <w:r>
        <w:t>泥浆箱</w:t>
      </w:r>
      <w:r>
        <w:rPr>
          <w:kern w:val="0"/>
        </w:rPr>
        <w:t>宜靠近始发井设置。</w:t>
      </w:r>
    </w:p>
    <w:p>
      <w:pPr>
        <w:pStyle w:val="3"/>
        <w:rPr>
          <w:rFonts w:eastAsia="黑体" w:cs="Times New Roman"/>
          <w:b w:val="0"/>
        </w:rPr>
      </w:pPr>
      <w:bookmarkStart w:id="430" w:name="_Toc11004"/>
      <w:bookmarkStart w:id="431" w:name="_Toc60173809"/>
      <w:bookmarkStart w:id="432" w:name="_Toc5503"/>
      <w:bookmarkStart w:id="433" w:name="_Toc24209"/>
      <w:bookmarkStart w:id="434" w:name="_Toc1777"/>
      <w:bookmarkStart w:id="435" w:name="_Toc47692181"/>
      <w:bookmarkStart w:id="436" w:name="_Toc60172922"/>
      <w:bookmarkStart w:id="437" w:name="_Toc22326"/>
      <w:bookmarkStart w:id="438" w:name="_Toc32269"/>
      <w:bookmarkStart w:id="439" w:name="_Toc18057068"/>
      <w:bookmarkStart w:id="440" w:name="_Toc15210"/>
      <w:r>
        <w:rPr>
          <w:rFonts w:eastAsia="黑体" w:cs="Times New Roman"/>
        </w:rPr>
        <w:t>8.8</w:t>
      </w:r>
      <w:r>
        <w:rPr>
          <w:rFonts w:eastAsia="黑体" w:cs="Times New Roman"/>
          <w:b w:val="0"/>
        </w:rPr>
        <w:t xml:space="preserve">  中继间安装</w:t>
      </w:r>
      <w:bookmarkEnd w:id="430"/>
      <w:bookmarkEnd w:id="431"/>
      <w:bookmarkEnd w:id="432"/>
      <w:bookmarkEnd w:id="433"/>
      <w:bookmarkEnd w:id="434"/>
      <w:bookmarkEnd w:id="435"/>
      <w:bookmarkEnd w:id="436"/>
      <w:bookmarkEnd w:id="437"/>
      <w:bookmarkEnd w:id="438"/>
      <w:bookmarkEnd w:id="439"/>
      <w:bookmarkEnd w:id="440"/>
    </w:p>
    <w:p>
      <w:pPr>
        <w:pStyle w:val="89"/>
        <w:tabs>
          <w:tab w:val="center" w:pos="4201"/>
          <w:tab w:val="right" w:leader="dot" w:pos="9298"/>
        </w:tabs>
        <w:spacing w:line="360" w:lineRule="auto"/>
        <w:ind w:firstLine="0" w:firstLineChars="0"/>
        <w:rPr>
          <w:rFonts w:ascii="Times New Roman"/>
          <w:sz w:val="24"/>
          <w:szCs w:val="21"/>
        </w:rPr>
      </w:pPr>
      <w:r>
        <w:rPr>
          <w:rFonts w:ascii="Times New Roman"/>
          <w:b/>
          <w:bCs/>
          <w:sz w:val="24"/>
          <w:szCs w:val="21"/>
        </w:rPr>
        <w:t xml:space="preserve">8.8.1  </w:t>
      </w:r>
      <w:r>
        <w:rPr>
          <w:rFonts w:hint="eastAsia" w:ascii="Times New Roman"/>
          <w:sz w:val="24"/>
          <w:szCs w:val="21"/>
        </w:rPr>
        <w:t>当</w:t>
      </w:r>
      <w:r>
        <w:rPr>
          <w:rFonts w:ascii="Times New Roman"/>
          <w:sz w:val="24"/>
          <w:szCs w:val="21"/>
        </w:rPr>
        <w:t>顶推距离较长，始发井顶推系统不足以提供全部顶力时，应设置中继间接力顶进（图8.8.1-1、图8.8.1-2）。</w:t>
      </w:r>
    </w:p>
    <w:p>
      <w:pPr>
        <w:pStyle w:val="89"/>
        <w:tabs>
          <w:tab w:val="center" w:pos="4201"/>
          <w:tab w:val="right" w:leader="dot" w:pos="9298"/>
        </w:tabs>
        <w:spacing w:line="360" w:lineRule="auto"/>
        <w:ind w:firstLine="0" w:firstLineChars="0"/>
        <w:jc w:val="center"/>
        <w:rPr>
          <w:rFonts w:ascii="Times New Roman"/>
        </w:rPr>
      </w:pPr>
      <w:r>
        <w:rPr>
          <w:rFonts w:ascii="Times New Roman"/>
        </w:rPr>
        <w:drawing>
          <wp:inline distT="0" distB="0" distL="0" distR="0">
            <wp:extent cx="4373245" cy="2446655"/>
            <wp:effectExtent l="0" t="0" r="8255" b="10795"/>
            <wp:docPr id="1" name="图片 1" descr="C:\Users\Administrator\Desktop\中继间标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中继间标注.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a:xfrm>
                      <a:off x="0" y="0"/>
                      <a:ext cx="4373245" cy="2446655"/>
                    </a:xfrm>
                    <a:prstGeom prst="rect">
                      <a:avLst/>
                    </a:prstGeom>
                    <a:noFill/>
                    <a:ln>
                      <a:noFill/>
                    </a:ln>
                  </pic:spPr>
                </pic:pic>
              </a:graphicData>
            </a:graphic>
          </wp:inline>
        </w:drawing>
      </w:r>
    </w:p>
    <w:p>
      <w:pPr>
        <w:pStyle w:val="89"/>
        <w:tabs>
          <w:tab w:val="center" w:pos="4201"/>
          <w:tab w:val="right" w:leader="dot" w:pos="9298"/>
        </w:tabs>
        <w:spacing w:line="360" w:lineRule="auto"/>
        <w:ind w:firstLine="0" w:firstLineChars="0"/>
        <w:jc w:val="center"/>
        <w:rPr>
          <w:rFonts w:ascii="Times New Roman"/>
        </w:rPr>
      </w:pPr>
      <w:r>
        <w:rPr>
          <w:rFonts w:hint="eastAsia" w:ascii="Times New Roman"/>
        </w:rPr>
        <w:t>（a）中继间横截面图              （b）中继间纵截面图</w:t>
      </w:r>
    </w:p>
    <w:p>
      <w:pPr>
        <w:pStyle w:val="89"/>
        <w:tabs>
          <w:tab w:val="center" w:pos="4201"/>
          <w:tab w:val="right" w:leader="dot" w:pos="9298"/>
        </w:tabs>
        <w:spacing w:line="360" w:lineRule="auto"/>
        <w:ind w:firstLine="0" w:firstLineChars="0"/>
        <w:jc w:val="center"/>
        <w:rPr>
          <w:rFonts w:ascii="Times New Roman" w:eastAsiaTheme="minorEastAsia"/>
          <w:b/>
          <w:bCs/>
          <w:szCs w:val="21"/>
        </w:rPr>
      </w:pPr>
      <w:r>
        <w:rPr>
          <w:rFonts w:ascii="Times New Roman" w:eastAsiaTheme="minorEastAsia"/>
          <w:b/>
          <w:bCs/>
          <w:szCs w:val="21"/>
        </w:rPr>
        <w:t>图8.8.1-1  中继间结构示意图</w:t>
      </w:r>
    </w:p>
    <w:p>
      <w:pPr>
        <w:jc w:val="center"/>
        <w:rPr>
          <w:sz w:val="18"/>
          <w:szCs w:val="18"/>
        </w:rPr>
      </w:pPr>
      <w:r>
        <w:rPr>
          <w:sz w:val="18"/>
          <w:szCs w:val="18"/>
        </w:rPr>
        <w:t>1—前壳体；2—液压缸；3—后壳体；4—后部管节；5—中继间；6—前部管节</w:t>
      </w:r>
    </w:p>
    <w:p>
      <w:pPr>
        <w:pStyle w:val="89"/>
        <w:tabs>
          <w:tab w:val="center" w:pos="4201"/>
          <w:tab w:val="right" w:leader="dot" w:pos="9298"/>
        </w:tabs>
        <w:spacing w:line="360" w:lineRule="auto"/>
        <w:ind w:firstLine="0" w:firstLineChars="0"/>
        <w:jc w:val="center"/>
        <w:rPr>
          <w:rFonts w:ascii="Times New Roman"/>
        </w:rPr>
      </w:pPr>
      <w:r>
        <w:rPr>
          <w:rFonts w:ascii="Times New Roman"/>
        </w:rPr>
        <w:drawing>
          <wp:inline distT="0" distB="0" distL="0" distR="0">
            <wp:extent cx="4527550" cy="1800225"/>
            <wp:effectExtent l="0" t="0" r="6350" b="9525"/>
            <wp:docPr id="6" name="图片 6" descr="C:\Users\Administrator\Desktop\中继间标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中继间标注-2.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a:xfrm>
                      <a:off x="0" y="0"/>
                      <a:ext cx="4527550" cy="1800225"/>
                    </a:xfrm>
                    <a:prstGeom prst="rect">
                      <a:avLst/>
                    </a:prstGeom>
                    <a:noFill/>
                    <a:ln>
                      <a:noFill/>
                    </a:ln>
                  </pic:spPr>
                </pic:pic>
              </a:graphicData>
            </a:graphic>
          </wp:inline>
        </w:drawing>
      </w:r>
    </w:p>
    <w:p>
      <w:pPr>
        <w:pStyle w:val="89"/>
        <w:tabs>
          <w:tab w:val="center" w:pos="4201"/>
          <w:tab w:val="right" w:leader="dot" w:pos="9298"/>
        </w:tabs>
        <w:spacing w:line="360" w:lineRule="auto"/>
        <w:ind w:firstLine="0" w:firstLineChars="0"/>
        <w:jc w:val="center"/>
        <w:rPr>
          <w:rFonts w:ascii="Times New Roman" w:eastAsiaTheme="minorEastAsia"/>
          <w:b/>
          <w:bCs/>
          <w:szCs w:val="21"/>
        </w:rPr>
      </w:pPr>
      <w:r>
        <w:rPr>
          <w:rFonts w:ascii="Times New Roman" w:eastAsiaTheme="minorEastAsia"/>
          <w:b/>
          <w:bCs/>
          <w:szCs w:val="21"/>
        </w:rPr>
        <w:t>图8.8.1-2  中继间结构局部放大示意图</w:t>
      </w:r>
    </w:p>
    <w:p>
      <w:pPr>
        <w:spacing w:line="240" w:lineRule="auto"/>
        <w:jc w:val="center"/>
        <w:rPr>
          <w:sz w:val="18"/>
          <w:szCs w:val="18"/>
        </w:rPr>
      </w:pPr>
      <w:r>
        <w:rPr>
          <w:sz w:val="18"/>
          <w:szCs w:val="18"/>
        </w:rPr>
        <w:t>1—管节密封；2—前壳体；3—铰接密封；4—后壳体；</w:t>
      </w:r>
    </w:p>
    <w:p>
      <w:pPr>
        <w:spacing w:line="240" w:lineRule="auto"/>
        <w:jc w:val="center"/>
        <w:rPr>
          <w:sz w:val="18"/>
          <w:szCs w:val="18"/>
        </w:rPr>
      </w:pPr>
      <w:r>
        <w:rPr>
          <w:sz w:val="18"/>
          <w:szCs w:val="18"/>
        </w:rPr>
        <w:t>5—后部管节；6—液压缸；7—前部管节</w:t>
      </w:r>
    </w:p>
    <w:p>
      <w:pPr>
        <w:spacing w:line="240" w:lineRule="auto"/>
        <w:jc w:val="center"/>
        <w:rPr>
          <w:sz w:val="18"/>
          <w:szCs w:val="18"/>
        </w:rPr>
      </w:pPr>
    </w:p>
    <w:p>
      <w:pPr>
        <w:autoSpaceDE w:val="0"/>
        <w:autoSpaceDN w:val="0"/>
        <w:adjustRightInd w:val="0"/>
        <w:rPr>
          <w:kern w:val="0"/>
        </w:rPr>
      </w:pPr>
      <w:r>
        <w:rPr>
          <w:b/>
          <w:bCs/>
          <w:kern w:val="0"/>
        </w:rPr>
        <w:t xml:space="preserve">8.8.2  </w:t>
      </w:r>
      <w:r>
        <w:rPr>
          <w:kern w:val="0"/>
        </w:rPr>
        <w:t>中继间及液压缸的安装应符合下列规定：</w:t>
      </w:r>
    </w:p>
    <w:p>
      <w:pPr>
        <w:ind w:firstLine="482" w:firstLineChars="200"/>
      </w:pPr>
      <w:r>
        <w:rPr>
          <w:b/>
          <w:bCs/>
        </w:rPr>
        <w:t xml:space="preserve">1 </w:t>
      </w:r>
      <w:r>
        <w:t xml:space="preserve"> 中继间液压缸宜固定在支架上，合力的作用点应在隧道中心的垂直线上；</w:t>
      </w:r>
    </w:p>
    <w:p>
      <w:pPr>
        <w:ind w:firstLine="482" w:firstLineChars="200"/>
      </w:pPr>
      <w:r>
        <w:rPr>
          <w:b/>
          <w:bCs/>
        </w:rPr>
        <w:t>2</w:t>
      </w:r>
      <w:r>
        <w:t xml:space="preserve">  中继间液压缸宜取偶数，规格宜相同，并</w:t>
      </w:r>
      <w:r>
        <w:rPr>
          <w:rFonts w:hint="eastAsia"/>
        </w:rPr>
        <w:t>应沿</w:t>
      </w:r>
      <w:r>
        <w:t>周向均匀布置；当规格不同时，行程应同步，并应将同规格的中继间液压缸对称布置；</w:t>
      </w:r>
    </w:p>
    <w:p>
      <w:pPr>
        <w:ind w:firstLine="482" w:firstLineChars="200"/>
      </w:pPr>
      <w:r>
        <w:rPr>
          <w:b/>
          <w:bCs/>
        </w:rPr>
        <w:t xml:space="preserve">3 </w:t>
      </w:r>
      <w:r>
        <w:t xml:space="preserve"> 中继间液压缸的油路应并联，每台中继间液压缸应有进油、回油的控制系统；</w:t>
      </w:r>
    </w:p>
    <w:p>
      <w:pPr>
        <w:ind w:firstLine="482" w:firstLineChars="200"/>
      </w:pPr>
      <w:r>
        <w:rPr>
          <w:b/>
          <w:bCs/>
        </w:rPr>
        <w:t>4</w:t>
      </w:r>
      <w:r>
        <w:t xml:space="preserve">  中继间吊放入始发井后，应检查各项工作部件处于正常状态，安装完毕后应进行试顶；</w:t>
      </w:r>
    </w:p>
    <w:p>
      <w:pPr>
        <w:ind w:firstLine="482" w:firstLineChars="200"/>
      </w:pPr>
      <w:r>
        <w:rPr>
          <w:b/>
          <w:bCs/>
        </w:rPr>
        <w:t>5</w:t>
      </w:r>
      <w:r>
        <w:t xml:space="preserve">  当总推力达到中继间推力40%～60%时，应安放第一个中继间，此后，每当达到中继间推力的70%～80%时，</w:t>
      </w:r>
      <w:r>
        <w:rPr>
          <w:rFonts w:hint="eastAsia"/>
        </w:rPr>
        <w:t>应</w:t>
      </w:r>
      <w:r>
        <w:t>安放</w:t>
      </w:r>
      <w:r>
        <w:rPr>
          <w:rFonts w:hint="eastAsia"/>
        </w:rPr>
        <w:t>1</w:t>
      </w:r>
      <w:r>
        <w:t>个中继间。而当总推力达到中继间推力的90%时，应启用中继间。</w:t>
      </w:r>
    </w:p>
    <w:p>
      <w:pPr>
        <w:rPr>
          <w:szCs w:val="24"/>
        </w:rPr>
      </w:pPr>
    </w:p>
    <w:p>
      <w:pPr>
        <w:pStyle w:val="3"/>
        <w:rPr>
          <w:rFonts w:eastAsia="黑体" w:cs="Times New Roman"/>
          <w:b w:val="0"/>
        </w:rPr>
      </w:pPr>
      <w:bookmarkStart w:id="441" w:name="_Toc2057"/>
      <w:bookmarkStart w:id="442" w:name="_Toc20977"/>
      <w:bookmarkStart w:id="443" w:name="_Toc2564"/>
      <w:bookmarkStart w:id="444" w:name="_Toc9310"/>
      <w:bookmarkStart w:id="445" w:name="_Toc47692182"/>
      <w:bookmarkStart w:id="446" w:name="_Toc27177"/>
      <w:bookmarkStart w:id="447" w:name="_Toc5614"/>
      <w:bookmarkStart w:id="448" w:name="_Toc10193"/>
      <w:bookmarkStart w:id="449" w:name="_Toc18057069"/>
      <w:bookmarkStart w:id="450" w:name="_Toc60172923"/>
      <w:bookmarkStart w:id="451" w:name="_Toc60173810"/>
      <w:r>
        <w:rPr>
          <w:rFonts w:eastAsia="黑体" w:cs="Times New Roman"/>
        </w:rPr>
        <w:t>8.9</w:t>
      </w:r>
      <w:r>
        <w:rPr>
          <w:rFonts w:eastAsia="黑体" w:cs="Times New Roman"/>
          <w:b w:val="0"/>
        </w:rPr>
        <w:t xml:space="preserve">  顶管辅助施工与设备</w:t>
      </w:r>
      <w:bookmarkEnd w:id="441"/>
      <w:bookmarkEnd w:id="442"/>
      <w:bookmarkEnd w:id="443"/>
      <w:bookmarkEnd w:id="444"/>
      <w:bookmarkEnd w:id="445"/>
      <w:bookmarkEnd w:id="446"/>
      <w:bookmarkEnd w:id="447"/>
      <w:bookmarkEnd w:id="448"/>
      <w:bookmarkEnd w:id="449"/>
      <w:bookmarkEnd w:id="450"/>
      <w:bookmarkEnd w:id="451"/>
    </w:p>
    <w:p>
      <w:r>
        <w:rPr>
          <w:b/>
          <w:bCs/>
        </w:rPr>
        <w:t>8.9.1</w:t>
      </w:r>
      <w:r>
        <w:t xml:space="preserve">  减阻系统的安装应符合下列规定：</w:t>
      </w:r>
    </w:p>
    <w:p>
      <w:pPr>
        <w:ind w:firstLine="482" w:firstLineChars="200"/>
      </w:pPr>
      <w:r>
        <w:rPr>
          <w:b/>
          <w:bCs/>
        </w:rPr>
        <w:t>1</w:t>
      </w:r>
      <w:r>
        <w:t xml:space="preserve">  减阻触变泥浆搅拌桶和压浆泵应根据注浆量和注浆压力选用，并宜靠近泥浆箱；</w:t>
      </w:r>
    </w:p>
    <w:p>
      <w:pPr>
        <w:ind w:firstLine="482" w:firstLineChars="200"/>
      </w:pPr>
      <w:r>
        <w:rPr>
          <w:b/>
          <w:bCs/>
        </w:rPr>
        <w:t>2</w:t>
      </w:r>
      <w:r>
        <w:t xml:space="preserve">  注浆主管的管径不应小于40mm，并宜分段设置球阀；</w:t>
      </w:r>
    </w:p>
    <w:p>
      <w:pPr>
        <w:ind w:firstLine="482" w:firstLineChars="200"/>
      </w:pPr>
      <w:r>
        <w:rPr>
          <w:b/>
          <w:bCs/>
        </w:rPr>
        <w:t>3</w:t>
      </w:r>
      <w:r>
        <w:t xml:space="preserve">  每个注浆孔应安装单向阀，每组支管应单独设置球阀；</w:t>
      </w:r>
    </w:p>
    <w:p>
      <w:pPr>
        <w:ind w:firstLine="482" w:firstLineChars="200"/>
      </w:pPr>
      <w:r>
        <w:rPr>
          <w:b/>
          <w:bCs/>
        </w:rPr>
        <w:t>4</w:t>
      </w:r>
      <w:r>
        <w:t xml:space="preserve">  顶管机后面第1节～第5节管宜安装注浆管，后续管节可按需要设置；</w:t>
      </w:r>
    </w:p>
    <w:p>
      <w:pPr>
        <w:ind w:firstLine="482" w:firstLineChars="200"/>
        <w:rPr>
          <w:kern w:val="0"/>
        </w:rPr>
      </w:pPr>
      <w:r>
        <w:rPr>
          <w:b/>
          <w:kern w:val="0"/>
        </w:rPr>
        <w:t>5</w:t>
      </w:r>
      <w:r>
        <w:rPr>
          <w:kern w:val="0"/>
        </w:rPr>
        <w:t xml:space="preserve">  在注浆泵出口及注浆口处应安装压力检测装置，可安装压力表或压力传感器；</w:t>
      </w:r>
    </w:p>
    <w:p>
      <w:pPr>
        <w:ind w:firstLine="482" w:firstLineChars="200"/>
        <w:rPr>
          <w:kern w:val="0"/>
        </w:rPr>
      </w:pPr>
      <w:r>
        <w:rPr>
          <w:b/>
          <w:bCs/>
          <w:kern w:val="0"/>
        </w:rPr>
        <w:t>6</w:t>
      </w:r>
      <w:r>
        <w:rPr>
          <w:kern w:val="0"/>
        </w:rPr>
        <w:t xml:space="preserve">  触变泥浆注入孔阀门宜采用并联分组、单个可控模式。</w:t>
      </w:r>
    </w:p>
    <w:p>
      <w:pPr>
        <w:rPr>
          <w:rFonts w:eastAsiaTheme="minorEastAsia"/>
          <w:b/>
        </w:rPr>
      </w:pPr>
      <w:r>
        <w:rPr>
          <w:rFonts w:eastAsiaTheme="minorEastAsia"/>
          <w:b/>
          <w:bCs/>
        </w:rPr>
        <w:t xml:space="preserve">8.9.2  </w:t>
      </w:r>
      <w:r>
        <w:rPr>
          <w:rFonts w:eastAsiaTheme="minorEastAsia"/>
        </w:rPr>
        <w:t>测量系统的安装应符合下列规定：</w:t>
      </w:r>
    </w:p>
    <w:p>
      <w:pPr>
        <w:ind w:firstLine="482" w:firstLineChars="200"/>
      </w:pPr>
      <w:r>
        <w:rPr>
          <w:b/>
          <w:bCs/>
        </w:rPr>
        <w:t>1</w:t>
      </w:r>
      <w:r>
        <w:t xml:space="preserve">  测量系统宜具有设计轴线管理、空间位置检测、姿态检测、图形显示、测量基点校核及与主机控制系统通信的功能；</w:t>
      </w:r>
    </w:p>
    <w:p>
      <w:pPr>
        <w:ind w:firstLine="482" w:firstLineChars="200"/>
      </w:pPr>
      <w:r>
        <w:rPr>
          <w:b/>
          <w:bCs/>
        </w:rPr>
        <w:t>2</w:t>
      </w:r>
      <w:r>
        <w:t xml:space="preserve">  测量装置安装架应固定在始发井主体结构上，</w:t>
      </w:r>
      <w:r>
        <w:rPr>
          <w:rFonts w:hint="eastAsia"/>
        </w:rPr>
        <w:t>并应</w:t>
      </w:r>
      <w:r>
        <w:t>与顶管机头部安装的测量靶保持通视，顶进前应进行复核；</w:t>
      </w:r>
    </w:p>
    <w:p>
      <w:pPr>
        <w:ind w:firstLine="482" w:firstLineChars="200"/>
      </w:pPr>
      <w:r>
        <w:rPr>
          <w:b/>
          <w:bCs/>
        </w:rPr>
        <w:t>3</w:t>
      </w:r>
      <w:r>
        <w:t xml:space="preserve">  测量靶应固定在顶管机上，测量靶的位置应事先测定完成，并应经常检查和纠正测量靶的位置。</w:t>
      </w:r>
    </w:p>
    <w:p>
      <w:pPr>
        <w:rPr>
          <w:rFonts w:eastAsiaTheme="minorEastAsia"/>
          <w:b/>
        </w:rPr>
      </w:pPr>
      <w:r>
        <w:rPr>
          <w:rFonts w:eastAsiaTheme="minorEastAsia"/>
          <w:b/>
          <w:bCs/>
        </w:rPr>
        <w:t>8.9.3</w:t>
      </w:r>
      <w:r>
        <w:rPr>
          <w:rFonts w:eastAsiaTheme="minorEastAsia"/>
        </w:rPr>
        <w:t xml:space="preserve">  纠偏液压缸的安装应符合下列规定：</w:t>
      </w:r>
    </w:p>
    <w:p>
      <w:pPr>
        <w:ind w:firstLine="482" w:firstLineChars="200"/>
        <w:rPr>
          <w:kern w:val="0"/>
        </w:rPr>
      </w:pPr>
      <w:r>
        <w:rPr>
          <w:b/>
          <w:bCs/>
          <w:kern w:val="0"/>
          <w:lang w:val="de-DE"/>
        </w:rPr>
        <w:t xml:space="preserve">1 </w:t>
      </w:r>
      <w:r>
        <w:rPr>
          <w:kern w:val="0"/>
          <w:lang w:val="de-DE"/>
        </w:rPr>
        <w:t xml:space="preserve"> </w:t>
      </w:r>
      <w:r>
        <w:rPr>
          <w:kern w:val="0"/>
        </w:rPr>
        <w:t>纠偏液压缸</w:t>
      </w:r>
      <w:r>
        <w:rPr>
          <w:rFonts w:hint="eastAsia"/>
          <w:kern w:val="0"/>
        </w:rPr>
        <w:t>应</w:t>
      </w:r>
      <w:r>
        <w:rPr>
          <w:kern w:val="0"/>
        </w:rPr>
        <w:t>安装在顶管机主机铰接位置；</w:t>
      </w:r>
    </w:p>
    <w:p>
      <w:pPr>
        <w:ind w:firstLine="482" w:firstLineChars="200"/>
        <w:rPr>
          <w:kern w:val="0"/>
        </w:rPr>
      </w:pPr>
      <w:r>
        <w:rPr>
          <w:b/>
          <w:bCs/>
          <w:kern w:val="0"/>
        </w:rPr>
        <w:t>2</w:t>
      </w:r>
      <w:r>
        <w:rPr>
          <w:kern w:val="0"/>
        </w:rPr>
        <w:t xml:space="preserve">  纠偏液压缸安装方向应根据</w:t>
      </w:r>
      <w:r>
        <w:rPr>
          <w:rFonts w:hint="eastAsia"/>
          <w:kern w:val="0"/>
        </w:rPr>
        <w:t>顶管</w:t>
      </w:r>
      <w:r>
        <w:rPr>
          <w:kern w:val="0"/>
        </w:rPr>
        <w:t>结构形式确定，液压缸应伸缩方便且不影响管线布置。</w:t>
      </w:r>
    </w:p>
    <w:p>
      <w:pPr>
        <w:rPr>
          <w:rFonts w:eastAsiaTheme="minorEastAsia"/>
          <w:b/>
        </w:rPr>
      </w:pPr>
      <w:r>
        <w:rPr>
          <w:rFonts w:eastAsiaTheme="minorEastAsia"/>
          <w:b/>
          <w:bCs/>
        </w:rPr>
        <w:t>8.9.4</w:t>
      </w:r>
      <w:r>
        <w:rPr>
          <w:rFonts w:eastAsiaTheme="minorEastAsia"/>
        </w:rPr>
        <w:t xml:space="preserve">  起重机械安装应符合下列规定：</w:t>
      </w:r>
    </w:p>
    <w:p>
      <w:pPr>
        <w:ind w:firstLine="482" w:firstLineChars="200"/>
        <w:rPr>
          <w:kern w:val="0"/>
        </w:rPr>
      </w:pPr>
      <w:r>
        <w:rPr>
          <w:b/>
          <w:bCs/>
          <w:kern w:val="0"/>
        </w:rPr>
        <w:t>1</w:t>
      </w:r>
      <w:r>
        <w:rPr>
          <w:kern w:val="0"/>
        </w:rPr>
        <w:t xml:space="preserve">  顶管施工应配备垂直吊装设备</w:t>
      </w:r>
      <w:r>
        <w:rPr>
          <w:rFonts w:hint="eastAsia"/>
          <w:kern w:val="0"/>
        </w:rPr>
        <w:t>，</w:t>
      </w:r>
      <w:r>
        <w:rPr>
          <w:kern w:val="0"/>
        </w:rPr>
        <w:t>宜采用桥式起重机或旋转臂架式起重机，起重能力应满足顶管机和顶推设备的装拆、顶进管节的吊放和顶铁的装拆、土方和材料的垂直运输等需求；</w:t>
      </w:r>
    </w:p>
    <w:p>
      <w:pPr>
        <w:ind w:firstLine="482" w:firstLineChars="200"/>
        <w:rPr>
          <w:kern w:val="0"/>
        </w:rPr>
      </w:pPr>
      <w:r>
        <w:rPr>
          <w:b/>
          <w:bCs/>
          <w:kern w:val="0"/>
        </w:rPr>
        <w:t xml:space="preserve">2  </w:t>
      </w:r>
      <w:r>
        <w:rPr>
          <w:kern w:val="0"/>
        </w:rPr>
        <w:t>起重机械应建立现场维修保养、定期检查和交接班制度</w:t>
      </w:r>
      <w:r>
        <w:rPr>
          <w:rFonts w:hint="eastAsia"/>
          <w:kern w:val="0"/>
        </w:rPr>
        <w:t>;</w:t>
      </w:r>
    </w:p>
    <w:p>
      <w:pPr>
        <w:ind w:firstLine="482" w:firstLineChars="200"/>
        <w:rPr>
          <w:kern w:val="0"/>
        </w:rPr>
      </w:pPr>
      <w:r>
        <w:rPr>
          <w:rFonts w:hint="eastAsia"/>
          <w:b/>
          <w:kern w:val="0"/>
        </w:rPr>
        <w:t>3</w:t>
      </w:r>
      <w:r>
        <w:rPr>
          <w:rFonts w:hint="eastAsia"/>
          <w:kern w:val="0"/>
        </w:rPr>
        <w:t xml:space="preserve">  安装过程中</w:t>
      </w:r>
      <w:r>
        <w:rPr>
          <w:kern w:val="0"/>
        </w:rPr>
        <w:t>应</w:t>
      </w:r>
      <w:r>
        <w:rPr>
          <w:rFonts w:hint="eastAsia"/>
          <w:kern w:val="0"/>
        </w:rPr>
        <w:t>严格遵守各类起重机械的安全操作规程</w:t>
      </w:r>
      <w:r>
        <w:rPr>
          <w:kern w:val="0"/>
        </w:rPr>
        <w:t>。</w:t>
      </w:r>
    </w:p>
    <w:p>
      <w:pPr>
        <w:rPr>
          <w:b/>
        </w:rPr>
      </w:pPr>
    </w:p>
    <w:p>
      <w:pPr>
        <w:pStyle w:val="3"/>
        <w:rPr>
          <w:rFonts w:eastAsia="黑体" w:cs="Times New Roman"/>
          <w:b w:val="0"/>
        </w:rPr>
      </w:pPr>
      <w:bookmarkStart w:id="452" w:name="_Toc60173811"/>
      <w:bookmarkStart w:id="453" w:name="_Toc1646"/>
      <w:bookmarkStart w:id="454" w:name="_Toc1588"/>
      <w:bookmarkStart w:id="455" w:name="_Toc23836"/>
      <w:bookmarkStart w:id="456" w:name="_Toc31264"/>
      <w:bookmarkStart w:id="457" w:name="_Toc47692183"/>
      <w:bookmarkStart w:id="458" w:name="_Toc60172924"/>
      <w:bookmarkStart w:id="459" w:name="_Toc16123"/>
      <w:bookmarkStart w:id="460" w:name="_Toc12249"/>
      <w:bookmarkStart w:id="461" w:name="_Toc18057070"/>
      <w:bookmarkStart w:id="462" w:name="_Toc26760"/>
      <w:r>
        <w:rPr>
          <w:rFonts w:eastAsia="黑体" w:cs="Times New Roman"/>
        </w:rPr>
        <w:t>8.10</w:t>
      </w:r>
      <w:r>
        <w:rPr>
          <w:rFonts w:eastAsia="黑体" w:cs="Times New Roman"/>
          <w:b w:val="0"/>
        </w:rPr>
        <w:t xml:space="preserve">  质量控制</w:t>
      </w:r>
      <w:bookmarkEnd w:id="452"/>
      <w:bookmarkEnd w:id="453"/>
      <w:bookmarkEnd w:id="454"/>
      <w:bookmarkEnd w:id="455"/>
      <w:bookmarkEnd w:id="456"/>
      <w:bookmarkEnd w:id="457"/>
      <w:bookmarkEnd w:id="458"/>
      <w:bookmarkEnd w:id="459"/>
      <w:bookmarkEnd w:id="460"/>
      <w:bookmarkEnd w:id="461"/>
      <w:bookmarkEnd w:id="462"/>
    </w:p>
    <w:p>
      <w:r>
        <w:rPr>
          <w:b/>
          <w:bCs/>
        </w:rPr>
        <w:t xml:space="preserve">8.10.1  </w:t>
      </w:r>
      <w:r>
        <w:t>原材料、成品、半成品的产品质量应符合设计文件和相关产品现行国家标准的</w:t>
      </w:r>
      <w:r>
        <w:rPr>
          <w:rFonts w:hint="eastAsia"/>
        </w:rPr>
        <w:t>有关</w:t>
      </w:r>
      <w:r>
        <w:t>规定。</w:t>
      </w:r>
    </w:p>
    <w:p>
      <w:r>
        <w:rPr>
          <w:b/>
          <w:bCs/>
        </w:rPr>
        <w:t>8.10.2</w:t>
      </w:r>
      <w:r>
        <w:t xml:space="preserve">  顶管机、主顶系统、中继间、</w:t>
      </w:r>
      <w:r>
        <w:rPr>
          <w:rFonts w:hint="eastAsia"/>
        </w:rPr>
        <w:t>减阻</w:t>
      </w:r>
      <w:r>
        <w:t>系统、测量系统、排渣系统、动力系统应工作正常，系统调试及联合试车结果应符合设计文件的规定。</w:t>
      </w:r>
    </w:p>
    <w:p>
      <w:r>
        <w:rPr>
          <w:b/>
          <w:bCs/>
        </w:rPr>
        <w:t xml:space="preserve">8.10.3  </w:t>
      </w:r>
      <w:r>
        <w:t>设备总体安装应符合下列规定：</w:t>
      </w:r>
    </w:p>
    <w:p>
      <w:pPr>
        <w:ind w:firstLine="482" w:firstLineChars="200"/>
      </w:pPr>
      <w:r>
        <w:rPr>
          <w:b/>
          <w:bCs/>
        </w:rPr>
        <w:t>1</w:t>
      </w:r>
      <w:r>
        <w:t xml:space="preserve">  穿墙止水装置中心</w:t>
      </w:r>
      <w:r>
        <w:rPr>
          <w:rFonts w:hint="eastAsia"/>
        </w:rPr>
        <w:t>与</w:t>
      </w:r>
      <w:r>
        <w:t>顶管机中心</w:t>
      </w:r>
      <w:r>
        <w:rPr>
          <w:rFonts w:hint="eastAsia"/>
        </w:rPr>
        <w:t>的位置偏差</w:t>
      </w:r>
      <w:r>
        <w:t>不应大于10mm；</w:t>
      </w:r>
    </w:p>
    <w:p>
      <w:pPr>
        <w:ind w:firstLine="482" w:firstLineChars="200"/>
      </w:pPr>
      <w:r>
        <w:rPr>
          <w:b/>
          <w:bCs/>
        </w:rPr>
        <w:t>2</w:t>
      </w:r>
      <w:r>
        <w:t xml:space="preserve">  止水帘板压板与顶管机的间隙宜为10mm～20mm；</w:t>
      </w:r>
    </w:p>
    <w:p>
      <w:pPr>
        <w:ind w:firstLine="482" w:firstLineChars="200"/>
      </w:pPr>
      <w:r>
        <w:rPr>
          <w:b/>
          <w:bCs/>
        </w:rPr>
        <w:t>3</w:t>
      </w:r>
      <w:r>
        <w:t xml:space="preserve">  穿墙洞四周与顶管机筒体之间的间隙应大于50mm，且洞口应清理干净；</w:t>
      </w:r>
    </w:p>
    <w:p>
      <w:pPr>
        <w:ind w:firstLine="482" w:firstLineChars="200"/>
      </w:pPr>
      <w:r>
        <w:rPr>
          <w:b/>
          <w:bCs/>
        </w:rPr>
        <w:t>4</w:t>
      </w:r>
      <w:r>
        <w:t xml:space="preserve">  油箱液压油数量应满足所有液压缸的使用要求；</w:t>
      </w:r>
    </w:p>
    <w:p>
      <w:pPr>
        <w:ind w:firstLine="482" w:firstLineChars="200"/>
      </w:pPr>
      <w:r>
        <w:rPr>
          <w:b/>
          <w:bCs/>
        </w:rPr>
        <w:t>5</w:t>
      </w:r>
      <w:r>
        <w:t xml:space="preserve">  激光经纬仪应与顶管机测量靶中心重合，误差不得超过3mm。</w:t>
      </w:r>
    </w:p>
    <w:p>
      <w:r>
        <w:rPr>
          <w:b/>
          <w:bCs/>
        </w:rPr>
        <w:t>8.10.</w:t>
      </w:r>
      <w:r>
        <w:rPr>
          <w:rFonts w:hint="eastAsia"/>
          <w:b/>
          <w:bCs/>
        </w:rPr>
        <w:t>4</w:t>
      </w:r>
      <w:r>
        <w:rPr>
          <w:b/>
          <w:bCs/>
        </w:rPr>
        <w:t xml:space="preserve">  </w:t>
      </w:r>
      <w:r>
        <w:t>导轨安装应符合下列规定：</w:t>
      </w:r>
    </w:p>
    <w:p>
      <w:pPr>
        <w:ind w:firstLine="482" w:firstLineChars="200"/>
      </w:pPr>
      <w:r>
        <w:rPr>
          <w:b/>
          <w:bCs/>
        </w:rPr>
        <w:t>1</w:t>
      </w:r>
      <w:r>
        <w:t xml:space="preserve">  导轨宜选用钢轨及槽钢组合焊接制作，刚度和强度应满足施工要求；</w:t>
      </w:r>
    </w:p>
    <w:p>
      <w:pPr>
        <w:ind w:firstLine="482" w:firstLineChars="200"/>
      </w:pPr>
      <w:r>
        <w:rPr>
          <w:b/>
          <w:bCs/>
        </w:rPr>
        <w:t>2</w:t>
      </w:r>
      <w:r>
        <w:t xml:space="preserve">  导轨应顺直、平行、等高，安装的纵向坡度应与管道设计坡度一致；</w:t>
      </w:r>
    </w:p>
    <w:p>
      <w:pPr>
        <w:ind w:firstLine="482" w:firstLineChars="200"/>
      </w:pPr>
      <w:r>
        <w:rPr>
          <w:b/>
          <w:bCs/>
        </w:rPr>
        <w:t>3</w:t>
      </w:r>
      <w:r>
        <w:t xml:space="preserve">  导轨应安装牢固，使用过程中不应产生位移；</w:t>
      </w:r>
    </w:p>
    <w:p>
      <w:pPr>
        <w:ind w:firstLine="482" w:firstLineChars="200"/>
      </w:pPr>
      <w:r>
        <w:rPr>
          <w:b/>
          <w:bCs/>
        </w:rPr>
        <w:t>4</w:t>
      </w:r>
      <w:r>
        <w:t xml:space="preserve">  导轨安装的允许偏差应符合表8.10.5的规定。</w:t>
      </w:r>
    </w:p>
    <w:p>
      <w:pPr>
        <w:jc w:val="center"/>
        <w:rPr>
          <w:b/>
          <w:bCs/>
          <w:sz w:val="21"/>
          <w:szCs w:val="18"/>
        </w:rPr>
      </w:pPr>
      <w:r>
        <w:rPr>
          <w:b/>
          <w:bCs/>
          <w:sz w:val="21"/>
          <w:szCs w:val="18"/>
        </w:rPr>
        <w:t>表8.10.5  导轨安装的允许偏差（mm）</w:t>
      </w:r>
    </w:p>
    <w:tbl>
      <w:tblPr>
        <w:tblStyle w:val="47"/>
        <w:tblW w:w="651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674"/>
        <w:gridCol w:w="1994"/>
        <w:gridCol w:w="184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2674" w:type="dxa"/>
            <w:vAlign w:val="center"/>
          </w:tcPr>
          <w:p>
            <w:pPr>
              <w:autoSpaceDE w:val="0"/>
              <w:autoSpaceDN w:val="0"/>
              <w:adjustRightInd w:val="0"/>
              <w:spacing w:line="240" w:lineRule="auto"/>
              <w:jc w:val="center"/>
              <w:rPr>
                <w:kern w:val="0"/>
                <w:sz w:val="21"/>
              </w:rPr>
            </w:pPr>
            <w:r>
              <w:rPr>
                <w:kern w:val="0"/>
                <w:sz w:val="21"/>
              </w:rPr>
              <w:t>偏差项目</w:t>
            </w:r>
          </w:p>
        </w:tc>
        <w:tc>
          <w:tcPr>
            <w:tcW w:w="1994" w:type="dxa"/>
            <w:vAlign w:val="center"/>
          </w:tcPr>
          <w:p>
            <w:pPr>
              <w:autoSpaceDE w:val="0"/>
              <w:autoSpaceDN w:val="0"/>
              <w:adjustRightInd w:val="0"/>
              <w:spacing w:line="240" w:lineRule="auto"/>
              <w:jc w:val="center"/>
              <w:rPr>
                <w:kern w:val="0"/>
                <w:sz w:val="21"/>
              </w:rPr>
            </w:pPr>
            <w:r>
              <w:rPr>
                <w:kern w:val="0"/>
                <w:sz w:val="21"/>
              </w:rPr>
              <w:t>轴线偏差</w:t>
            </w:r>
          </w:p>
        </w:tc>
        <w:tc>
          <w:tcPr>
            <w:tcW w:w="1842" w:type="dxa"/>
            <w:vAlign w:val="center"/>
          </w:tcPr>
          <w:p>
            <w:pPr>
              <w:autoSpaceDE w:val="0"/>
              <w:autoSpaceDN w:val="0"/>
              <w:adjustRightInd w:val="0"/>
              <w:spacing w:line="240" w:lineRule="auto"/>
              <w:jc w:val="center"/>
              <w:rPr>
                <w:kern w:val="0"/>
                <w:sz w:val="21"/>
              </w:rPr>
            </w:pPr>
            <w:r>
              <w:rPr>
                <w:kern w:val="0"/>
                <w:sz w:val="21"/>
              </w:rPr>
              <w:t>导轨顶面高程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2674" w:type="dxa"/>
            <w:vAlign w:val="center"/>
          </w:tcPr>
          <w:p>
            <w:pPr>
              <w:autoSpaceDE w:val="0"/>
              <w:autoSpaceDN w:val="0"/>
              <w:adjustRightInd w:val="0"/>
              <w:spacing w:line="240" w:lineRule="auto"/>
              <w:jc w:val="center"/>
              <w:rPr>
                <w:kern w:val="0"/>
                <w:sz w:val="21"/>
              </w:rPr>
            </w:pPr>
            <w:r>
              <w:rPr>
                <w:kern w:val="0"/>
                <w:sz w:val="21"/>
              </w:rPr>
              <w:t>允许偏差</w:t>
            </w:r>
          </w:p>
        </w:tc>
        <w:tc>
          <w:tcPr>
            <w:tcW w:w="1994" w:type="dxa"/>
            <w:vAlign w:val="center"/>
          </w:tcPr>
          <w:p>
            <w:pPr>
              <w:autoSpaceDE w:val="0"/>
              <w:autoSpaceDN w:val="0"/>
              <w:adjustRightInd w:val="0"/>
              <w:spacing w:line="240" w:lineRule="auto"/>
              <w:jc w:val="center"/>
              <w:rPr>
                <w:kern w:val="0"/>
                <w:sz w:val="21"/>
              </w:rPr>
            </w:pPr>
            <w:r>
              <w:rPr>
                <w:kern w:val="0"/>
                <w:sz w:val="21"/>
              </w:rPr>
              <w:t>±3</w:t>
            </w:r>
          </w:p>
        </w:tc>
        <w:tc>
          <w:tcPr>
            <w:tcW w:w="1842" w:type="dxa"/>
            <w:vAlign w:val="center"/>
          </w:tcPr>
          <w:p>
            <w:pPr>
              <w:autoSpaceDE w:val="0"/>
              <w:autoSpaceDN w:val="0"/>
              <w:adjustRightInd w:val="0"/>
              <w:spacing w:line="240" w:lineRule="auto"/>
              <w:jc w:val="center"/>
              <w:rPr>
                <w:kern w:val="0"/>
                <w:sz w:val="21"/>
              </w:rPr>
            </w:pPr>
            <w:r>
              <w:rPr>
                <w:kern w:val="0"/>
                <w:sz w:val="21"/>
              </w:rPr>
              <w:t>0～+3</w:t>
            </w:r>
          </w:p>
        </w:tc>
      </w:tr>
    </w:tbl>
    <w:p>
      <w:pPr>
        <w:rPr>
          <w:b/>
          <w:bCs/>
        </w:rPr>
      </w:pPr>
    </w:p>
    <w:p>
      <w:r>
        <w:rPr>
          <w:b/>
          <w:bCs/>
        </w:rPr>
        <w:t>8.10.</w:t>
      </w:r>
      <w:r>
        <w:rPr>
          <w:rFonts w:hint="eastAsia"/>
          <w:b/>
          <w:bCs/>
        </w:rPr>
        <w:t>5</w:t>
      </w:r>
      <w:r>
        <w:rPr>
          <w:b/>
          <w:bCs/>
        </w:rPr>
        <w:t xml:space="preserve">  </w:t>
      </w:r>
      <w:r>
        <w:t>测量系统安装应符合下列规定：</w:t>
      </w:r>
    </w:p>
    <w:p>
      <w:pPr>
        <w:ind w:firstLine="482" w:firstLineChars="200"/>
      </w:pPr>
      <w:r>
        <w:rPr>
          <w:b/>
          <w:bCs/>
        </w:rPr>
        <w:t xml:space="preserve">1 </w:t>
      </w:r>
      <w:r>
        <w:t xml:space="preserve"> 测量控制点应设置在稳定可靠、不易扰动、通视良好、易于标识的位置；</w:t>
      </w:r>
    </w:p>
    <w:p>
      <w:pPr>
        <w:ind w:firstLine="482" w:firstLineChars="200"/>
      </w:pPr>
      <w:r>
        <w:rPr>
          <w:b/>
          <w:bCs/>
        </w:rPr>
        <w:t>2</w:t>
      </w:r>
      <w:r>
        <w:t xml:space="preserve">  激光经纬仪安装架应固定在始发井底板上，每次顶进前应进行复核；</w:t>
      </w:r>
    </w:p>
    <w:p>
      <w:pPr>
        <w:ind w:firstLine="482" w:firstLineChars="200"/>
      </w:pPr>
      <w:r>
        <w:rPr>
          <w:b/>
          <w:bCs/>
        </w:rPr>
        <w:t>3</w:t>
      </w:r>
      <w:r>
        <w:t xml:space="preserve">  测量靶应进行水平检查和纠正，或使用垂重自动纠平。</w:t>
      </w:r>
    </w:p>
    <w:p>
      <w:pPr>
        <w:ind w:firstLine="480" w:firstLineChars="200"/>
        <w:sectPr>
          <w:footerReference r:id="rId6" w:type="default"/>
          <w:pgSz w:w="11850" w:h="16783"/>
          <w:pgMar w:top="1440" w:right="1800" w:bottom="1440" w:left="1800" w:header="720" w:footer="720" w:gutter="0"/>
          <w:cols w:space="720" w:num="1"/>
          <w:docGrid w:linePitch="360" w:charSpace="0"/>
        </w:sectPr>
      </w:pPr>
    </w:p>
    <w:p>
      <w:pPr>
        <w:pStyle w:val="2"/>
        <w:spacing w:before="240" w:beforeLines="100" w:after="120" w:afterLines="50"/>
        <w:rPr>
          <w:rFonts w:cs="Times New Roman"/>
        </w:rPr>
      </w:pPr>
      <w:bookmarkStart w:id="463" w:name="_Toc18742"/>
      <w:bookmarkStart w:id="464" w:name="_Toc15387"/>
      <w:bookmarkStart w:id="465" w:name="_Toc47692184"/>
      <w:bookmarkStart w:id="466" w:name="_Toc23598"/>
      <w:bookmarkStart w:id="467" w:name="_Toc18057071"/>
      <w:bookmarkStart w:id="468" w:name="_Toc10938"/>
      <w:bookmarkStart w:id="469" w:name="_Toc24359"/>
      <w:bookmarkStart w:id="470" w:name="_Toc60172925"/>
      <w:bookmarkStart w:id="471" w:name="_Toc60173812"/>
      <w:bookmarkStart w:id="472" w:name="_Toc24827"/>
      <w:bookmarkStart w:id="473" w:name="_Toc16759"/>
      <w:r>
        <w:rPr>
          <w:rFonts w:cs="Times New Roman"/>
        </w:rPr>
        <w:t>9  顶进施工</w:t>
      </w:r>
      <w:bookmarkEnd w:id="463"/>
      <w:bookmarkEnd w:id="464"/>
      <w:bookmarkEnd w:id="465"/>
      <w:bookmarkEnd w:id="466"/>
      <w:bookmarkEnd w:id="467"/>
      <w:bookmarkEnd w:id="468"/>
      <w:bookmarkEnd w:id="469"/>
      <w:bookmarkEnd w:id="470"/>
      <w:bookmarkEnd w:id="471"/>
      <w:bookmarkEnd w:id="472"/>
      <w:bookmarkEnd w:id="473"/>
    </w:p>
    <w:p>
      <w:pPr>
        <w:pStyle w:val="3"/>
        <w:spacing w:before="120" w:beforeLines="50" w:after="120" w:afterLines="50"/>
        <w:rPr>
          <w:rFonts w:eastAsia="黑体" w:cs="Times New Roman"/>
          <w:b w:val="0"/>
        </w:rPr>
      </w:pPr>
      <w:bookmarkStart w:id="474" w:name="_Toc32732"/>
      <w:bookmarkStart w:id="475" w:name="_Toc7431"/>
      <w:bookmarkStart w:id="476" w:name="_Toc2676"/>
      <w:bookmarkStart w:id="477" w:name="_Toc26691"/>
      <w:bookmarkStart w:id="478" w:name="_Toc18057072"/>
      <w:bookmarkStart w:id="479" w:name="_Toc47692185"/>
      <w:bookmarkStart w:id="480" w:name="_Toc60173813"/>
      <w:bookmarkStart w:id="481" w:name="_Toc12711"/>
      <w:bookmarkStart w:id="482" w:name="_Toc60172926"/>
      <w:bookmarkStart w:id="483" w:name="_Toc26974"/>
      <w:bookmarkStart w:id="484" w:name="_Toc12008"/>
      <w:r>
        <w:rPr>
          <w:rFonts w:eastAsia="黑体" w:cs="Times New Roman"/>
          <w:b w:val="0"/>
        </w:rPr>
        <w:t>9.1  一般规定</w:t>
      </w:r>
      <w:bookmarkEnd w:id="474"/>
      <w:bookmarkEnd w:id="475"/>
      <w:bookmarkEnd w:id="476"/>
      <w:bookmarkEnd w:id="477"/>
      <w:bookmarkEnd w:id="478"/>
      <w:bookmarkEnd w:id="479"/>
      <w:bookmarkEnd w:id="480"/>
      <w:bookmarkEnd w:id="481"/>
      <w:bookmarkEnd w:id="482"/>
      <w:bookmarkEnd w:id="483"/>
      <w:bookmarkEnd w:id="484"/>
    </w:p>
    <w:p>
      <w:r>
        <w:rPr>
          <w:b/>
          <w:bCs/>
        </w:rPr>
        <w:t xml:space="preserve">9.1.1  </w:t>
      </w:r>
      <w:r>
        <w:t>施工单位应按照合同文件、设计文件和</w:t>
      </w:r>
      <w:r>
        <w:rPr>
          <w:rFonts w:hint="eastAsia"/>
        </w:rPr>
        <w:t>相</w:t>
      </w:r>
      <w:r>
        <w:t>关</w:t>
      </w:r>
      <w:r>
        <w:rPr>
          <w:rFonts w:hint="eastAsia"/>
        </w:rPr>
        <w:t>施工</w:t>
      </w:r>
      <w:r>
        <w:t>标准的要求，</w:t>
      </w:r>
      <w:r>
        <w:rPr>
          <w:rFonts w:hint="eastAsia"/>
        </w:rPr>
        <w:t>对</w:t>
      </w:r>
      <w:r>
        <w:t>建设单位提供的施工界域内工程地质、水文地质和周围环境情况，以及沿线地下与地上管线、周边建筑物或构筑物、障碍物及其他设施的详细资料进行核实确认。</w:t>
      </w:r>
    </w:p>
    <w:p>
      <w:r>
        <w:rPr>
          <w:b/>
          <w:bCs/>
        </w:rPr>
        <w:t xml:space="preserve">9.1.2  </w:t>
      </w:r>
      <w:r>
        <w:t>施工单位应熟悉和审查施工图纸，掌握设计意图与要求，并应实行自审、会审、交底和签证制度；发现施工图有疑问、差错时，应提出意见和建议；若需变更设计，应按相应程序报审，经相关单位签证认定后实施。</w:t>
      </w:r>
    </w:p>
    <w:p>
      <w:r>
        <w:rPr>
          <w:b/>
          <w:bCs/>
        </w:rPr>
        <w:t xml:space="preserve">9.1.3  </w:t>
      </w:r>
      <w:r>
        <w:t>施工单位在开工前应编制施工组织设计，对</w:t>
      </w:r>
      <w:r>
        <w:rPr>
          <w:rFonts w:hint="eastAsia"/>
        </w:rPr>
        <w:t>危险性较大的</w:t>
      </w:r>
      <w:r>
        <w:t>分项、分部工程应分别编制专项施工方案，专项施工方案应按规定程序审批后执行，变更时应办理变更审批。</w:t>
      </w:r>
    </w:p>
    <w:p>
      <w:r>
        <w:rPr>
          <w:b/>
          <w:bCs/>
        </w:rPr>
        <w:t xml:space="preserve">9.1.4  </w:t>
      </w:r>
      <w:r>
        <w:t>施工临时设施应根据工程特点总体布局</w:t>
      </w:r>
      <w:r>
        <w:rPr>
          <w:rFonts w:hint="eastAsia"/>
        </w:rPr>
        <w:t>、</w:t>
      </w:r>
      <w:r>
        <w:t>合理设置。对不宜间断施工的项目，应有备用动力和设备。</w:t>
      </w:r>
    </w:p>
    <w:p>
      <w:r>
        <w:rPr>
          <w:b/>
          <w:bCs/>
        </w:rPr>
        <w:t xml:space="preserve">9.1.5  </w:t>
      </w:r>
      <w:r>
        <w:t>工程所用的管材、矩形顶管附件、构件或配件和主要原材料等产品进入施工现场时应进行进场验收并妥善保管。进场验收时应检查每批产品的订购合同、质量合格证书、性能检验报告、使用说明书、进口产品的商检报告及证件等，并应按</w:t>
      </w:r>
      <w:r>
        <w:rPr>
          <w:rFonts w:hint="eastAsia"/>
        </w:rPr>
        <w:t>相</w:t>
      </w:r>
      <w:r>
        <w:t>关</w:t>
      </w:r>
      <w:r>
        <w:rPr>
          <w:rFonts w:hint="eastAsia"/>
        </w:rPr>
        <w:t>产品</w:t>
      </w:r>
      <w:r>
        <w:t>标准进行复验，验收合格后方可使用。</w:t>
      </w:r>
    </w:p>
    <w:p>
      <w:r>
        <w:rPr>
          <w:b/>
          <w:bCs/>
        </w:rPr>
        <w:t xml:space="preserve">9.1.6  </w:t>
      </w:r>
      <w:r>
        <w:t>现场配置的混凝土、砂浆、防腐与防水涂料等工程材料应检测合格后方可使用。</w:t>
      </w:r>
    </w:p>
    <w:p>
      <w:r>
        <w:rPr>
          <w:b/>
          <w:bCs/>
        </w:rPr>
        <w:t xml:space="preserve">9.1.7  </w:t>
      </w:r>
      <w:r>
        <w:t>施工所用管节、半成品、构件或配件等在运输、保管和施工过程中，应采取防止损坏、锈蚀或变质的措施。</w:t>
      </w:r>
    </w:p>
    <w:p>
      <w:r>
        <w:rPr>
          <w:b/>
          <w:bCs/>
        </w:rPr>
        <w:t xml:space="preserve">9.1.8  </w:t>
      </w:r>
      <w:r>
        <w:t>施工单位应采取控制各种固体废弃物以及粉尘、污水、噪声对施工现场周边环境造成污染和危害的措施。</w:t>
      </w:r>
    </w:p>
    <w:p>
      <w:r>
        <w:rPr>
          <w:b/>
          <w:bCs/>
        </w:rPr>
        <w:t xml:space="preserve">9.1.9  </w:t>
      </w:r>
      <w:r>
        <w:rPr>
          <w:rFonts w:hint="eastAsia"/>
          <w:bCs/>
        </w:rPr>
        <w:t>施工测量、导向测控专用设备及仪器</w:t>
      </w:r>
      <w:r>
        <w:t>应经计量检定、校准合格后方可使用。</w:t>
      </w:r>
    </w:p>
    <w:p>
      <w:r>
        <w:rPr>
          <w:b/>
          <w:bCs/>
        </w:rPr>
        <w:t xml:space="preserve">9.1.10  </w:t>
      </w:r>
      <w:r>
        <w:t>矩形顶管工程施工质量控制应符合下列规定：</w:t>
      </w:r>
    </w:p>
    <w:p>
      <w:pPr>
        <w:ind w:firstLine="482" w:firstLineChars="200"/>
      </w:pPr>
      <w:r>
        <w:rPr>
          <w:b/>
          <w:bCs/>
        </w:rPr>
        <w:t>1</w:t>
      </w:r>
      <w:r>
        <w:t>各分项工程应按施工技术标准进行质量控制，每个分项工程完成后，均应进行检验；</w:t>
      </w:r>
    </w:p>
    <w:p>
      <w:pPr>
        <w:ind w:firstLine="482" w:firstLineChars="200"/>
      </w:pPr>
      <w:r>
        <w:rPr>
          <w:b/>
          <w:bCs/>
        </w:rPr>
        <w:t>2</w:t>
      </w:r>
      <w:r>
        <w:t>各分项工程之间应进行交接检验，所有隐蔽分项工程均应进行隐蔽验收，未经检验或验收不合格不得进行下道分项工程。</w:t>
      </w:r>
    </w:p>
    <w:p>
      <w:r>
        <w:rPr>
          <w:b/>
          <w:bCs/>
        </w:rPr>
        <w:t xml:space="preserve">9.1.11  </w:t>
      </w:r>
      <w:r>
        <w:t>矩形顶管附属设备安装前应对有关的设备基础、预埋件、预留孔的位置</w:t>
      </w:r>
      <w:r>
        <w:rPr>
          <w:rFonts w:hint="eastAsia"/>
        </w:rPr>
        <w:t>和数量</w:t>
      </w:r>
      <w:r>
        <w:t>、高程、尺寸等进行复核。</w:t>
      </w:r>
    </w:p>
    <w:p>
      <w:pPr>
        <w:rPr>
          <w:szCs w:val="24"/>
        </w:rPr>
      </w:pPr>
      <w:r>
        <w:rPr>
          <w:b/>
        </w:rPr>
        <w:t>9.1.1</w:t>
      </w:r>
      <w:r>
        <w:rPr>
          <w:rFonts w:hint="eastAsia"/>
          <w:b/>
        </w:rPr>
        <w:t>2</w:t>
      </w:r>
      <w:r>
        <w:t>顶管施工中应合理配置管道内通风、供电、照明等装置。</w:t>
      </w:r>
    </w:p>
    <w:p>
      <w:r>
        <w:rPr>
          <w:b/>
          <w:bCs/>
        </w:rPr>
        <w:t>9.1.1</w:t>
      </w:r>
      <w:r>
        <w:rPr>
          <w:rFonts w:hint="eastAsia"/>
          <w:b/>
          <w:bCs/>
        </w:rPr>
        <w:t>3</w:t>
      </w:r>
      <w:r>
        <w:t>施工单位应按相应的施工技术标准对工程进行全员全过程控制，建设单位、勘察单位、设计单位、监理单位等各方应对工程质量进行管理。</w:t>
      </w:r>
    </w:p>
    <w:p>
      <w:r>
        <w:rPr>
          <w:rFonts w:hint="eastAsia"/>
          <w:b/>
        </w:rPr>
        <w:t>9.1.14</w:t>
      </w:r>
      <w:r>
        <w:t>顶管施工应对顶管沿线影响范围内的地表、邻近建筑物或构筑物及地下管线设置观测点进行监测。监测信息应及时反馈，发现问题应立即处理。</w:t>
      </w:r>
    </w:p>
    <w:p>
      <w:r>
        <w:rPr>
          <w:b/>
          <w:bCs/>
        </w:rPr>
        <w:t>9.1.1</w:t>
      </w:r>
      <w:r>
        <w:rPr>
          <w:rFonts w:hint="eastAsia"/>
          <w:b/>
          <w:bCs/>
        </w:rPr>
        <w:t>5</w:t>
      </w:r>
      <w:r>
        <w:t>工程应经过竣工验收合格后，方可投入使用。</w:t>
      </w:r>
    </w:p>
    <w:p/>
    <w:p>
      <w:pPr>
        <w:pStyle w:val="3"/>
        <w:rPr>
          <w:rFonts w:eastAsia="黑体" w:cs="Times New Roman"/>
          <w:b w:val="0"/>
        </w:rPr>
      </w:pPr>
      <w:bookmarkStart w:id="485" w:name="_Toc23054"/>
      <w:bookmarkStart w:id="486" w:name="_Toc22532"/>
      <w:bookmarkStart w:id="487" w:name="_Toc26905"/>
      <w:bookmarkStart w:id="488" w:name="_Toc60172927"/>
      <w:bookmarkStart w:id="489" w:name="_Toc18057073"/>
      <w:bookmarkStart w:id="490" w:name="_Toc16268"/>
      <w:bookmarkStart w:id="491" w:name="_Toc47692186"/>
      <w:bookmarkStart w:id="492" w:name="_Toc60173814"/>
      <w:bookmarkStart w:id="493" w:name="_Toc22123"/>
      <w:bookmarkStart w:id="494" w:name="_Toc23462"/>
      <w:bookmarkStart w:id="495" w:name="_Toc25974"/>
      <w:r>
        <w:rPr>
          <w:rFonts w:eastAsia="黑体" w:cs="Times New Roman"/>
        </w:rPr>
        <w:t>9.2</w:t>
      </w:r>
      <w:r>
        <w:rPr>
          <w:rFonts w:eastAsia="黑体" w:cs="Times New Roman"/>
          <w:b w:val="0"/>
        </w:rPr>
        <w:t>施工组织设计</w:t>
      </w:r>
      <w:bookmarkEnd w:id="485"/>
      <w:bookmarkEnd w:id="486"/>
      <w:bookmarkEnd w:id="487"/>
      <w:bookmarkEnd w:id="488"/>
      <w:bookmarkEnd w:id="489"/>
      <w:bookmarkEnd w:id="490"/>
      <w:bookmarkEnd w:id="491"/>
      <w:bookmarkEnd w:id="492"/>
      <w:bookmarkEnd w:id="493"/>
      <w:bookmarkEnd w:id="494"/>
      <w:bookmarkEnd w:id="495"/>
    </w:p>
    <w:p>
      <w:r>
        <w:rPr>
          <w:b/>
          <w:bCs/>
        </w:rPr>
        <w:t xml:space="preserve">9.2.1  </w:t>
      </w:r>
      <w:r>
        <w:t>顶管施工前应编写顶管施工组织设计，并应满足设计文件与合同协议的要求。在现场踏勘的基础上，除应根据实际情况选用合适的设备和选择最优施工方法与工艺外，尚应随着工程进展根据实际情况的变化调整施工参数。</w:t>
      </w:r>
    </w:p>
    <w:p>
      <w:r>
        <w:rPr>
          <w:b/>
          <w:bCs/>
        </w:rPr>
        <w:t xml:space="preserve">9.2.2  </w:t>
      </w:r>
      <w:r>
        <w:t>施工组织设计应包括下列内容：</w:t>
      </w:r>
    </w:p>
    <w:p>
      <w:pPr>
        <w:ind w:firstLine="482" w:firstLineChars="200"/>
      </w:pPr>
      <w:r>
        <w:rPr>
          <w:b/>
          <w:bCs/>
        </w:rPr>
        <w:t>1</w:t>
      </w:r>
      <w:r>
        <w:t>编制依据及采用标准；</w:t>
      </w:r>
    </w:p>
    <w:p>
      <w:pPr>
        <w:ind w:firstLine="482" w:firstLineChars="200"/>
      </w:pPr>
      <w:r>
        <w:rPr>
          <w:b/>
          <w:bCs/>
        </w:rPr>
        <w:t>2</w:t>
      </w:r>
      <w:r>
        <w:t>工程概况</w:t>
      </w:r>
      <w:r>
        <w:rPr>
          <w:rFonts w:hint="eastAsia"/>
        </w:rPr>
        <w:t>，包括</w:t>
      </w:r>
      <w:r>
        <w:t>工程基本情况、施工场地特征、工程地质和水文地质、地面及地下建筑物或构筑物、地下管线及其他地下障碍物等内容；</w:t>
      </w:r>
    </w:p>
    <w:p>
      <w:pPr>
        <w:ind w:firstLine="482" w:firstLineChars="200"/>
      </w:pPr>
      <w:r>
        <w:rPr>
          <w:b/>
          <w:bCs/>
        </w:rPr>
        <w:t>3</w:t>
      </w:r>
      <w:r>
        <w:t>施工现场总平面布置；</w:t>
      </w:r>
    </w:p>
    <w:p>
      <w:pPr>
        <w:ind w:firstLine="482" w:firstLineChars="200"/>
      </w:pPr>
      <w:r>
        <w:rPr>
          <w:b/>
          <w:bCs/>
        </w:rPr>
        <w:t>4</w:t>
      </w:r>
      <w:r>
        <w:t>工程重难点分析及措施；</w:t>
      </w:r>
    </w:p>
    <w:p>
      <w:pPr>
        <w:ind w:firstLine="482" w:firstLineChars="200"/>
      </w:pPr>
      <w:r>
        <w:rPr>
          <w:b/>
          <w:bCs/>
        </w:rPr>
        <w:t>5</w:t>
      </w:r>
      <w:r>
        <w:t>施工工作计划</w:t>
      </w:r>
      <w:r>
        <w:rPr>
          <w:rFonts w:hint="eastAsia"/>
        </w:rPr>
        <w:t>，</w:t>
      </w:r>
      <w:r>
        <w:t>包括施工进度计划、机械设备计划及劳动力安排计划等；</w:t>
      </w:r>
    </w:p>
    <w:p>
      <w:pPr>
        <w:ind w:firstLine="482" w:firstLineChars="200"/>
      </w:pPr>
      <w:r>
        <w:rPr>
          <w:b/>
          <w:bCs/>
        </w:rPr>
        <w:t>6</w:t>
      </w:r>
      <w:r>
        <w:t>顶管设备选型与配置</w:t>
      </w:r>
      <w:r>
        <w:rPr>
          <w:rFonts w:hint="eastAsia"/>
        </w:rPr>
        <w:t>，</w:t>
      </w:r>
      <w:r>
        <w:t>包括顶管机、中继间、主顶液压缸等，注明主要设备性能参数；</w:t>
      </w:r>
    </w:p>
    <w:p>
      <w:pPr>
        <w:ind w:firstLine="482" w:firstLineChars="200"/>
      </w:pPr>
      <w:r>
        <w:rPr>
          <w:b/>
          <w:bCs/>
        </w:rPr>
        <w:t>7</w:t>
      </w:r>
      <w:r>
        <w:t>施工准备工作，包括下列内容：</w:t>
      </w:r>
    </w:p>
    <w:p>
      <w:pPr>
        <w:ind w:left="696" w:leftChars="290"/>
      </w:pPr>
      <w:r>
        <w:t>1）后靠背钢盒、导轨、顶管机、液压缸、止水圈的安装方法</w:t>
      </w:r>
      <w:r>
        <w:rPr>
          <w:rFonts w:hint="eastAsia"/>
        </w:rPr>
        <w:t>并</w:t>
      </w:r>
      <w:r>
        <w:t>附安装图；</w:t>
      </w:r>
    </w:p>
    <w:p>
      <w:pPr>
        <w:ind w:firstLine="720" w:firstLineChars="300"/>
      </w:pPr>
      <w:r>
        <w:t>2）降水措施；</w:t>
      </w:r>
    </w:p>
    <w:p>
      <w:pPr>
        <w:ind w:firstLine="720" w:firstLineChars="300"/>
      </w:pPr>
      <w:r>
        <w:t>3）洞门凿除；</w:t>
      </w:r>
    </w:p>
    <w:p>
      <w:pPr>
        <w:ind w:firstLine="720" w:firstLineChars="300"/>
      </w:pPr>
      <w:r>
        <w:t>4）管节预制、运输、存放；</w:t>
      </w:r>
    </w:p>
    <w:p>
      <w:pPr>
        <w:ind w:firstLine="720" w:firstLineChars="300"/>
      </w:pPr>
      <w:r>
        <w:t>5）中继间加工。</w:t>
      </w:r>
    </w:p>
    <w:p>
      <w:pPr>
        <w:ind w:firstLine="482" w:firstLineChars="200"/>
      </w:pPr>
      <w:r>
        <w:rPr>
          <w:b/>
          <w:bCs/>
        </w:rPr>
        <w:t>8</w:t>
      </w:r>
      <w:r>
        <w:t>主要施工技术方案，包括下列内容：</w:t>
      </w:r>
    </w:p>
    <w:p>
      <w:pPr>
        <w:ind w:firstLine="840" w:firstLineChars="350"/>
      </w:pPr>
      <w:r>
        <w:t>1）总顶力</w:t>
      </w:r>
      <w:r>
        <w:rPr>
          <w:rFonts w:hint="eastAsia"/>
        </w:rPr>
        <w:t>计</w:t>
      </w:r>
      <w:r>
        <w:t>算、后靠背承载力</w:t>
      </w:r>
      <w:r>
        <w:rPr>
          <w:rFonts w:hint="eastAsia"/>
        </w:rPr>
        <w:t>验</w:t>
      </w:r>
      <w:r>
        <w:t>算；</w:t>
      </w:r>
    </w:p>
    <w:p>
      <w:pPr>
        <w:ind w:firstLine="840" w:firstLineChars="350"/>
      </w:pPr>
      <w:r>
        <w:t>2）顶管施工参数的选定；</w:t>
      </w:r>
    </w:p>
    <w:p>
      <w:pPr>
        <w:ind w:firstLine="840" w:firstLineChars="350"/>
      </w:pPr>
      <w:r>
        <w:t>3）顶管始发和接收技术措施</w:t>
      </w:r>
      <w:r>
        <w:rPr>
          <w:rFonts w:hint="eastAsia"/>
        </w:rPr>
        <w:t>、</w:t>
      </w:r>
      <w:r>
        <w:t>安全控制</w:t>
      </w:r>
      <w:r>
        <w:rPr>
          <w:rFonts w:hint="eastAsia"/>
        </w:rPr>
        <w:t>及洞门加固体检测</w:t>
      </w:r>
      <w:r>
        <w:t>；</w:t>
      </w:r>
    </w:p>
    <w:p>
      <w:pPr>
        <w:ind w:left="1274" w:leftChars="350" w:hanging="434" w:hangingChars="181"/>
      </w:pPr>
      <w:r>
        <w:t>4）管材的选择及管节长度的确定，管节的连接与防水，管节的内外防腐；</w:t>
      </w:r>
    </w:p>
    <w:p>
      <w:pPr>
        <w:ind w:left="1200" w:leftChars="350" w:hanging="360" w:hangingChars="150"/>
      </w:pPr>
      <w:r>
        <w:t>5）注浆减阻措施，包括泥浆配合比、注浆量和注浆压力的确定；泥浆制备和输送设备及安装规定；注浆工艺、注浆系统及注浆孔的布置；掘进洞口的泥浆封闭措施等。</w:t>
      </w:r>
    </w:p>
    <w:p>
      <w:pPr>
        <w:ind w:firstLine="840" w:firstLineChars="350"/>
      </w:pPr>
      <w:r>
        <w:t>6）渣土改良；</w:t>
      </w:r>
    </w:p>
    <w:p>
      <w:pPr>
        <w:ind w:firstLine="840" w:firstLineChars="350"/>
      </w:pPr>
      <w:r>
        <w:t>7）顶管掌子面及管节压力监测；</w:t>
      </w:r>
    </w:p>
    <w:p>
      <w:pPr>
        <w:ind w:firstLine="840" w:firstLineChars="350"/>
      </w:pPr>
      <w:r>
        <w:t>8）顶管穿越不良地层、复合地层等采取的主要技术措施；</w:t>
      </w:r>
    </w:p>
    <w:p>
      <w:pPr>
        <w:ind w:firstLine="840" w:firstLineChars="350"/>
      </w:pPr>
      <w:r>
        <w:t>9）排渣方式和渣土的处理，附渣土暂存位置图；</w:t>
      </w:r>
    </w:p>
    <w:p>
      <w:pPr>
        <w:ind w:firstLine="720" w:firstLineChars="300"/>
      </w:pPr>
      <w:r>
        <w:t>10）顶管测量、纠偏方法及姿态控制措施；</w:t>
      </w:r>
    </w:p>
    <w:p>
      <w:pPr>
        <w:ind w:firstLine="720" w:firstLineChars="300"/>
      </w:pPr>
      <w:r>
        <w:t>11）地面变形监测点布设；</w:t>
      </w:r>
    </w:p>
    <w:p>
      <w:pPr>
        <w:ind w:firstLine="720" w:firstLineChars="300"/>
      </w:pPr>
      <w:r>
        <w:t>12）地层变形的监测及控制措施；</w:t>
      </w:r>
    </w:p>
    <w:p>
      <w:pPr>
        <w:ind w:firstLine="720" w:firstLineChars="300"/>
      </w:pPr>
      <w:r>
        <w:t>13）中继间的位置、安装、使用与拆除措施；</w:t>
      </w:r>
    </w:p>
    <w:p>
      <w:pPr>
        <w:ind w:firstLine="720" w:firstLineChars="300"/>
      </w:pPr>
      <w:r>
        <w:t>14）顶管施工时的通风、供电、通讯措施；</w:t>
      </w:r>
    </w:p>
    <w:p>
      <w:pPr>
        <w:ind w:firstLine="720" w:firstLineChars="300"/>
      </w:pPr>
      <w:r>
        <w:t>15）工程重点部位的技术措施；</w:t>
      </w:r>
    </w:p>
    <w:p>
      <w:pPr>
        <w:ind w:firstLine="720" w:firstLineChars="300"/>
      </w:pPr>
      <w:r>
        <w:t>16）顶管贯通后的泥浆置换和防水处理措施。</w:t>
      </w:r>
    </w:p>
    <w:p>
      <w:pPr>
        <w:ind w:firstLine="479" w:firstLineChars="199"/>
      </w:pPr>
      <w:r>
        <w:rPr>
          <w:b/>
          <w:bCs/>
        </w:rPr>
        <w:t>9</w:t>
      </w:r>
      <w:r>
        <w:t>顶管</w:t>
      </w:r>
      <w:r>
        <w:rPr>
          <w:rFonts w:hint="eastAsia"/>
        </w:rPr>
        <w:t>工程</w:t>
      </w:r>
      <w:r>
        <w:t>吊装方案；</w:t>
      </w:r>
    </w:p>
    <w:p>
      <w:pPr>
        <w:ind w:firstLine="479" w:firstLineChars="199"/>
      </w:pPr>
      <w:r>
        <w:rPr>
          <w:b/>
          <w:bCs/>
        </w:rPr>
        <w:t>10</w:t>
      </w:r>
      <w:r>
        <w:t>施工安全和质量保证措施；</w:t>
      </w:r>
    </w:p>
    <w:p>
      <w:pPr>
        <w:ind w:firstLine="482" w:firstLineChars="200"/>
      </w:pPr>
      <w:r>
        <w:rPr>
          <w:b/>
          <w:bCs/>
        </w:rPr>
        <w:t>11</w:t>
      </w:r>
      <w:r>
        <w:t>季节性施工技术措施；</w:t>
      </w:r>
    </w:p>
    <w:p>
      <w:pPr>
        <w:ind w:firstLine="482" w:firstLineChars="200"/>
      </w:pPr>
      <w:r>
        <w:rPr>
          <w:b/>
          <w:bCs/>
        </w:rPr>
        <w:t>12</w:t>
      </w:r>
      <w:r>
        <w:t>施工文明和环境保护措施；</w:t>
      </w:r>
    </w:p>
    <w:p>
      <w:pPr>
        <w:ind w:firstLine="482" w:firstLineChars="200"/>
      </w:pPr>
      <w:r>
        <w:rPr>
          <w:b/>
          <w:bCs/>
        </w:rPr>
        <w:t>13</w:t>
      </w:r>
      <w:r>
        <w:t>根据工程风险分析及风险源排查、评估、施工措施及风险控制等编制施工应急预案，包括下列内容：</w:t>
      </w:r>
    </w:p>
    <w:p>
      <w:pPr>
        <w:ind w:firstLine="960" w:firstLineChars="400"/>
      </w:pPr>
      <w:r>
        <w:t>1）工程风险分析及应急预案；</w:t>
      </w:r>
    </w:p>
    <w:p>
      <w:pPr>
        <w:ind w:firstLine="960" w:firstLineChars="400"/>
      </w:pPr>
      <w:r>
        <w:t>2）顶管始发应急措施；</w:t>
      </w:r>
    </w:p>
    <w:p>
      <w:pPr>
        <w:ind w:firstLine="960" w:firstLineChars="400"/>
      </w:pPr>
      <w:r>
        <w:t>3）顶管过程中的应急措施；</w:t>
      </w:r>
    </w:p>
    <w:p>
      <w:pPr>
        <w:ind w:firstLine="960" w:firstLineChars="400"/>
      </w:pPr>
      <w:r>
        <w:t>4）顶管接收应急措施；</w:t>
      </w:r>
    </w:p>
    <w:p>
      <w:pPr>
        <w:ind w:firstLine="960" w:firstLineChars="400"/>
      </w:pPr>
      <w:r>
        <w:t>5）顶管穿越障碍物处理措施；</w:t>
      </w:r>
    </w:p>
    <w:p>
      <w:pPr>
        <w:ind w:firstLine="960" w:firstLineChars="400"/>
      </w:pPr>
      <w:r>
        <w:t>6）应急动力与电源配置；</w:t>
      </w:r>
    </w:p>
    <w:p>
      <w:pPr>
        <w:ind w:firstLine="960" w:firstLineChars="400"/>
      </w:pPr>
      <w:r>
        <w:t>7）工程意外伤害预防及处理措施。</w:t>
      </w:r>
    </w:p>
    <w:p>
      <w:pPr>
        <w:ind w:firstLine="482" w:firstLineChars="200"/>
      </w:pPr>
      <w:r>
        <w:rPr>
          <w:b/>
          <w:bCs/>
        </w:rPr>
        <w:t>14</w:t>
      </w:r>
      <w:r>
        <w:t>现场远程管理和视频监控。</w:t>
      </w:r>
    </w:p>
    <w:p>
      <w:pPr>
        <w:ind w:firstLine="480" w:firstLineChars="200"/>
      </w:pPr>
    </w:p>
    <w:p>
      <w:pPr>
        <w:pStyle w:val="3"/>
        <w:rPr>
          <w:rFonts w:eastAsia="黑体" w:cs="Times New Roman"/>
          <w:b w:val="0"/>
        </w:rPr>
      </w:pPr>
      <w:bookmarkStart w:id="496" w:name="_Toc18363"/>
      <w:bookmarkStart w:id="497" w:name="_Toc17375"/>
      <w:bookmarkStart w:id="498" w:name="_Toc13704"/>
      <w:bookmarkStart w:id="499" w:name="_Toc18057074"/>
      <w:bookmarkStart w:id="500" w:name="_Toc28678"/>
      <w:bookmarkStart w:id="501" w:name="_Toc25594"/>
      <w:bookmarkStart w:id="502" w:name="_Toc60173815"/>
      <w:bookmarkStart w:id="503" w:name="_Toc60172928"/>
      <w:bookmarkStart w:id="504" w:name="_Toc29616"/>
      <w:bookmarkStart w:id="505" w:name="_Toc2178"/>
      <w:bookmarkStart w:id="506" w:name="_Toc47692187"/>
      <w:r>
        <w:rPr>
          <w:rFonts w:eastAsia="黑体" w:cs="Times New Roman"/>
          <w:b w:val="0"/>
        </w:rPr>
        <w:t>9.3  顶管始发与接收</w:t>
      </w:r>
      <w:bookmarkEnd w:id="496"/>
      <w:bookmarkEnd w:id="497"/>
      <w:bookmarkEnd w:id="498"/>
      <w:bookmarkEnd w:id="499"/>
      <w:bookmarkEnd w:id="500"/>
      <w:bookmarkEnd w:id="501"/>
      <w:bookmarkEnd w:id="502"/>
      <w:bookmarkEnd w:id="503"/>
      <w:bookmarkEnd w:id="504"/>
      <w:bookmarkEnd w:id="505"/>
      <w:bookmarkEnd w:id="506"/>
    </w:p>
    <w:p>
      <w:r>
        <w:rPr>
          <w:b/>
          <w:bCs/>
        </w:rPr>
        <w:t xml:space="preserve">9.3.1  </w:t>
      </w:r>
      <w:r>
        <w:t>顶管洞口的施工应符合下列规定：</w:t>
      </w:r>
    </w:p>
    <w:p>
      <w:pPr>
        <w:ind w:firstLine="482" w:firstLineChars="200"/>
      </w:pPr>
      <w:r>
        <w:rPr>
          <w:b/>
          <w:bCs/>
        </w:rPr>
        <w:t>1</w:t>
      </w:r>
      <w:r>
        <w:t>顶管始发和接收预留洞口的位置、几何尺寸、封堵方式应符合设计文件和施工方案的规定；</w:t>
      </w:r>
    </w:p>
    <w:p>
      <w:pPr>
        <w:ind w:firstLine="482" w:firstLineChars="200"/>
      </w:pPr>
      <w:r>
        <w:rPr>
          <w:b/>
          <w:bCs/>
        </w:rPr>
        <w:t xml:space="preserve">2 </w:t>
      </w:r>
      <w:r>
        <w:t>顶管工作井洞口施工影响范围内的土层应进行预加固处理，始发和接收前应检查加固处理后的土体强度和渗漏水情况；</w:t>
      </w:r>
    </w:p>
    <w:p>
      <w:pPr>
        <w:ind w:firstLine="482" w:firstLineChars="200"/>
      </w:pPr>
      <w:r>
        <w:rPr>
          <w:b/>
          <w:bCs/>
        </w:rPr>
        <w:t>3</w:t>
      </w:r>
      <w:r>
        <w:rPr>
          <w:rFonts w:hint="eastAsia"/>
        </w:rPr>
        <w:t>洞门凿除后应立即将顶管机推入洞门，刀盘抵住撑子面，并设置止退装置；</w:t>
      </w:r>
    </w:p>
    <w:p>
      <w:pPr>
        <w:ind w:firstLine="482" w:firstLineChars="200"/>
      </w:pPr>
      <w:r>
        <w:rPr>
          <w:b/>
          <w:bCs/>
        </w:rPr>
        <w:t>4</w:t>
      </w:r>
      <w:r>
        <w:t>洞口应设置止水装置，止水装置应与工作井壁内的预埋件焊接牢固，</w:t>
      </w:r>
      <w:r>
        <w:rPr>
          <w:rFonts w:hint="eastAsia"/>
        </w:rPr>
        <w:t>宜</w:t>
      </w:r>
      <w:r>
        <w:t>用</w:t>
      </w:r>
      <w:r>
        <w:rPr>
          <w:rFonts w:hint="eastAsia"/>
        </w:rPr>
        <w:t>膨胀</w:t>
      </w:r>
      <w:r>
        <w:t>材料</w:t>
      </w:r>
      <w:r>
        <w:rPr>
          <w:rFonts w:hint="eastAsia"/>
        </w:rPr>
        <w:t>填充间隙</w:t>
      </w:r>
      <w:r>
        <w:t>；顶管结束后，</w:t>
      </w:r>
      <w:r>
        <w:rPr>
          <w:rFonts w:hint="eastAsia"/>
        </w:rPr>
        <w:t>管节</w:t>
      </w:r>
      <w:r>
        <w:t>与洞口的间隙应</w:t>
      </w:r>
      <w:r>
        <w:rPr>
          <w:rFonts w:hint="eastAsia"/>
        </w:rPr>
        <w:t>立即</w:t>
      </w:r>
      <w:r>
        <w:t>封堵</w:t>
      </w:r>
      <w:r>
        <w:rPr>
          <w:rFonts w:hint="eastAsia"/>
        </w:rPr>
        <w:t>。</w:t>
      </w:r>
    </w:p>
    <w:p>
      <w:r>
        <w:rPr>
          <w:b/>
          <w:bCs/>
        </w:rPr>
        <w:t xml:space="preserve">9.3.2  </w:t>
      </w:r>
      <w:r>
        <w:t>洞口始发时，顶管机与后续2节～3节管之间应</w:t>
      </w:r>
      <w:r>
        <w:rPr>
          <w:rFonts w:hint="eastAsia"/>
        </w:rPr>
        <w:t>进行有效</w:t>
      </w:r>
      <w:r>
        <w:t>连接。</w:t>
      </w:r>
    </w:p>
    <w:p>
      <w:r>
        <w:rPr>
          <w:b/>
          <w:bCs/>
        </w:rPr>
        <w:t xml:space="preserve">9.3.3  </w:t>
      </w:r>
      <w:r>
        <w:t>接收井内宜</w:t>
      </w:r>
      <w:r>
        <w:rPr>
          <w:rFonts w:hint="eastAsia"/>
        </w:rPr>
        <w:t>设置</w:t>
      </w:r>
      <w:r>
        <w:t>略</w:t>
      </w:r>
      <w:r>
        <w:rPr>
          <w:rFonts w:hint="eastAsia"/>
        </w:rPr>
        <w:t>低</w:t>
      </w:r>
      <w:r>
        <w:t>于管</w:t>
      </w:r>
      <w:r>
        <w:rPr>
          <w:rFonts w:hint="eastAsia"/>
        </w:rPr>
        <w:t>节</w:t>
      </w:r>
      <w:r>
        <w:t>底的</w:t>
      </w:r>
      <w:r>
        <w:rPr>
          <w:rFonts w:hint="eastAsia"/>
        </w:rPr>
        <w:t>导轨</w:t>
      </w:r>
      <w:r>
        <w:t>。当地下水位高、可能发生管涌或流砂时，应采用</w:t>
      </w:r>
      <w:r>
        <w:rPr>
          <w:rFonts w:hint="eastAsia"/>
        </w:rPr>
        <w:t>水下</w:t>
      </w:r>
      <w:r>
        <w:t>接收方式。</w:t>
      </w:r>
    </w:p>
    <w:p>
      <w:r>
        <w:rPr>
          <w:b/>
          <w:bCs/>
        </w:rPr>
        <w:t>9.3.</w:t>
      </w:r>
      <w:r>
        <w:rPr>
          <w:rFonts w:hint="eastAsia"/>
          <w:b/>
          <w:bCs/>
        </w:rPr>
        <w:t>4</w:t>
      </w:r>
      <w:r>
        <w:rPr>
          <w:b/>
          <w:bCs/>
        </w:rPr>
        <w:t xml:space="preserve">  </w:t>
      </w:r>
      <w:r>
        <w:t>顶管始发应符合下列规定：</w:t>
      </w:r>
    </w:p>
    <w:p>
      <w:pPr>
        <w:ind w:firstLine="482" w:firstLineChars="200"/>
      </w:pPr>
      <w:r>
        <w:rPr>
          <w:b/>
          <w:bCs/>
        </w:rPr>
        <w:t>1</w:t>
      </w:r>
      <w:r>
        <w:t>顶管机穿越始发洞口加固区时，始发洞口内应注满</w:t>
      </w:r>
      <w:r>
        <w:rPr>
          <w:rFonts w:hint="eastAsia"/>
        </w:rPr>
        <w:t>浓</w:t>
      </w:r>
      <w:r>
        <w:t>泥浆，掘进速度宜控制在2mm/min～3mm/min；</w:t>
      </w:r>
    </w:p>
    <w:p>
      <w:pPr>
        <w:ind w:firstLine="482" w:firstLineChars="200"/>
      </w:pPr>
      <w:r>
        <w:rPr>
          <w:b/>
          <w:bCs/>
        </w:rPr>
        <w:t>2</w:t>
      </w:r>
      <w:r>
        <w:t>顶管机穿越始发洞口加固区之前应在机外壳两边焊接支座</w:t>
      </w:r>
      <w:r>
        <w:rPr>
          <w:rFonts w:hint="eastAsia"/>
        </w:rPr>
        <w:t>，并应保持</w:t>
      </w:r>
      <w:r>
        <w:t>与导轨面齐平；</w:t>
      </w:r>
    </w:p>
    <w:p>
      <w:pPr>
        <w:ind w:firstLine="482" w:firstLineChars="200"/>
      </w:pPr>
      <w:r>
        <w:rPr>
          <w:b/>
          <w:bCs/>
        </w:rPr>
        <w:t>4</w:t>
      </w:r>
      <w:r>
        <w:t>顶管始发出洞时应均匀增加</w:t>
      </w:r>
      <w:r>
        <w:rPr>
          <w:rFonts w:hint="eastAsia"/>
        </w:rPr>
        <w:t>顶推</w:t>
      </w:r>
      <w:r>
        <w:t>力；</w:t>
      </w:r>
    </w:p>
    <w:p>
      <w:pPr>
        <w:ind w:firstLine="482" w:firstLineChars="200"/>
      </w:pPr>
      <w:r>
        <w:rPr>
          <w:b/>
          <w:bCs/>
        </w:rPr>
        <w:t>5</w:t>
      </w:r>
      <w:r>
        <w:t>初始掘进时应有防止顶管机后退措施；</w:t>
      </w:r>
    </w:p>
    <w:p>
      <w:pPr>
        <w:ind w:firstLine="482" w:firstLineChars="200"/>
      </w:pPr>
      <w:r>
        <w:rPr>
          <w:b/>
          <w:bCs/>
        </w:rPr>
        <w:t>6</w:t>
      </w:r>
      <w:r>
        <w:t>初始掘进时</w:t>
      </w:r>
      <w:r>
        <w:rPr>
          <w:rFonts w:hint="eastAsia"/>
        </w:rPr>
        <w:t>宜</w:t>
      </w:r>
      <w:r>
        <w:t>使用下层液压缸掘进</w:t>
      </w:r>
      <w:r>
        <w:rPr>
          <w:rFonts w:hint="eastAsia"/>
        </w:rPr>
        <w:t>。</w:t>
      </w:r>
    </w:p>
    <w:p>
      <w:r>
        <w:rPr>
          <w:b/>
          <w:bCs/>
        </w:rPr>
        <w:t>9.3.</w:t>
      </w:r>
      <w:r>
        <w:rPr>
          <w:rFonts w:hint="eastAsia"/>
          <w:b/>
          <w:bCs/>
        </w:rPr>
        <w:t>5</w:t>
      </w:r>
      <w:r>
        <w:rPr>
          <w:b/>
          <w:bCs/>
        </w:rPr>
        <w:t xml:space="preserve">  </w:t>
      </w:r>
      <w:r>
        <w:t>顶管接收应符合下列规定：</w:t>
      </w:r>
    </w:p>
    <w:p>
      <w:pPr>
        <w:ind w:firstLine="482" w:firstLineChars="200"/>
      </w:pPr>
      <w:r>
        <w:rPr>
          <w:b/>
          <w:bCs/>
        </w:rPr>
        <w:t>1</w:t>
      </w:r>
      <w:r>
        <w:t>顶管机接近接收井洞口加固区前，应加强测量</w:t>
      </w:r>
      <w:r>
        <w:rPr>
          <w:rFonts w:hint="eastAsia"/>
        </w:rPr>
        <w:t>顶进长度</w:t>
      </w:r>
      <w:r>
        <w:t>和管</w:t>
      </w:r>
      <w:r>
        <w:rPr>
          <w:rFonts w:hint="eastAsia"/>
        </w:rPr>
        <w:t>位</w:t>
      </w:r>
      <w:r>
        <w:t>偏差；</w:t>
      </w:r>
    </w:p>
    <w:p>
      <w:pPr>
        <w:ind w:firstLine="482" w:firstLineChars="200"/>
      </w:pPr>
      <w:r>
        <w:rPr>
          <w:b/>
          <w:bCs/>
        </w:rPr>
        <w:t>2</w:t>
      </w:r>
      <w:r>
        <w:t>顶管机进入接收井洞口加固区时，应控制掘进速度在2mm/min～3mm/min，接近接收井洞口时，应拆除洞口</w:t>
      </w:r>
      <w:r>
        <w:rPr>
          <w:rFonts w:hint="eastAsia"/>
        </w:rPr>
        <w:t>支护结构</w:t>
      </w:r>
      <w:r>
        <w:t>并清</w:t>
      </w:r>
      <w:r>
        <w:rPr>
          <w:rFonts w:hint="eastAsia"/>
        </w:rPr>
        <w:t>除</w:t>
      </w:r>
      <w:r>
        <w:t>洞口障碍物</w:t>
      </w:r>
      <w:r>
        <w:rPr>
          <w:rFonts w:hint="eastAsia"/>
        </w:rPr>
        <w:t>。</w:t>
      </w:r>
    </w:p>
    <w:p/>
    <w:p>
      <w:pPr>
        <w:pStyle w:val="3"/>
        <w:rPr>
          <w:rFonts w:eastAsia="黑体" w:cs="Times New Roman"/>
          <w:b w:val="0"/>
        </w:rPr>
      </w:pPr>
      <w:bookmarkStart w:id="507" w:name="_Toc23283"/>
      <w:bookmarkStart w:id="508" w:name="_Toc21683"/>
      <w:bookmarkStart w:id="509" w:name="_Toc17879"/>
      <w:bookmarkStart w:id="510" w:name="_Toc60172929"/>
      <w:bookmarkStart w:id="511" w:name="_Toc21696"/>
      <w:bookmarkStart w:id="512" w:name="_Toc11972"/>
      <w:bookmarkStart w:id="513" w:name="_Toc17298"/>
      <w:bookmarkStart w:id="514" w:name="_Toc25882"/>
      <w:bookmarkStart w:id="515" w:name="_Toc18057075"/>
      <w:bookmarkStart w:id="516" w:name="_Toc47692188"/>
      <w:bookmarkStart w:id="517" w:name="_Toc60173816"/>
      <w:r>
        <w:rPr>
          <w:rFonts w:eastAsia="黑体" w:cs="Times New Roman"/>
        </w:rPr>
        <w:t>9.4</w:t>
      </w:r>
      <w:r>
        <w:rPr>
          <w:rFonts w:eastAsia="黑体" w:cs="Times New Roman"/>
          <w:b w:val="0"/>
        </w:rPr>
        <w:t>顶管掘进</w:t>
      </w:r>
      <w:bookmarkEnd w:id="507"/>
      <w:bookmarkEnd w:id="508"/>
      <w:bookmarkEnd w:id="509"/>
      <w:bookmarkEnd w:id="510"/>
      <w:bookmarkEnd w:id="511"/>
      <w:bookmarkEnd w:id="512"/>
      <w:bookmarkEnd w:id="513"/>
      <w:bookmarkEnd w:id="514"/>
      <w:bookmarkEnd w:id="515"/>
      <w:bookmarkEnd w:id="516"/>
      <w:bookmarkEnd w:id="517"/>
    </w:p>
    <w:p>
      <w:r>
        <w:rPr>
          <w:b/>
          <w:bCs/>
        </w:rPr>
        <w:t>9.4.1</w:t>
      </w:r>
      <w:r>
        <w:t>施工作业前应针对下列风险因素制定应急预案：</w:t>
      </w:r>
    </w:p>
    <w:p>
      <w:pPr>
        <w:ind w:firstLine="482" w:firstLineChars="200"/>
      </w:pPr>
      <w:r>
        <w:rPr>
          <w:b/>
          <w:bCs/>
        </w:rPr>
        <w:t xml:space="preserve">1 </w:t>
      </w:r>
      <w:r>
        <w:t>顶</w:t>
      </w:r>
      <w:r>
        <w:rPr>
          <w:rFonts w:hint="eastAsia"/>
        </w:rPr>
        <w:t>管机穿越众管线或</w:t>
      </w:r>
      <w:r>
        <w:t>地面复杂环境</w:t>
      </w:r>
      <w:r>
        <w:rPr>
          <w:rFonts w:hint="eastAsia"/>
        </w:rPr>
        <w:t>引起管线或</w:t>
      </w:r>
      <w:r>
        <w:t>地表</w:t>
      </w:r>
      <w:r>
        <w:rPr>
          <w:rFonts w:hint="eastAsia"/>
        </w:rPr>
        <w:t>沉降或隆起偏大的风险</w:t>
      </w:r>
      <w:r>
        <w:t>；</w:t>
      </w:r>
    </w:p>
    <w:p>
      <w:pPr>
        <w:ind w:firstLine="482" w:firstLineChars="200"/>
      </w:pPr>
      <w:r>
        <w:rPr>
          <w:b/>
          <w:bCs/>
        </w:rPr>
        <w:t xml:space="preserve">2 </w:t>
      </w:r>
      <w:r>
        <w:t>施工期间存在突然停电、停水等影响工程质量的风险；</w:t>
      </w:r>
    </w:p>
    <w:p>
      <w:pPr>
        <w:ind w:firstLine="482" w:firstLineChars="200"/>
      </w:pPr>
      <w:r>
        <w:rPr>
          <w:b/>
          <w:bCs/>
        </w:rPr>
        <w:t xml:space="preserve">3 </w:t>
      </w:r>
      <w:r>
        <w:t>施工期间存在不可预见恶劣水文气候条件对工程产生不利影响的风险；</w:t>
      </w:r>
    </w:p>
    <w:p>
      <w:pPr>
        <w:ind w:firstLine="482" w:firstLineChars="200"/>
      </w:pPr>
      <w:r>
        <w:rPr>
          <w:b/>
          <w:bCs/>
        </w:rPr>
        <w:t xml:space="preserve">4 </w:t>
      </w:r>
      <w:r>
        <w:t>施工现场机械设备产生故障的风险；</w:t>
      </w:r>
    </w:p>
    <w:p>
      <w:pPr>
        <w:ind w:firstLine="482" w:firstLineChars="200"/>
      </w:pPr>
      <w:r>
        <w:rPr>
          <w:b/>
          <w:bCs/>
        </w:rPr>
        <w:t xml:space="preserve">5 </w:t>
      </w:r>
      <w:r>
        <w:t>施工现场的</w:t>
      </w:r>
      <w:r>
        <w:rPr>
          <w:rFonts w:hint="eastAsia"/>
        </w:rPr>
        <w:t>地质</w:t>
      </w:r>
      <w:r>
        <w:t>风险。</w:t>
      </w:r>
    </w:p>
    <w:p>
      <w:pPr>
        <w:ind w:firstLine="480" w:firstLineChars="200"/>
      </w:pPr>
      <w:r>
        <w:rPr>
          <w:rFonts w:hint="eastAsia"/>
        </w:rPr>
        <w:t>6</w:t>
      </w:r>
      <w:r>
        <w:t xml:space="preserve"> </w:t>
      </w:r>
      <w:r>
        <w:rPr>
          <w:rFonts w:hint="eastAsia"/>
        </w:rPr>
        <w:t>施工过程中可能对周边环境造成的风险。</w:t>
      </w:r>
    </w:p>
    <w:p>
      <w:r>
        <w:rPr>
          <w:b/>
          <w:bCs/>
        </w:rPr>
        <w:t>9.4.</w:t>
      </w:r>
      <w:r>
        <w:rPr>
          <w:rFonts w:hint="eastAsia"/>
          <w:b/>
          <w:bCs/>
        </w:rPr>
        <w:t>2</w:t>
      </w:r>
      <w:r>
        <w:t>顶管机的选型</w:t>
      </w:r>
      <w:r>
        <w:rPr>
          <w:rFonts w:hint="eastAsia"/>
        </w:rPr>
        <w:t>应</w:t>
      </w:r>
      <w:r>
        <w:t>根据工程地质条件、水文地质条件、周边环境条件等因素综合确定。</w:t>
      </w:r>
    </w:p>
    <w:p>
      <w:r>
        <w:rPr>
          <w:b/>
          <w:bCs/>
        </w:rPr>
        <w:t>9.4.</w:t>
      </w:r>
      <w:r>
        <w:rPr>
          <w:rFonts w:hint="eastAsia"/>
          <w:b/>
          <w:bCs/>
        </w:rPr>
        <w:t>3</w:t>
      </w:r>
      <w:r>
        <w:t>土压平衡矩形顶管掘进施工应符合下列规定：</w:t>
      </w:r>
    </w:p>
    <w:p>
      <w:pPr>
        <w:ind w:firstLine="482" w:firstLineChars="200"/>
      </w:pPr>
      <w:r>
        <w:rPr>
          <w:b/>
          <w:bCs/>
        </w:rPr>
        <w:t>1</w:t>
      </w:r>
      <w:r>
        <w:t>掘进前，应根据顶进管道覆土厚度、土体性质、地下水埋深等因素确定土舱压力控制值；</w:t>
      </w:r>
    </w:p>
    <w:p>
      <w:pPr>
        <w:ind w:firstLine="482" w:firstLineChars="200"/>
      </w:pPr>
      <w:r>
        <w:rPr>
          <w:b/>
          <w:bCs/>
        </w:rPr>
        <w:t>2</w:t>
      </w:r>
      <w:r>
        <w:t>掘进中，</w:t>
      </w:r>
      <w:r>
        <w:rPr>
          <w:rFonts w:hint="eastAsia"/>
        </w:rPr>
        <w:t>应</w:t>
      </w:r>
      <w:r>
        <w:t>根据土舱压力的变化，调节排土速度与顶进速度，使土舱压力始终保持在预设范围内；</w:t>
      </w:r>
    </w:p>
    <w:p>
      <w:pPr>
        <w:ind w:firstLine="482" w:firstLineChars="200"/>
      </w:pPr>
      <w:r>
        <w:rPr>
          <w:b/>
          <w:bCs/>
        </w:rPr>
        <w:t>3</w:t>
      </w:r>
      <w:r>
        <w:t>应根据不同的土质采取不同的渣土改良方法；</w:t>
      </w:r>
    </w:p>
    <w:p>
      <w:pPr>
        <w:ind w:firstLine="482" w:firstLineChars="200"/>
      </w:pPr>
      <w:r>
        <w:rPr>
          <w:b/>
          <w:bCs/>
        </w:rPr>
        <w:t>4</w:t>
      </w:r>
      <w:r>
        <w:t>开顶时，应先启动刀盘转动，再启动油缸推进；停顶时，应先停止油缸推进，再停止刀盘转动；</w:t>
      </w:r>
    </w:p>
    <w:p>
      <w:pPr>
        <w:ind w:firstLine="482" w:firstLineChars="200"/>
      </w:pPr>
      <w:r>
        <w:rPr>
          <w:b/>
          <w:bCs/>
        </w:rPr>
        <w:t xml:space="preserve">5 </w:t>
      </w:r>
      <w:r>
        <w:t>掘进中，应同步向管外壁注入减阻泥浆，并应根据泥浆的损失适当补充注浆；</w:t>
      </w:r>
    </w:p>
    <w:p>
      <w:pPr>
        <w:ind w:firstLine="482" w:firstLineChars="200"/>
      </w:pPr>
      <w:r>
        <w:rPr>
          <w:b/>
          <w:bCs/>
        </w:rPr>
        <w:t xml:space="preserve">6 </w:t>
      </w:r>
      <w:r>
        <w:t>掘进过程中，应随时对掘进机位置进行测量定位，及时纠偏；</w:t>
      </w:r>
    </w:p>
    <w:p>
      <w:pPr>
        <w:ind w:firstLine="482" w:firstLineChars="200"/>
      </w:pPr>
      <w:r>
        <w:rPr>
          <w:b/>
          <w:bCs/>
        </w:rPr>
        <w:t xml:space="preserve">7 </w:t>
      </w:r>
      <w:r>
        <w:t>顶管贯通后，应向管外壁注入土体固结浆</w:t>
      </w:r>
      <w:r>
        <w:rPr>
          <w:rFonts w:hint="eastAsia"/>
        </w:rPr>
        <w:t>、</w:t>
      </w:r>
      <w:r>
        <w:t>置换减阻泥浆；</w:t>
      </w:r>
    </w:p>
    <w:p>
      <w:pPr>
        <w:ind w:firstLine="482" w:firstLineChars="200"/>
      </w:pPr>
      <w:r>
        <w:rPr>
          <w:b/>
          <w:bCs/>
        </w:rPr>
        <w:t>8</w:t>
      </w:r>
      <w:r>
        <w:t>距离地下管线、地下和地上建筑物或构筑物较近时，应适当降低顶进速度；</w:t>
      </w:r>
    </w:p>
    <w:p>
      <w:pPr>
        <w:ind w:firstLine="482" w:firstLineChars="200"/>
      </w:pPr>
      <w:r>
        <w:rPr>
          <w:b/>
          <w:bCs/>
        </w:rPr>
        <w:t xml:space="preserve">9 </w:t>
      </w:r>
      <w:r>
        <w:t>当周边环境对土体变形</w:t>
      </w:r>
      <w:r>
        <w:rPr>
          <w:rFonts w:hint="eastAsia"/>
        </w:rPr>
        <w:t>有</w:t>
      </w:r>
      <w:r>
        <w:t>要求严格时，应进行土体变形监测，</w:t>
      </w:r>
      <w:r>
        <w:rPr>
          <w:rFonts w:hint="eastAsia"/>
        </w:rPr>
        <w:t>并应</w:t>
      </w:r>
      <w:r>
        <w:t>根据监测数据</w:t>
      </w:r>
      <w:r>
        <w:rPr>
          <w:rFonts w:hint="eastAsia"/>
        </w:rPr>
        <w:t>实时</w:t>
      </w:r>
      <w:r>
        <w:t>调整顶进参数</w:t>
      </w:r>
      <w:r>
        <w:rPr>
          <w:rFonts w:hint="eastAsia"/>
        </w:rPr>
        <w:t>。</w:t>
      </w:r>
    </w:p>
    <w:p>
      <w:r>
        <w:rPr>
          <w:b/>
          <w:bCs/>
        </w:rPr>
        <w:t>9.4.</w:t>
      </w:r>
      <w:r>
        <w:rPr>
          <w:rFonts w:hint="eastAsia"/>
          <w:b/>
          <w:bCs/>
        </w:rPr>
        <w:t>4</w:t>
      </w:r>
      <w:r>
        <w:t>泥水平衡矩形顶管掘进施工应符合下列规定：</w:t>
      </w:r>
    </w:p>
    <w:p>
      <w:pPr>
        <w:ind w:firstLine="482" w:firstLineChars="200"/>
      </w:pPr>
      <w:r>
        <w:rPr>
          <w:b/>
          <w:bCs/>
        </w:rPr>
        <w:t xml:space="preserve">1 </w:t>
      </w:r>
      <w:r>
        <w:t>掘进前，应根据顶管覆土厚度、土体性质、地下水埋深等因素确定泥水舱压力控制值；</w:t>
      </w:r>
    </w:p>
    <w:p>
      <w:pPr>
        <w:ind w:firstLine="482" w:firstLineChars="200"/>
      </w:pPr>
      <w:r>
        <w:rPr>
          <w:b/>
          <w:bCs/>
        </w:rPr>
        <w:t>2</w:t>
      </w:r>
      <w:r>
        <w:t>掘进中，应根据泥水舱压力的变化调节进水速度、排泥速度与掘进速度，泥水舱压力应保持在预设</w:t>
      </w:r>
      <w:r>
        <w:rPr>
          <w:rFonts w:hint="eastAsia"/>
        </w:rPr>
        <w:t>值</w:t>
      </w:r>
      <w:r>
        <w:t>以内；</w:t>
      </w:r>
    </w:p>
    <w:p>
      <w:pPr>
        <w:ind w:firstLine="482" w:firstLineChars="200"/>
      </w:pPr>
      <w:r>
        <w:rPr>
          <w:b/>
          <w:bCs/>
        </w:rPr>
        <w:t>3</w:t>
      </w:r>
      <w:r>
        <w:t>开顶时，应先启动进、排泥泵，进行机内循环，然后进行机外循环，再启动刀盘转动，最后启动油缸推进；停顶时，应先停止油缸推进，然后进行机外循环，再停止刀盘转动，转到机内循环，最后关闭进、排泥泵；</w:t>
      </w:r>
    </w:p>
    <w:p>
      <w:pPr>
        <w:ind w:firstLine="482" w:firstLineChars="200"/>
      </w:pPr>
      <w:r>
        <w:rPr>
          <w:b/>
          <w:bCs/>
        </w:rPr>
        <w:t>4</w:t>
      </w:r>
      <w:r>
        <w:t>对顶管机内进水阀、排泥阀、旁通阀操作时，不得将所有的阀同时处于“关”的状态，并应符合下列规定：</w:t>
      </w:r>
    </w:p>
    <w:p>
      <w:pPr>
        <w:numPr>
          <w:ilvl w:val="255"/>
          <w:numId w:val="0"/>
        </w:numPr>
        <w:ind w:left="1133" w:leftChars="354" w:hanging="283" w:hangingChars="118"/>
      </w:pPr>
      <w:r>
        <w:t>1）从机内循环转换到机外循环时，应先打开进水、排泥直通阀，然后再关闭转换阀；</w:t>
      </w:r>
    </w:p>
    <w:p>
      <w:pPr>
        <w:numPr>
          <w:ilvl w:val="255"/>
          <w:numId w:val="0"/>
        </w:numPr>
        <w:ind w:left="1133" w:leftChars="354" w:hanging="283" w:hangingChars="118"/>
      </w:pPr>
      <w:r>
        <w:t>2）从机外循环状态转换到机内循环状态时，应先打开转换阀，再关闭进水、排泥阀。</w:t>
      </w:r>
    </w:p>
    <w:p>
      <w:pPr>
        <w:ind w:firstLine="482" w:firstLineChars="200"/>
      </w:pPr>
      <w:r>
        <w:rPr>
          <w:b/>
          <w:bCs/>
        </w:rPr>
        <w:t>6</w:t>
      </w:r>
      <w:r>
        <w:t>掘进中，应同步向管外壁注入减阻泥浆，并应根据泥浆的损失适当补充注浆；</w:t>
      </w:r>
    </w:p>
    <w:p>
      <w:pPr>
        <w:ind w:firstLine="482" w:firstLineChars="200"/>
      </w:pPr>
      <w:r>
        <w:rPr>
          <w:b/>
          <w:bCs/>
        </w:rPr>
        <w:t>7</w:t>
      </w:r>
      <w:r>
        <w:t>掘进过程中，应随时对顶管机位置进行测量定位，及时纠偏；</w:t>
      </w:r>
    </w:p>
    <w:p>
      <w:pPr>
        <w:ind w:firstLine="482" w:firstLineChars="200"/>
      </w:pPr>
      <w:r>
        <w:rPr>
          <w:b/>
          <w:bCs/>
        </w:rPr>
        <w:t>8</w:t>
      </w:r>
      <w:r>
        <w:t>顶管贯通后，应向管外壁注入土体固结浆</w:t>
      </w:r>
      <w:r>
        <w:rPr>
          <w:rFonts w:hint="eastAsia"/>
        </w:rPr>
        <w:t>、</w:t>
      </w:r>
      <w:r>
        <w:t>置换减阻泥浆；</w:t>
      </w:r>
    </w:p>
    <w:p>
      <w:pPr>
        <w:ind w:firstLine="482" w:firstLineChars="200"/>
      </w:pPr>
      <w:r>
        <w:rPr>
          <w:b/>
          <w:bCs/>
        </w:rPr>
        <w:t>9</w:t>
      </w:r>
      <w:r>
        <w:t>距离地下管线、地下和地上建筑物或构筑物较近时，应适当降低顶进速度；</w:t>
      </w:r>
    </w:p>
    <w:p>
      <w:pPr>
        <w:ind w:firstLine="482" w:firstLineChars="200"/>
      </w:pPr>
      <w:r>
        <w:rPr>
          <w:b/>
          <w:bCs/>
        </w:rPr>
        <w:t xml:space="preserve">10 </w:t>
      </w:r>
      <w:r>
        <w:t>当周边环境对土体变形</w:t>
      </w:r>
      <w:r>
        <w:rPr>
          <w:rFonts w:hint="eastAsia"/>
        </w:rPr>
        <w:t>有</w:t>
      </w:r>
      <w:r>
        <w:t>要求严格时，应进行土体变形监测，</w:t>
      </w:r>
      <w:r>
        <w:rPr>
          <w:rFonts w:hint="eastAsia"/>
        </w:rPr>
        <w:t>并应</w:t>
      </w:r>
      <w:r>
        <w:t>根据监测数据随时调整顶进参数。</w:t>
      </w:r>
    </w:p>
    <w:p>
      <w:r>
        <w:rPr>
          <w:b/>
          <w:bCs/>
        </w:rPr>
        <w:t>9.4.5</w:t>
      </w:r>
      <w:r>
        <w:rPr>
          <w:rFonts w:hint="eastAsia"/>
          <w:b/>
          <w:bCs/>
        </w:rPr>
        <w:t xml:space="preserve"> </w:t>
      </w:r>
      <w:r>
        <w:t>顶管掘进时应符合下列规定：</w:t>
      </w:r>
    </w:p>
    <w:p>
      <w:pPr>
        <w:ind w:firstLine="482" w:firstLineChars="200"/>
      </w:pPr>
      <w:r>
        <w:rPr>
          <w:b/>
          <w:bCs/>
        </w:rPr>
        <w:t xml:space="preserve">1 </w:t>
      </w:r>
      <w:r>
        <w:t>初始掘进速度宜控制在5mm/min～10mm/min；</w:t>
      </w:r>
    </w:p>
    <w:p>
      <w:pPr>
        <w:ind w:firstLine="482" w:firstLineChars="200"/>
      </w:pPr>
      <w:r>
        <w:rPr>
          <w:b/>
          <w:bCs/>
        </w:rPr>
        <w:t xml:space="preserve">2 </w:t>
      </w:r>
      <w:r>
        <w:t>正常掘进时，掘进速度宜控制在10mm/min～20mm/min；掘进时应不断调整掘进速度，优选掘进速度、正面土压力、出渣量的最佳匹配值；</w:t>
      </w:r>
    </w:p>
    <w:p>
      <w:pPr>
        <w:ind w:firstLine="482" w:firstLineChars="200"/>
      </w:pPr>
      <w:r>
        <w:rPr>
          <w:b/>
          <w:bCs/>
        </w:rPr>
        <w:t xml:space="preserve">3 </w:t>
      </w:r>
      <w:r>
        <w:t>土压平衡式顶管机土舱内的土压力值应按下列公式计算，并应控制在顶管机所处土层的主动土压力与被动土压力之间</w:t>
      </w:r>
      <w:r>
        <w:rPr>
          <w:rFonts w:hint="eastAsia"/>
        </w:rPr>
        <w:t>：</w:t>
      </w:r>
    </w:p>
    <w:p>
      <w:pPr>
        <w:wordWrap w:val="0"/>
        <w:ind w:firstLine="480" w:firstLineChars="200"/>
        <w:jc w:val="right"/>
      </w:pPr>
      <w:r>
        <w:rPr>
          <w:position w:val="-14"/>
        </w:rPr>
        <w:object>
          <v:shape id="_x0000_i1139" o:spt="75" type="#_x0000_t75" style="height:18.75pt;width:57pt;" o:ole="t" filled="f" o:preferrelative="t" stroked="f" coordsize="21600,21600">
            <v:path/>
            <v:fill on="f" focussize="0,0"/>
            <v:stroke on="f" joinstyle="miter"/>
            <v:imagedata r:id="rId241" o:title=""/>
            <o:lock v:ext="edit" aspectratio="t"/>
            <w10:wrap type="none"/>
            <w10:anchorlock/>
          </v:shape>
          <o:OLEObject Type="Embed" ProgID="Equation.3" ShapeID="_x0000_i1139" DrawAspect="Content" ObjectID="_1468075839" r:id="rId240">
            <o:LockedField>false</o:LockedField>
          </o:OLEObject>
        </w:object>
      </w:r>
      <w:r>
        <w:t xml:space="preserve">                          （9.4.5-1）</w:t>
      </w:r>
    </w:p>
    <w:p>
      <w:pPr>
        <w:wordWrap w:val="0"/>
        <w:ind w:firstLine="480" w:firstLineChars="200"/>
        <w:jc w:val="right"/>
      </w:pPr>
      <w:r>
        <w:rPr>
          <w:position w:val="-12"/>
        </w:rPr>
        <w:object>
          <v:shape id="_x0000_i1140" o:spt="75" type="#_x0000_t75" style="height:18.75pt;width:54.75pt;" o:ole="t" filled="f" o:preferrelative="t" stroked="f" coordsize="21600,21600">
            <v:path/>
            <v:fill on="f" focussize="0,0"/>
            <v:stroke on="f" joinstyle="miter"/>
            <v:imagedata r:id="rId243" o:title=""/>
            <o:lock v:ext="edit" aspectratio="t"/>
            <w10:wrap type="none"/>
            <w10:anchorlock/>
          </v:shape>
          <o:OLEObject Type="Embed" ProgID="Equation.3" ShapeID="_x0000_i1140" DrawAspect="Content" ObjectID="_1468075840" r:id="rId242">
            <o:LockedField>false</o:LockedField>
          </o:OLEObject>
        </w:object>
      </w:r>
      <w:r>
        <w:t xml:space="preserve">                          （9.4.5-2）</w:t>
      </w:r>
    </w:p>
    <w:p>
      <w:pPr>
        <w:ind w:firstLine="480" w:firstLineChars="200"/>
        <w:jc w:val="right"/>
      </w:pPr>
      <w:r>
        <w:rPr>
          <w:position w:val="-12"/>
        </w:rPr>
        <w:object>
          <v:shape id="_x0000_i1141" o:spt="75" type="#_x0000_t75" style="height:18.75pt;width:51pt;" o:ole="t" filled="f" o:preferrelative="t" stroked="f" coordsize="21600,21600">
            <v:path/>
            <v:fill on="f" focussize="0,0"/>
            <v:stroke on="f" joinstyle="miter"/>
            <v:imagedata r:id="rId245" o:title=""/>
            <o:lock v:ext="edit" aspectratio="t"/>
            <w10:wrap type="none"/>
            <w10:anchorlock/>
          </v:shape>
          <o:OLEObject Type="Embed" ProgID="Equation.DSMT4" ShapeID="_x0000_i1141" DrawAspect="Content" ObjectID="_1468075841" r:id="rId244">
            <o:LockedField>false</o:LockedField>
          </o:OLEObject>
        </w:object>
      </w:r>
      <w:r>
        <w:t xml:space="preserve">                          （9.4.5-3）</w:t>
      </w:r>
    </w:p>
    <w:p>
      <w:pPr>
        <w:wordWrap w:val="0"/>
        <w:ind w:firstLine="480" w:firstLineChars="200"/>
        <w:jc w:val="right"/>
        <w:rPr>
          <w:b/>
          <w:bCs/>
          <w:i/>
          <w:iCs/>
        </w:rPr>
      </w:pPr>
      <w:r>
        <w:rPr>
          <w:position w:val="-14"/>
        </w:rPr>
        <w:object>
          <v:shape id="_x0000_i1142" o:spt="75" type="#_x0000_t75" style="height:21pt;width:235.55pt;" o:ole="t" filled="f" o:preferrelative="t" stroked="f" coordsize="21600,21600">
            <v:path/>
            <v:fill on="f" focussize="0,0"/>
            <v:stroke on="f" joinstyle="miter"/>
            <v:imagedata r:id="rId247" o:title=""/>
            <o:lock v:ext="edit" aspectratio="t"/>
            <w10:wrap type="none"/>
            <w10:anchorlock/>
          </v:shape>
          <o:OLEObject Type="Embed" ProgID="Equation.DSMT4" ShapeID="_x0000_i1142" DrawAspect="Content" ObjectID="_1468075842" r:id="rId246">
            <o:LockedField>false</o:LockedField>
          </o:OLEObject>
        </w:object>
      </w:r>
      <w:r>
        <w:t xml:space="preserve">           （9.4.5-4）</w:t>
      </w:r>
    </w:p>
    <w:p>
      <w:pPr>
        <w:ind w:firstLine="480" w:firstLineChars="200"/>
        <w:jc w:val="right"/>
        <w:rPr>
          <w:b/>
          <w:bCs/>
          <w:i/>
          <w:iCs/>
        </w:rPr>
      </w:pPr>
      <w:r>
        <w:rPr>
          <w:position w:val="-14"/>
        </w:rPr>
        <w:object>
          <v:shape id="_x0000_i1143" o:spt="75" type="#_x0000_t75" style="height:21pt;width:238.5pt;" o:ole="t" filled="f" o:preferrelative="t" stroked="f" coordsize="21600,21600">
            <v:path/>
            <v:fill on="f" focussize="0,0"/>
            <v:stroke on="f" joinstyle="miter"/>
            <v:imagedata r:id="rId249" o:title=""/>
            <o:lock v:ext="edit" aspectratio="t"/>
            <w10:wrap type="none"/>
            <w10:anchorlock/>
          </v:shape>
          <o:OLEObject Type="Embed" ProgID="Equation.DSMT4" ShapeID="_x0000_i1143" DrawAspect="Content" ObjectID="_1468075843" r:id="rId248">
            <o:LockedField>false</o:LockedField>
          </o:OLEObject>
        </w:object>
      </w:r>
      <w:r>
        <w:t xml:space="preserve">           （9.4.5-5）</w:t>
      </w:r>
    </w:p>
    <w:p>
      <w:r>
        <w:t>式中：</w:t>
      </w:r>
      <w:r>
        <w:rPr>
          <w:position w:val="-12"/>
        </w:rPr>
        <w:object>
          <v:shape id="_x0000_i1144" o:spt="75" type="#_x0000_t75" style="height:18.75pt;width:14.25pt;" o:ole="t" filled="f" o:preferrelative="t" stroked="f" coordsize="21600,21600">
            <v:path/>
            <v:fill on="f" focussize="0,0"/>
            <v:stroke on="f" joinstyle="miter"/>
            <v:imagedata r:id="rId251" o:title=""/>
            <o:lock v:ext="edit" aspectratio="t"/>
            <w10:wrap type="none"/>
            <w10:anchorlock/>
          </v:shape>
          <o:OLEObject Type="Embed" ProgID="Equation.DSMT4" ShapeID="_x0000_i1144" DrawAspect="Content" ObjectID="_1468075844" r:id="rId250">
            <o:LockedField>false</o:LockedField>
          </o:OLEObject>
        </w:object>
      </w:r>
      <w:r>
        <w:t>——主动土压力（kPa）；</w:t>
      </w:r>
    </w:p>
    <w:p>
      <w:pPr>
        <w:ind w:firstLine="741" w:firstLineChars="309"/>
      </w:pPr>
      <w:r>
        <w:rPr>
          <w:position w:val="-4"/>
        </w:rPr>
        <w:object>
          <v:shape id="_x0000_i1145" o:spt="75" type="#_x0000_t75" style="height:12pt;width:12pt;" o:ole="t" filled="f" o:preferrelative="t" stroked="f" coordsize="21600,21600">
            <v:path/>
            <v:fill on="f" focussize="0,0"/>
            <v:stroke on="f" joinstyle="miter"/>
            <v:imagedata r:id="rId56" o:title=""/>
            <o:lock v:ext="edit" aspectratio="t"/>
            <w10:wrap type="none"/>
            <w10:anchorlock/>
          </v:shape>
          <o:OLEObject Type="Embed" ProgID="Equation.DSMT4" ShapeID="_x0000_i1145" DrawAspect="Content" ObjectID="_1468075845" r:id="rId252">
            <o:LockedField>false</o:LockedField>
          </o:OLEObject>
        </w:object>
      </w:r>
      <w:r>
        <w:t>——控制土压力（kPa）；</w:t>
      </w:r>
    </w:p>
    <w:p>
      <w:pPr>
        <w:ind w:firstLine="741" w:firstLineChars="309"/>
      </w:pPr>
      <w:r>
        <w:rPr>
          <w:position w:val="-14"/>
        </w:rPr>
        <w:object>
          <v:shape id="_x0000_i1146" o:spt="75" type="#_x0000_t75" style="height:21pt;width:14.25pt;" o:ole="t" filled="f" o:preferrelative="t" stroked="f" coordsize="21600,21600">
            <v:path/>
            <v:fill on="f" focussize="0,0"/>
            <v:stroke on="f" joinstyle="miter"/>
            <v:imagedata r:id="rId254" o:title=""/>
            <o:lock v:ext="edit" aspectratio="t"/>
            <w10:wrap type="none"/>
            <w10:anchorlock/>
          </v:shape>
          <o:OLEObject Type="Embed" ProgID="Equation.DSMT4" ShapeID="_x0000_i1146" DrawAspect="Content" ObjectID="_1468075846" r:id="rId253">
            <o:LockedField>false</o:LockedField>
          </o:OLEObject>
        </w:object>
      </w:r>
      <w:r>
        <w:t>——被动土压力（kPa）；</w:t>
      </w:r>
    </w:p>
    <w:p>
      <w:pPr>
        <w:ind w:firstLine="825" w:firstLineChars="344"/>
      </w:pPr>
      <w:r>
        <w:rPr>
          <w:position w:val="-12"/>
        </w:rPr>
        <w:object>
          <v:shape id="_x0000_i1147" o:spt="75" type="#_x0000_t75" style="height:18.75pt;width:15.75pt;" o:ole="t" filled="f" o:preferrelative="t" stroked="f" coordsize="21600,21600">
            <v:path/>
            <v:fill on="f" focussize="0,0"/>
            <v:stroke on="f" joinstyle="miter"/>
            <v:imagedata r:id="rId256" o:title=""/>
            <o:lock v:ext="edit" aspectratio="t"/>
            <w10:wrap type="none"/>
            <w10:anchorlock/>
          </v:shape>
          <o:OLEObject Type="Embed" ProgID="Equation.DSMT4" ShapeID="_x0000_i1147" DrawAspect="Content" ObjectID="_1468075847" r:id="rId255">
            <o:LockedField>false</o:LockedField>
          </o:OLEObject>
        </w:object>
      </w:r>
      <w:r>
        <w:t>——静土压系数</w:t>
      </w:r>
      <w:r>
        <w:rPr>
          <w:rFonts w:hint="eastAsia"/>
        </w:rPr>
        <w:t>，</w:t>
      </w:r>
      <w:r>
        <w:t>砂性土取0.25～0.33，黏性土取0.33～0.7；</w:t>
      </w:r>
    </w:p>
    <w:p>
      <w:pPr>
        <w:ind w:firstLine="825" w:firstLineChars="344"/>
      </w:pPr>
      <w:r>
        <w:rPr>
          <w:position w:val="-12"/>
        </w:rPr>
        <w:object>
          <v:shape id="_x0000_i1148" o:spt="75" type="#_x0000_t75" style="height:18.75pt;width:14.25pt;" o:ole="t" filled="f" o:preferrelative="t" stroked="f" coordsize="21600,21600">
            <v:path/>
            <v:fill on="f" focussize="0,0"/>
            <v:stroke on="f" joinstyle="miter"/>
            <v:imagedata r:id="rId58" o:title=""/>
            <o:lock v:ext="edit" aspectratio="t"/>
            <w10:wrap type="none"/>
            <w10:anchorlock/>
          </v:shape>
          <o:OLEObject Type="Embed" ProgID="Equation.DSMT4" ShapeID="_x0000_i1148" DrawAspect="Content" ObjectID="_1468075848" r:id="rId257">
            <o:LockedField>false</o:LockedField>
          </o:OLEObject>
        </w:object>
      </w:r>
      <w:r>
        <w:t>——</w:t>
      </w:r>
      <w:r>
        <w:rPr>
          <w:rFonts w:hint="eastAsia"/>
        </w:rPr>
        <w:t>静止土压力</w:t>
      </w:r>
      <w:r>
        <w:t>（kPa）；</w:t>
      </w:r>
    </w:p>
    <w:p>
      <w:pPr>
        <w:ind w:firstLine="825" w:firstLineChars="344"/>
      </w:pPr>
      <w:r>
        <w:rPr>
          <w:position w:val="-10"/>
        </w:rPr>
        <w:object>
          <v:shape id="_x0000_i1149" o:spt="75" type="#_x0000_t75" style="height:12pt;width:11.25pt;" o:ole="t" filled="f" o:preferrelative="t" stroked="f" coordsize="21600,21600">
            <v:path/>
            <v:fill on="f" focussize="0,0"/>
            <v:stroke on="f" joinstyle="miter"/>
            <v:imagedata r:id="rId259" o:title=""/>
            <o:lock v:ext="edit" aspectratio="t"/>
            <w10:wrap type="none"/>
            <w10:anchorlock/>
          </v:shape>
          <o:OLEObject Type="Embed" ProgID="Equation.DSMT4" ShapeID="_x0000_i1149" DrawAspect="Content" ObjectID="_1468075849" r:id="rId258">
            <o:LockedField>false</o:LockedField>
          </o:OLEObject>
        </w:object>
      </w:r>
      <w:r>
        <w:t>——土的重度（</w:t>
      </w:r>
      <w:r>
        <w:rPr>
          <w:rFonts w:hint="eastAsia"/>
        </w:rPr>
        <w:t>k</w:t>
      </w:r>
      <w:r>
        <w:t>N/m³）；</w:t>
      </w:r>
    </w:p>
    <w:p>
      <w:pPr>
        <w:ind w:firstLine="825" w:firstLineChars="344"/>
      </w:pPr>
      <w:r>
        <w:rPr>
          <w:position w:val="-12"/>
        </w:rPr>
        <w:object>
          <v:shape id="_x0000_i1150" o:spt="75" type="#_x0000_t75" style="height:18.75pt;width:15.75pt;" o:ole="t" filled="f" o:preferrelative="t" stroked="f" coordsize="21600,21600">
            <v:path/>
            <v:fill on="f" focussize="0,0"/>
            <v:stroke on="f" joinstyle="miter"/>
            <v:imagedata r:id="rId261" o:title=""/>
            <o:lock v:ext="edit" aspectratio="t"/>
            <w10:wrap type="none"/>
            <w10:anchorlock/>
          </v:shape>
          <o:OLEObject Type="Embed" ProgID="Equation.DSMT4" ShapeID="_x0000_i1150" DrawAspect="Content" ObjectID="_1468075850" r:id="rId260">
            <o:LockedField>false</o:LockedField>
          </o:OLEObject>
        </w:object>
      </w:r>
      <w:r>
        <w:t>——管顶至原状土地面的覆土深度（m）；</w:t>
      </w:r>
    </w:p>
    <w:p>
      <w:pPr>
        <w:ind w:firstLine="825" w:firstLineChars="344"/>
      </w:pPr>
      <w:r>
        <w:rPr>
          <w:position w:val="-10"/>
        </w:rPr>
        <w:object>
          <v:shape id="_x0000_i1151" o:spt="75" type="#_x0000_t75" style="height:12pt;width:11.25pt;" o:ole="t" filled="f" o:preferrelative="t" stroked="f" coordsize="21600,21600">
            <v:path/>
            <v:fill on="f" focussize="0,0"/>
            <v:stroke on="f" joinstyle="miter"/>
            <v:imagedata r:id="rId263" o:title=""/>
            <o:lock v:ext="edit" aspectratio="t"/>
            <w10:wrap type="none"/>
            <w10:anchorlock/>
          </v:shape>
          <o:OLEObject Type="Embed" ProgID="Equation.DSMT4" ShapeID="_x0000_i1151" DrawAspect="Content" ObjectID="_1468075851" r:id="rId262">
            <o:LockedField>false</o:LockedField>
          </o:OLEObject>
        </w:object>
      </w:r>
      <w:r>
        <w:t>——土的内摩擦角（°）；</w:t>
      </w:r>
    </w:p>
    <w:p>
      <w:pPr>
        <w:ind w:firstLine="825" w:firstLineChars="344"/>
      </w:pPr>
      <w:r>
        <w:rPr>
          <w:position w:val="-6"/>
        </w:rPr>
        <w:object>
          <v:shape id="_x0000_i1152" o:spt="75" type="#_x0000_t75" style="height:11.25pt;width:8.25pt;" o:ole="t" filled="f" o:preferrelative="t" stroked="f" coordsize="21600,21600">
            <v:path/>
            <v:fill on="f" focussize="0,0"/>
            <v:stroke on="f" joinstyle="miter"/>
            <v:imagedata r:id="rId265" o:title=""/>
            <o:lock v:ext="edit" aspectratio="t"/>
            <w10:wrap type="none"/>
            <w10:anchorlock/>
          </v:shape>
          <o:OLEObject Type="Embed" ProgID="Equation.3" ShapeID="_x0000_i1152" DrawAspect="Content" ObjectID="_1468075852" r:id="rId264">
            <o:LockedField>false</o:LockedField>
          </o:OLEObject>
        </w:object>
      </w:r>
      <w:r>
        <w:t>——土的黏聚力（kPa）。</w:t>
      </w:r>
    </w:p>
    <w:p>
      <w:pPr>
        <w:ind w:firstLine="482" w:firstLineChars="200"/>
      </w:pPr>
      <w:r>
        <w:rPr>
          <w:b/>
          <w:bCs/>
        </w:rPr>
        <w:t>4</w:t>
      </w:r>
      <w:r>
        <w:t>顶进时，对土舱内的控制土压力应将实测值与计算值做比较，修正计算值；</w:t>
      </w:r>
    </w:p>
    <w:p>
      <w:pPr>
        <w:ind w:firstLine="482" w:firstLineChars="200"/>
        <w:rPr>
          <w:rFonts w:eastAsiaTheme="minorEastAsia"/>
        </w:rPr>
      </w:pPr>
      <w:r>
        <w:rPr>
          <w:b/>
          <w:bCs/>
        </w:rPr>
        <w:t>5</w:t>
      </w:r>
      <w:r>
        <w:t>泥水平衡式顶管机正面泥水压力宜比水土压力高出</w:t>
      </w:r>
      <w:r>
        <w:rPr>
          <w:rFonts w:eastAsiaTheme="minorEastAsia"/>
        </w:rPr>
        <w:t>0.01MPa～0.03MPa；</w:t>
      </w:r>
    </w:p>
    <w:p>
      <w:pPr>
        <w:ind w:firstLine="482" w:firstLineChars="200"/>
      </w:pPr>
      <w:r>
        <w:rPr>
          <w:rFonts w:eastAsiaTheme="minorEastAsia"/>
          <w:b/>
          <w:bCs/>
        </w:rPr>
        <w:t>6</w:t>
      </w:r>
      <w:r>
        <w:rPr>
          <w:rFonts w:eastAsiaTheme="minorEastAsia"/>
        </w:rPr>
        <w:t>应统计每节管节的出渣量，</w:t>
      </w:r>
      <w:r>
        <w:rPr>
          <w:rFonts w:hint="eastAsia" w:eastAsiaTheme="minorEastAsia"/>
        </w:rPr>
        <w:t>实际出渣量</w:t>
      </w:r>
      <w:r>
        <w:rPr>
          <w:rFonts w:eastAsiaTheme="minorEastAsia"/>
        </w:rPr>
        <w:t>应与理论出渣量保持一致。</w:t>
      </w:r>
    </w:p>
    <w:p>
      <w:r>
        <w:rPr>
          <w:b/>
          <w:bCs/>
        </w:rPr>
        <w:t>9.4.</w:t>
      </w:r>
      <w:r>
        <w:rPr>
          <w:rFonts w:hint="eastAsia"/>
          <w:b/>
          <w:bCs/>
        </w:rPr>
        <w:t>6</w:t>
      </w:r>
      <w:r>
        <w:rPr>
          <w:b/>
          <w:bCs/>
        </w:rPr>
        <w:t xml:space="preserve"> </w:t>
      </w:r>
      <w:r>
        <w:rPr>
          <w:rFonts w:hint="eastAsia"/>
          <w:bCs/>
        </w:rPr>
        <w:t>顶管始发掘进通过工作井始发加固区后应进行试验段掘进，</w:t>
      </w:r>
      <w:r>
        <w:rPr>
          <w:rFonts w:hint="eastAsia"/>
        </w:rPr>
        <w:t>试验段宜取距离始发井始发加固区不小于</w:t>
      </w:r>
      <w:r>
        <w:t>1</w:t>
      </w:r>
      <w:r>
        <w:rPr>
          <w:rFonts w:hint="eastAsia"/>
        </w:rPr>
        <w:t>倍顶管机长度，并通过现场实测数据调整施工参数和匹配关系。</w:t>
      </w:r>
    </w:p>
    <w:p>
      <w:r>
        <w:rPr>
          <w:b/>
          <w:bCs/>
        </w:rPr>
        <w:t>9.4.</w:t>
      </w:r>
      <w:r>
        <w:rPr>
          <w:rFonts w:hint="eastAsia"/>
          <w:b/>
          <w:bCs/>
        </w:rPr>
        <w:t>7</w:t>
      </w:r>
      <w:r>
        <w:rPr>
          <w:b/>
          <w:bCs/>
        </w:rPr>
        <w:t xml:space="preserve"> </w:t>
      </w:r>
      <w:r>
        <w:t>施工参数记录应符合下列规定：</w:t>
      </w:r>
    </w:p>
    <w:p>
      <w:pPr>
        <w:ind w:firstLine="482" w:firstLineChars="200"/>
      </w:pPr>
      <w:r>
        <w:rPr>
          <w:b/>
          <w:bCs/>
        </w:rPr>
        <w:t>1</w:t>
      </w:r>
      <w:r>
        <w:t>顶管始发前应测量顶管机头的轴线和标高，并应将测量数据及时反馈进行调整；</w:t>
      </w:r>
    </w:p>
    <w:p>
      <w:pPr>
        <w:ind w:firstLine="482" w:firstLineChars="200"/>
      </w:pPr>
      <w:r>
        <w:rPr>
          <w:b/>
          <w:bCs/>
        </w:rPr>
        <w:t>2</w:t>
      </w:r>
      <w:r>
        <w:t>掘进施工中的原始数据记录应连续、真实、完整；</w:t>
      </w:r>
    </w:p>
    <w:p>
      <w:pPr>
        <w:ind w:firstLine="482" w:firstLineChars="200"/>
      </w:pPr>
      <w:r>
        <w:rPr>
          <w:b/>
          <w:bCs/>
        </w:rPr>
        <w:t>3</w:t>
      </w:r>
      <w:r>
        <w:t>原始记录和测量分析资料应完整存档。</w:t>
      </w:r>
    </w:p>
    <w:p>
      <w:r>
        <w:rPr>
          <w:b/>
          <w:bCs/>
        </w:rPr>
        <w:t>9.4.</w:t>
      </w:r>
      <w:r>
        <w:rPr>
          <w:rFonts w:hint="eastAsia"/>
          <w:b/>
          <w:bCs/>
        </w:rPr>
        <w:t>8</w:t>
      </w:r>
      <w:r>
        <w:rPr>
          <w:b/>
          <w:bCs/>
        </w:rPr>
        <w:t xml:space="preserve"> </w:t>
      </w:r>
      <w:r>
        <w:t>加接管节时，主推油缸在缩回前应对已掘进的管节采取止退措施。</w:t>
      </w:r>
    </w:p>
    <w:p>
      <w:r>
        <w:rPr>
          <w:b/>
          <w:bCs/>
        </w:rPr>
        <w:t>9.4.</w:t>
      </w:r>
      <w:r>
        <w:rPr>
          <w:rFonts w:hint="eastAsia"/>
          <w:b/>
          <w:bCs/>
        </w:rPr>
        <w:t xml:space="preserve">9 </w:t>
      </w:r>
      <w:r>
        <w:t>掘进过程应连续进行，遇下列情况之一时，应暂停掘进、分析处理，并应采取防止顶管机前方塌方的措施：</w:t>
      </w:r>
    </w:p>
    <w:p>
      <w:pPr>
        <w:ind w:firstLine="482" w:firstLineChars="200"/>
      </w:pPr>
      <w:r>
        <w:rPr>
          <w:b/>
          <w:bCs/>
        </w:rPr>
        <w:t>1</w:t>
      </w:r>
      <w:r>
        <w:t>顶管机前方遇到不明障碍物；</w:t>
      </w:r>
    </w:p>
    <w:p>
      <w:pPr>
        <w:ind w:firstLine="482" w:firstLineChars="200"/>
      </w:pPr>
      <w:r>
        <w:rPr>
          <w:b/>
          <w:bCs/>
        </w:rPr>
        <w:t>2</w:t>
      </w:r>
      <w:r>
        <w:t>后背墙变形严重；</w:t>
      </w:r>
    </w:p>
    <w:p>
      <w:pPr>
        <w:ind w:firstLine="482" w:firstLineChars="200"/>
      </w:pPr>
      <w:r>
        <w:rPr>
          <w:b/>
          <w:bCs/>
        </w:rPr>
        <w:t>3</w:t>
      </w:r>
      <w:r>
        <w:t>顶铁发生扭曲现象；</w:t>
      </w:r>
    </w:p>
    <w:p>
      <w:pPr>
        <w:ind w:firstLine="482" w:firstLineChars="200"/>
      </w:pPr>
      <w:r>
        <w:rPr>
          <w:b/>
          <w:bCs/>
        </w:rPr>
        <w:t>4</w:t>
      </w:r>
      <w:r>
        <w:t>管位偏差过大且纠偏无效；</w:t>
      </w:r>
    </w:p>
    <w:p>
      <w:pPr>
        <w:ind w:firstLine="482" w:firstLineChars="200"/>
      </w:pPr>
      <w:r>
        <w:rPr>
          <w:b/>
          <w:bCs/>
        </w:rPr>
        <w:t>5</w:t>
      </w:r>
      <w:r>
        <w:t>顶推力超过管材的允许推力；</w:t>
      </w:r>
    </w:p>
    <w:p>
      <w:pPr>
        <w:ind w:firstLine="482" w:firstLineChars="200"/>
      </w:pPr>
      <w:r>
        <w:rPr>
          <w:b/>
          <w:bCs/>
        </w:rPr>
        <w:t>6</w:t>
      </w:r>
      <w:r>
        <w:t>油泵、油路发生异常现象；</w:t>
      </w:r>
    </w:p>
    <w:p>
      <w:pPr>
        <w:ind w:firstLine="482" w:firstLineChars="200"/>
      </w:pPr>
      <w:r>
        <w:rPr>
          <w:b/>
          <w:bCs/>
        </w:rPr>
        <w:t>7</w:t>
      </w:r>
      <w:r>
        <w:t>管节接缝、中继间</w:t>
      </w:r>
      <w:r>
        <w:rPr>
          <w:rFonts w:hint="eastAsia"/>
        </w:rPr>
        <w:t>出现</w:t>
      </w:r>
      <w:r>
        <w:t>渗漏；</w:t>
      </w:r>
    </w:p>
    <w:p>
      <w:pPr>
        <w:ind w:firstLine="482" w:firstLineChars="200"/>
      </w:pPr>
      <w:r>
        <w:rPr>
          <w:b/>
          <w:bCs/>
        </w:rPr>
        <w:t>8</w:t>
      </w:r>
      <w:r>
        <w:t>地层、邻近建筑物或构筑物、管线等周围环境的</w:t>
      </w:r>
      <w:r>
        <w:rPr>
          <w:rFonts w:hint="eastAsia"/>
        </w:rPr>
        <w:t>变形</w:t>
      </w:r>
      <w:r>
        <w:t>量超出允许控制值。</w:t>
      </w:r>
    </w:p>
    <w:p>
      <w:r>
        <w:rPr>
          <w:b/>
          <w:bCs/>
        </w:rPr>
        <w:t>9.4.1</w:t>
      </w:r>
      <w:r>
        <w:rPr>
          <w:rFonts w:hint="eastAsia"/>
          <w:b/>
          <w:bCs/>
        </w:rPr>
        <w:t xml:space="preserve">0 </w:t>
      </w:r>
      <w:r>
        <w:t>当顶管施工穿跨建筑物</w:t>
      </w:r>
      <w:r>
        <w:rPr>
          <w:rFonts w:hint="eastAsia"/>
        </w:rPr>
        <w:t>、</w:t>
      </w:r>
      <w:r>
        <w:t>构筑物、轨道交通、铁路、公路、堤</w:t>
      </w:r>
      <w:r>
        <w:rPr>
          <w:rFonts w:hint="eastAsia"/>
        </w:rPr>
        <w:t>岸</w:t>
      </w:r>
      <w:r>
        <w:t>、重要地下管线及遇到地下障碍物等时，应符合下列规定：</w:t>
      </w:r>
    </w:p>
    <w:p>
      <w:pPr>
        <w:ind w:firstLine="482" w:firstLineChars="200"/>
      </w:pPr>
      <w:r>
        <w:rPr>
          <w:b/>
          <w:bCs/>
        </w:rPr>
        <w:t>1</w:t>
      </w:r>
      <w:r>
        <w:t>施工前应对穿越建筑物或构筑物地段进行详细调查，评估施工对建筑物、构筑物的影响，并应采取针对性</w:t>
      </w:r>
      <w:r>
        <w:rPr>
          <w:rFonts w:hint="eastAsia"/>
        </w:rPr>
        <w:t>地</w:t>
      </w:r>
      <w:r>
        <w:t>保护措施控制地层变形；</w:t>
      </w:r>
    </w:p>
    <w:p>
      <w:pPr>
        <w:ind w:firstLine="482" w:firstLineChars="200"/>
      </w:pPr>
      <w:r>
        <w:rPr>
          <w:b/>
          <w:bCs/>
        </w:rPr>
        <w:t xml:space="preserve">2 </w:t>
      </w:r>
      <w:r>
        <w:t>宜根据建筑物或构筑物基础与结构的类型、现状，</w:t>
      </w:r>
      <w:r>
        <w:rPr>
          <w:rFonts w:hint="eastAsia"/>
        </w:rPr>
        <w:t>按照设计要求</w:t>
      </w:r>
      <w:r>
        <w:t>采取地基加固或桩基托换措施；</w:t>
      </w:r>
    </w:p>
    <w:p>
      <w:pPr>
        <w:ind w:firstLine="482" w:firstLineChars="200"/>
      </w:pPr>
      <w:r>
        <w:rPr>
          <w:b/>
          <w:bCs/>
        </w:rPr>
        <w:t xml:space="preserve">3 </w:t>
      </w:r>
      <w:r>
        <w:t>应加强地表和建筑物或构筑物</w:t>
      </w:r>
      <w:r>
        <w:rPr>
          <w:rFonts w:hint="eastAsia"/>
        </w:rPr>
        <w:t>的</w:t>
      </w:r>
      <w:r>
        <w:t>变形监测，并</w:t>
      </w:r>
      <w:r>
        <w:rPr>
          <w:rFonts w:hint="eastAsia"/>
        </w:rPr>
        <w:t>应根据监测数据</w:t>
      </w:r>
      <w:r>
        <w:t>优化调整管节推进参数和同步注浆参数；</w:t>
      </w:r>
    </w:p>
    <w:p>
      <w:pPr>
        <w:ind w:firstLine="482" w:firstLineChars="200"/>
      </w:pPr>
      <w:r>
        <w:rPr>
          <w:b/>
          <w:bCs/>
        </w:rPr>
        <w:t xml:space="preserve">4 </w:t>
      </w:r>
      <w:r>
        <w:t>对施工引起的地表变形和周围环境的影响应进行实时监测，并</w:t>
      </w:r>
      <w:r>
        <w:rPr>
          <w:rFonts w:hint="eastAsia"/>
        </w:rPr>
        <w:t>应</w:t>
      </w:r>
      <w:r>
        <w:t>采取相应的安全保护措施，制定应急预案；</w:t>
      </w:r>
    </w:p>
    <w:p>
      <w:pPr>
        <w:ind w:firstLine="482" w:firstLineChars="200"/>
      </w:pPr>
      <w:r>
        <w:rPr>
          <w:b/>
          <w:bCs/>
        </w:rPr>
        <w:t>5</w:t>
      </w:r>
      <w:r>
        <w:t>穿越地铁、铁路、公路或其他设施时，除应符合本规程的有关规定外，尚应遵守相关行业对技术安全的有关规定；</w:t>
      </w:r>
    </w:p>
    <w:p>
      <w:pPr>
        <w:ind w:firstLine="482" w:firstLineChars="200"/>
      </w:pPr>
      <w:r>
        <w:rPr>
          <w:b/>
          <w:bCs/>
        </w:rPr>
        <w:t>6</w:t>
      </w:r>
      <w:r>
        <w:t>在遇到地下障碍物时，应在采取安全措施的条件下，先清除障碍物，然后再继续顶进，如遇特殊或紧急情况，应</w:t>
      </w:r>
      <w:r>
        <w:rPr>
          <w:rFonts w:hint="eastAsia"/>
        </w:rPr>
        <w:t>立即</w:t>
      </w:r>
      <w:r>
        <w:t>采取应变技术措施，并向有关部门汇报。</w:t>
      </w:r>
    </w:p>
    <w:p>
      <w:pPr>
        <w:pStyle w:val="3"/>
        <w:rPr>
          <w:rFonts w:eastAsia="黑体" w:cs="Times New Roman"/>
          <w:b w:val="0"/>
        </w:rPr>
      </w:pPr>
      <w:bookmarkStart w:id="518" w:name="_Toc12591"/>
      <w:bookmarkStart w:id="519" w:name="_Toc60173817"/>
      <w:bookmarkStart w:id="520" w:name="_Toc9198"/>
      <w:bookmarkStart w:id="521" w:name="_Toc26837"/>
      <w:bookmarkStart w:id="522" w:name="_Toc47692189"/>
      <w:bookmarkStart w:id="523" w:name="_Toc60172930"/>
      <w:bookmarkStart w:id="524" w:name="_Toc15826"/>
      <w:bookmarkStart w:id="525" w:name="_Toc24549"/>
      <w:bookmarkStart w:id="526" w:name="_Toc18057076"/>
      <w:bookmarkStart w:id="527" w:name="_Toc11432"/>
      <w:bookmarkStart w:id="528" w:name="_Toc28937"/>
      <w:r>
        <w:rPr>
          <w:rFonts w:eastAsia="黑体" w:cs="Times New Roman"/>
        </w:rPr>
        <w:t>9.5</w:t>
      </w:r>
      <w:r>
        <w:rPr>
          <w:rFonts w:eastAsia="黑体" w:cs="Times New Roman"/>
          <w:b w:val="0"/>
        </w:rPr>
        <w:t>注浆减阻</w:t>
      </w:r>
      <w:bookmarkEnd w:id="518"/>
      <w:bookmarkEnd w:id="519"/>
      <w:bookmarkEnd w:id="520"/>
      <w:bookmarkEnd w:id="521"/>
      <w:bookmarkEnd w:id="522"/>
      <w:bookmarkEnd w:id="523"/>
      <w:bookmarkEnd w:id="524"/>
      <w:bookmarkEnd w:id="525"/>
      <w:bookmarkEnd w:id="526"/>
      <w:bookmarkEnd w:id="527"/>
      <w:bookmarkEnd w:id="528"/>
    </w:p>
    <w:p>
      <w:bookmarkStart w:id="529" w:name="_Toc508009062"/>
      <w:r>
        <w:rPr>
          <w:b/>
          <w:bCs/>
        </w:rPr>
        <w:t xml:space="preserve">9.5.1  </w:t>
      </w:r>
      <w:r>
        <w:t>施工现场应修建泥浆池，并应满足顶管工程所需不同泥浆的配置需求。</w:t>
      </w:r>
      <w:bookmarkEnd w:id="529"/>
    </w:p>
    <w:p>
      <w:r>
        <w:rPr>
          <w:b/>
          <w:bCs/>
        </w:rPr>
        <w:t xml:space="preserve">9.5.2  </w:t>
      </w:r>
      <w:r>
        <w:t>触变泥浆应符合下列规定：</w:t>
      </w:r>
    </w:p>
    <w:p>
      <w:pPr>
        <w:ind w:firstLine="482" w:firstLineChars="200"/>
      </w:pPr>
      <w:r>
        <w:rPr>
          <w:b/>
          <w:bCs/>
        </w:rPr>
        <w:t>1</w:t>
      </w:r>
      <w:r>
        <w:t>在管道外壁应压注触变泥浆，在管道四周形成一圈稳定的泥浆套，施工期间泥浆应保持不失水、不沉淀、不固结；</w:t>
      </w:r>
    </w:p>
    <w:p>
      <w:pPr>
        <w:ind w:firstLine="482" w:firstLineChars="200"/>
      </w:pPr>
      <w:r>
        <w:rPr>
          <w:b/>
          <w:bCs/>
        </w:rPr>
        <w:t>2</w:t>
      </w:r>
      <w:r>
        <w:t>管道每节管节应设置触变泥浆管，压浆时可根据实际需要调整压泥浆管的间距；</w:t>
      </w:r>
    </w:p>
    <w:p>
      <w:pPr>
        <w:ind w:firstLine="482" w:firstLineChars="200"/>
      </w:pPr>
      <w:r>
        <w:rPr>
          <w:b/>
          <w:bCs/>
        </w:rPr>
        <w:t xml:space="preserve">3 </w:t>
      </w:r>
      <w:r>
        <w:t>触变泥浆应充分搅拌水化，泥浆搅拌完成后宜放置24h，膨润土泥浆</w:t>
      </w:r>
      <w:r>
        <w:rPr>
          <w:rFonts w:hint="eastAsia"/>
        </w:rPr>
        <w:t>应</w:t>
      </w:r>
      <w:r>
        <w:t>膨化24h；</w:t>
      </w:r>
    </w:p>
    <w:p>
      <w:pPr>
        <w:ind w:firstLine="482" w:firstLineChars="200"/>
      </w:pPr>
      <w:r>
        <w:rPr>
          <w:b/>
          <w:bCs/>
        </w:rPr>
        <w:t>4</w:t>
      </w:r>
      <w:r>
        <w:t>压浆压力宜控制在比地下水的水压力高</w:t>
      </w:r>
      <w:r>
        <w:rPr>
          <w:rFonts w:hint="eastAsia"/>
        </w:rPr>
        <w:t>出</w:t>
      </w:r>
      <w:r>
        <w:t>0.02MPa～0.04MPa</w:t>
      </w:r>
      <w:r>
        <w:rPr>
          <w:rFonts w:hint="eastAsia"/>
        </w:rPr>
        <w:t>，压力下降时应及时补浆</w:t>
      </w:r>
      <w:r>
        <w:t>；</w:t>
      </w:r>
    </w:p>
    <w:p>
      <w:pPr>
        <w:ind w:firstLine="482" w:firstLineChars="200"/>
      </w:pPr>
      <w:r>
        <w:rPr>
          <w:b/>
          <w:bCs/>
        </w:rPr>
        <w:t>5</w:t>
      </w:r>
      <w:r>
        <w:t>注浆量不应低于理论值的2倍。</w:t>
      </w:r>
    </w:p>
    <w:p>
      <w:r>
        <w:rPr>
          <w:b/>
          <w:bCs/>
        </w:rPr>
        <w:t xml:space="preserve">9.5.3  </w:t>
      </w:r>
      <w:r>
        <w:t>顶管掘进过程中应采取减小管壁摩擦阻力的措施，宜采用向管外壁与土体间注入润滑泥浆的方式减阻。注浆减阻应符合下列规定：</w:t>
      </w:r>
    </w:p>
    <w:p>
      <w:pPr>
        <w:ind w:firstLine="482" w:firstLineChars="200"/>
      </w:pPr>
      <w:r>
        <w:rPr>
          <w:b/>
          <w:bCs/>
        </w:rPr>
        <w:t xml:space="preserve">1 </w:t>
      </w:r>
      <w:r>
        <w:t>注浆</w:t>
      </w:r>
      <w:r>
        <w:rPr>
          <w:rFonts w:hint="eastAsia"/>
        </w:rPr>
        <w:t>应</w:t>
      </w:r>
      <w:r>
        <w:t>选择优质的触变泥浆材料；</w:t>
      </w:r>
    </w:p>
    <w:p>
      <w:pPr>
        <w:ind w:firstLine="482" w:firstLineChars="200"/>
      </w:pPr>
      <w:r>
        <w:rPr>
          <w:b/>
          <w:bCs/>
        </w:rPr>
        <w:t>2</w:t>
      </w:r>
      <w:r>
        <w:t>矩形顶管上</w:t>
      </w:r>
      <w:r>
        <w:rPr>
          <w:rFonts w:hint="eastAsia"/>
        </w:rPr>
        <w:t>应</w:t>
      </w:r>
      <w:r>
        <w:t>预设压浆孔，压浆孔的设置应确保掘进时管外壁和土体之间的间隙能形成稳定、连续的泥浆套；</w:t>
      </w:r>
    </w:p>
    <w:p>
      <w:pPr>
        <w:ind w:firstLine="482" w:firstLineChars="200"/>
      </w:pPr>
      <w:r>
        <w:rPr>
          <w:b/>
          <w:bCs/>
        </w:rPr>
        <w:t xml:space="preserve">3 </w:t>
      </w:r>
      <w:r>
        <w:t>膨润土的储藏及浆液配制、搅拌、水化时间应按照产品的性能要求进行，使用前应先进行试验；</w:t>
      </w:r>
    </w:p>
    <w:p>
      <w:pPr>
        <w:ind w:firstLine="482" w:firstLineChars="200"/>
      </w:pPr>
      <w:r>
        <w:rPr>
          <w:b/>
          <w:bCs/>
        </w:rPr>
        <w:t>4</w:t>
      </w:r>
      <w:r>
        <w:t>注浆应遵循“同步注浆与补浆相结合”和“先注后顶、随顶随注、及时补浆”的原则；</w:t>
      </w:r>
    </w:p>
    <w:p>
      <w:pPr>
        <w:ind w:firstLine="482" w:firstLineChars="200"/>
      </w:pPr>
      <w:r>
        <w:rPr>
          <w:b/>
          <w:bCs/>
        </w:rPr>
        <w:t>5</w:t>
      </w:r>
      <w:r>
        <w:t>注浆设备和管路应可靠，应具有足够的耐压和良好的密封性能；</w:t>
      </w:r>
    </w:p>
    <w:p>
      <w:pPr>
        <w:ind w:firstLine="482" w:firstLineChars="200"/>
      </w:pPr>
      <w:r>
        <w:rPr>
          <w:b/>
          <w:bCs/>
        </w:rPr>
        <w:t>6</w:t>
      </w:r>
      <w:r>
        <w:t>长距离顶管注浆</w:t>
      </w:r>
      <w:r>
        <w:rPr>
          <w:rFonts w:hint="eastAsia"/>
        </w:rPr>
        <w:t>时</w:t>
      </w:r>
      <w:r>
        <w:t>宜使用低压力、大流量，补浆</w:t>
      </w:r>
      <w:r>
        <w:rPr>
          <w:rFonts w:hint="eastAsia"/>
        </w:rPr>
        <w:t>时</w:t>
      </w:r>
      <w:r>
        <w:t>可使用高压力、小流量。</w:t>
      </w:r>
    </w:p>
    <w:p>
      <w:r>
        <w:rPr>
          <w:b/>
          <w:bCs/>
        </w:rPr>
        <w:t xml:space="preserve">9.5.4  </w:t>
      </w:r>
      <w:r>
        <w:t>注浆浆液</w:t>
      </w:r>
      <w:r>
        <w:rPr>
          <w:rFonts w:hint="eastAsia"/>
        </w:rPr>
        <w:t>的</w:t>
      </w:r>
      <w:r>
        <w:t>选择应符合下列规定：</w:t>
      </w:r>
    </w:p>
    <w:p>
      <w:pPr>
        <w:ind w:firstLine="482" w:firstLineChars="200"/>
      </w:pPr>
      <w:r>
        <w:rPr>
          <w:b/>
          <w:bCs/>
        </w:rPr>
        <w:t>1</w:t>
      </w:r>
      <w:r>
        <w:t>触变泥浆</w:t>
      </w:r>
      <w:r>
        <w:rPr>
          <w:rFonts w:hint="eastAsia"/>
        </w:rPr>
        <w:t>适用</w:t>
      </w:r>
      <w:r>
        <w:t>于黏性土、粉质土和渗透系数不大于10</w:t>
      </w:r>
      <w:r>
        <w:rPr>
          <w:vertAlign w:val="superscript"/>
        </w:rPr>
        <w:t>-3</w:t>
      </w:r>
      <w:r>
        <w:t>cm/s的砂性土等地层中</w:t>
      </w:r>
      <w:r>
        <w:rPr>
          <w:rFonts w:hint="eastAsia"/>
        </w:rPr>
        <w:t>，</w:t>
      </w:r>
      <w:r>
        <w:t>渗透系数大于10</w:t>
      </w:r>
      <w:r>
        <w:rPr>
          <w:vertAlign w:val="superscript"/>
        </w:rPr>
        <w:t>-5</w:t>
      </w:r>
      <w:r>
        <w:t>cm/s时应另添加化学稳定剂；</w:t>
      </w:r>
    </w:p>
    <w:p>
      <w:pPr>
        <w:ind w:firstLine="482" w:firstLineChars="200"/>
      </w:pPr>
      <w:r>
        <w:rPr>
          <w:b/>
          <w:bCs/>
        </w:rPr>
        <w:t xml:space="preserve">2 </w:t>
      </w:r>
      <w:r>
        <w:t>渗透系数大于或等于10</w:t>
      </w:r>
      <w:r>
        <w:rPr>
          <w:vertAlign w:val="superscript"/>
        </w:rPr>
        <w:t>-2</w:t>
      </w:r>
      <w:r>
        <w:t>cm/s的粗砂和砂砾层宜采用高分子化学泥浆；</w:t>
      </w:r>
    </w:p>
    <w:p>
      <w:pPr>
        <w:ind w:firstLine="482" w:firstLineChars="200"/>
      </w:pPr>
      <w:r>
        <w:rPr>
          <w:b/>
          <w:bCs/>
        </w:rPr>
        <w:t xml:space="preserve">3 </w:t>
      </w:r>
      <w:r>
        <w:t>石蜡非亲水减阻剂可用于无地下水的硬土层；</w:t>
      </w:r>
    </w:p>
    <w:p>
      <w:pPr>
        <w:ind w:firstLine="482" w:firstLineChars="200"/>
      </w:pPr>
      <w:r>
        <w:rPr>
          <w:b/>
          <w:bCs/>
        </w:rPr>
        <w:t xml:space="preserve">4 </w:t>
      </w:r>
      <w:r>
        <w:t>沿海地质条件下宜使用抗盐膨润土。</w:t>
      </w:r>
    </w:p>
    <w:p>
      <w:r>
        <w:rPr>
          <w:b/>
          <w:bCs/>
        </w:rPr>
        <w:t xml:space="preserve">9.5.5  </w:t>
      </w:r>
      <w:r>
        <w:t>触变泥浆注浆系统应符合下列规定：</w:t>
      </w:r>
    </w:p>
    <w:p>
      <w:pPr>
        <w:ind w:firstLine="482" w:firstLineChars="200"/>
      </w:pPr>
      <w:r>
        <w:rPr>
          <w:b/>
          <w:bCs/>
        </w:rPr>
        <w:t>1</w:t>
      </w:r>
      <w:r>
        <w:t>制浆装置容积应满足形成泥浆套的要求；</w:t>
      </w:r>
    </w:p>
    <w:p>
      <w:pPr>
        <w:ind w:firstLine="482" w:firstLineChars="200"/>
      </w:pPr>
      <w:r>
        <w:rPr>
          <w:b/>
          <w:bCs/>
        </w:rPr>
        <w:t>2</w:t>
      </w:r>
      <w:r>
        <w:t>注浆泵宜选用活塞泵或螺杆泵；</w:t>
      </w:r>
    </w:p>
    <w:p>
      <w:pPr>
        <w:ind w:firstLine="482" w:firstLineChars="200"/>
      </w:pPr>
      <w:r>
        <w:rPr>
          <w:b/>
          <w:bCs/>
        </w:rPr>
        <w:t>3</w:t>
      </w:r>
      <w:r>
        <w:t>注浆管可分为主管和支管两种，应根据顶管长度和注浆孔位置酌情设置。主管道宜选用直径为40mm～50mm的钢管，支管可选用25mm～30mm的橡胶管。管接头应拆卸方便且在工作压力下</w:t>
      </w:r>
      <w:r>
        <w:rPr>
          <w:rFonts w:hint="eastAsia"/>
        </w:rPr>
        <w:t>应</w:t>
      </w:r>
      <w:r>
        <w:t>无渗漏现象；</w:t>
      </w:r>
    </w:p>
    <w:p>
      <w:pPr>
        <w:ind w:firstLine="482" w:firstLineChars="200"/>
      </w:pPr>
      <w:r>
        <w:rPr>
          <w:b/>
          <w:bCs/>
        </w:rPr>
        <w:t>4</w:t>
      </w:r>
      <w:r>
        <w:t>每3</w:t>
      </w:r>
      <w:r>
        <w:rPr>
          <w:rFonts w:hint="eastAsia"/>
        </w:rPr>
        <w:t>节～</w:t>
      </w:r>
      <w:r>
        <w:t>5</w:t>
      </w:r>
      <w:r>
        <w:rPr>
          <w:rFonts w:hint="eastAsia"/>
        </w:rPr>
        <w:t>节</w:t>
      </w:r>
      <w:r>
        <w:t>管节应设一组补浆孔，每组补浆孔轴向间距宜为10m～25m</w:t>
      </w:r>
      <w:r>
        <w:rPr>
          <w:rFonts w:hint="eastAsia"/>
        </w:rPr>
        <w:t>，</w:t>
      </w:r>
      <w:r>
        <w:t>可按下式估算：</w:t>
      </w:r>
    </w:p>
    <w:p>
      <w:pPr>
        <w:ind w:firstLine="1920" w:firstLineChars="800"/>
        <w:jc w:val="right"/>
      </w:pPr>
      <w:r>
        <w:rPr>
          <w:position w:val="-12"/>
        </w:rPr>
        <w:object>
          <v:shape id="_x0000_i1153" o:spt="75" type="#_x0000_t75" style="height:21pt;width:57pt;" o:ole="t" filled="f" o:preferrelative="t" stroked="f" coordsize="21600,21600">
            <v:path/>
            <v:fill on="f" focussize="0,0"/>
            <v:stroke on="f" joinstyle="miter"/>
            <v:imagedata r:id="rId267" o:title=""/>
            <o:lock v:ext="edit" aspectratio="t"/>
            <w10:wrap type="none"/>
            <w10:anchorlock/>
          </v:shape>
          <o:OLEObject Type="Embed" ProgID="Equation.DSMT4" ShapeID="_x0000_i1153" DrawAspect="Content" ObjectID="_1468075853" r:id="rId266">
            <o:LockedField>false</o:LockedField>
          </o:OLEObject>
        </w:object>
      </w:r>
      <w:r>
        <w:t xml:space="preserve">                          （9.5.5）</w:t>
      </w:r>
    </w:p>
    <w:p>
      <w:r>
        <w:t>式中：</w:t>
      </w:r>
      <w:r>
        <w:rPr>
          <w:i/>
          <w:iCs/>
        </w:rPr>
        <w:t>L</w:t>
      </w:r>
      <w:r>
        <w:rPr>
          <w:vertAlign w:val="subscript"/>
        </w:rPr>
        <w:t>m</w:t>
      </w:r>
      <w:r>
        <w:t>——补浆孔间距（m）；</w:t>
      </w:r>
    </w:p>
    <w:p>
      <w:pPr>
        <w:ind w:firstLine="849" w:firstLineChars="354"/>
      </w:pPr>
      <w:r>
        <w:rPr>
          <w:i/>
          <w:iCs/>
        </w:rPr>
        <w:t>T</w:t>
      </w:r>
      <w:r>
        <w:t>——</w:t>
      </w:r>
      <w:r>
        <w:rPr>
          <w:rFonts w:hint="eastAsia"/>
        </w:rPr>
        <w:t>触变</w:t>
      </w:r>
      <w:r>
        <w:t>泥浆失效期（d），取6d～10d；</w:t>
      </w:r>
    </w:p>
    <w:p>
      <w:pPr>
        <w:ind w:firstLine="849" w:firstLineChars="354"/>
      </w:pPr>
      <w:r>
        <w:rPr>
          <w:i/>
          <w:iCs/>
        </w:rPr>
        <w:t>V</w:t>
      </w:r>
      <w:r>
        <w:t>——平均掘进速度（m/d）。</w:t>
      </w:r>
    </w:p>
    <w:p>
      <w:pPr>
        <w:ind w:firstLine="482" w:firstLineChars="200"/>
      </w:pPr>
      <w:r>
        <w:rPr>
          <w:b/>
          <w:bCs/>
        </w:rPr>
        <w:t xml:space="preserve">5 </w:t>
      </w:r>
      <w:r>
        <w:t>注浆孔的布置应按顶管断面尺寸确定，每个断面可设置8个～10个注浆孔；相邻断面上的注浆孔可平行布置或交错布置；注浆孔宜有排气功能，每个注浆孔宜安装球阀，在顶管机尾部和其他位置的注浆孔管道上应设置压力表；</w:t>
      </w:r>
    </w:p>
    <w:p>
      <w:pPr>
        <w:ind w:firstLine="482" w:firstLineChars="200"/>
      </w:pPr>
      <w:r>
        <w:rPr>
          <w:b/>
          <w:bCs/>
        </w:rPr>
        <w:t>6</w:t>
      </w:r>
      <w:r>
        <w:t>每套中继间应单独设置注浆孔，中继间的注浆应与中继间启动同步，运行中</w:t>
      </w:r>
      <w:r>
        <w:rPr>
          <w:rFonts w:hint="eastAsia"/>
        </w:rPr>
        <w:t>应</w:t>
      </w:r>
      <w:r>
        <w:t>连续注浆；</w:t>
      </w:r>
    </w:p>
    <w:p>
      <w:pPr>
        <w:ind w:firstLine="482" w:firstLineChars="200"/>
      </w:pPr>
      <w:r>
        <w:rPr>
          <w:b/>
          <w:bCs/>
        </w:rPr>
        <w:t>7</w:t>
      </w:r>
      <w:r>
        <w:t>注浆前应检查注浆装置的水密性，注浆时压力应逐步升至控制压力；</w:t>
      </w:r>
    </w:p>
    <w:p>
      <w:pPr>
        <w:ind w:firstLine="482" w:firstLineChars="200"/>
      </w:pPr>
      <w:r>
        <w:rPr>
          <w:b/>
        </w:rPr>
        <w:t>8</w:t>
      </w:r>
      <w:r>
        <w:t>注浆遇有机械故障、管路堵塞、接头渗漏等情况时，应经处理后方可继续掘进。</w:t>
      </w:r>
    </w:p>
    <w:p>
      <w:r>
        <w:rPr>
          <w:b/>
          <w:bCs/>
        </w:rPr>
        <w:t xml:space="preserve">9.5.6 </w:t>
      </w:r>
      <w:r>
        <w:t>触变泥浆的配合比，应结合顶管穿越地层的特性、地下水条件、触变泥浆的技术指标等因素确定，并应符合表9.5.6的规定。</w:t>
      </w:r>
    </w:p>
    <w:p>
      <w:pPr>
        <w:jc w:val="center"/>
        <w:rPr>
          <w:b/>
          <w:sz w:val="21"/>
          <w:szCs w:val="18"/>
        </w:rPr>
      </w:pPr>
      <w:r>
        <w:rPr>
          <w:b/>
          <w:sz w:val="21"/>
          <w:szCs w:val="18"/>
        </w:rPr>
        <w:t>表9.5.6  触变泥浆技术指标</w:t>
      </w:r>
    </w:p>
    <w:tbl>
      <w:tblPr>
        <w:tblStyle w:val="48"/>
        <w:tblW w:w="716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119"/>
        <w:gridCol w:w="1689"/>
        <w:gridCol w:w="32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指标</w:t>
            </w:r>
          </w:p>
        </w:tc>
        <w:tc>
          <w:tcPr>
            <w:tcW w:w="1119" w:type="dxa"/>
            <w:tcMar>
              <w:left w:w="0" w:type="dxa"/>
              <w:right w:w="0" w:type="dxa"/>
            </w:tcMar>
          </w:tcPr>
          <w:p>
            <w:pPr>
              <w:pStyle w:val="16"/>
              <w:spacing w:line="240" w:lineRule="auto"/>
              <w:rPr>
                <w:rFonts w:ascii="Times New Roman" w:hAnsi="Times New Roman"/>
                <w:sz w:val="21"/>
                <w:szCs w:val="21"/>
              </w:rPr>
            </w:pPr>
            <w:r>
              <w:rPr>
                <w:rFonts w:ascii="Times New Roman" w:hAnsi="Times New Roman"/>
                <w:sz w:val="21"/>
                <w:szCs w:val="21"/>
              </w:rPr>
              <w:t>单位</w:t>
            </w:r>
          </w:p>
        </w:tc>
        <w:tc>
          <w:tcPr>
            <w:tcW w:w="1689" w:type="dxa"/>
            <w:tcMar>
              <w:left w:w="0" w:type="dxa"/>
              <w:right w:w="0" w:type="dxa"/>
            </w:tcMar>
          </w:tcPr>
          <w:p>
            <w:pPr>
              <w:pStyle w:val="16"/>
              <w:spacing w:line="240" w:lineRule="auto"/>
              <w:rPr>
                <w:rFonts w:ascii="Times New Roman" w:hAnsi="Times New Roman"/>
                <w:sz w:val="21"/>
                <w:szCs w:val="21"/>
              </w:rPr>
            </w:pPr>
            <w:r>
              <w:rPr>
                <w:rFonts w:ascii="Times New Roman" w:hAnsi="Times New Roman"/>
                <w:sz w:val="21"/>
                <w:szCs w:val="21"/>
              </w:rPr>
              <w:t>技术要求</w:t>
            </w:r>
          </w:p>
        </w:tc>
        <w:tc>
          <w:tcPr>
            <w:tcW w:w="3225" w:type="dxa"/>
            <w:tcMar>
              <w:left w:w="0" w:type="dxa"/>
              <w:right w:w="0" w:type="dxa"/>
            </w:tcMar>
          </w:tcPr>
          <w:p>
            <w:pPr>
              <w:pStyle w:val="16"/>
              <w:spacing w:line="240" w:lineRule="auto"/>
              <w:rPr>
                <w:rFonts w:ascii="Times New Roman" w:hAnsi="Times New Roman"/>
                <w:sz w:val="21"/>
                <w:szCs w:val="21"/>
              </w:rPr>
            </w:pPr>
            <w:r>
              <w:rPr>
                <w:rFonts w:ascii="Times New Roman" w:hAnsi="Times New Roman"/>
                <w:sz w:val="21"/>
                <w:szCs w:val="21"/>
              </w:rPr>
              <w:t>测试方法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动力粘度</w:t>
            </w:r>
          </w:p>
        </w:tc>
        <w:tc>
          <w:tcPr>
            <w:tcW w:w="111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Pa•s</w:t>
            </w:r>
          </w:p>
        </w:tc>
        <w:tc>
          <w:tcPr>
            <w:tcW w:w="168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＞30</w:t>
            </w:r>
          </w:p>
        </w:tc>
        <w:tc>
          <w:tcPr>
            <w:tcW w:w="3225" w:type="dxa"/>
            <w:tcMar>
              <w:left w:w="0" w:type="dxa"/>
              <w:right w:w="0" w:type="dxa"/>
            </w:tcMar>
          </w:tcPr>
          <w:p>
            <w:pPr>
              <w:pStyle w:val="16"/>
              <w:rPr>
                <w:rFonts w:ascii="Times New Roman" w:hAnsi="Times New Roman"/>
                <w:sz w:val="21"/>
                <w:szCs w:val="21"/>
              </w:rPr>
            </w:pPr>
            <w:r>
              <w:rPr>
                <w:rFonts w:ascii="Times New Roman" w:hAnsi="Times New Roman"/>
                <w:sz w:val="21"/>
                <w:szCs w:val="21"/>
              </w:rPr>
              <w:t>旋转式粘度计测定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滤失量</w:t>
            </w:r>
          </w:p>
        </w:tc>
        <w:tc>
          <w:tcPr>
            <w:tcW w:w="111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cm</w:t>
            </w:r>
            <w:r>
              <w:rPr>
                <w:rFonts w:ascii="Times New Roman" w:hAnsi="Times New Roman"/>
                <w:sz w:val="21"/>
                <w:szCs w:val="21"/>
                <w:vertAlign w:val="superscript"/>
              </w:rPr>
              <w:t>3</w:t>
            </w:r>
            <w:r>
              <w:rPr>
                <w:rFonts w:ascii="Times New Roman" w:hAnsi="Times New Roman"/>
                <w:sz w:val="21"/>
                <w:szCs w:val="21"/>
              </w:rPr>
              <w:t>/30min</w:t>
            </w:r>
          </w:p>
        </w:tc>
        <w:tc>
          <w:tcPr>
            <w:tcW w:w="168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＜25</w:t>
            </w:r>
          </w:p>
        </w:tc>
        <w:tc>
          <w:tcPr>
            <w:tcW w:w="3225" w:type="dxa"/>
            <w:tcMar>
              <w:left w:w="0" w:type="dxa"/>
              <w:right w:w="0" w:type="dxa"/>
            </w:tcMar>
          </w:tcPr>
          <w:p>
            <w:pPr>
              <w:pStyle w:val="16"/>
              <w:rPr>
                <w:rFonts w:ascii="Times New Roman" w:hAnsi="Times New Roman"/>
                <w:sz w:val="21"/>
                <w:szCs w:val="21"/>
              </w:rPr>
            </w:pPr>
            <w:r>
              <w:rPr>
                <w:rFonts w:ascii="Times New Roman" w:hAnsi="Times New Roman"/>
                <w:sz w:val="21"/>
                <w:szCs w:val="21"/>
              </w:rPr>
              <w:t>滤失量测定仪测定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spacing w:line="240" w:lineRule="auto"/>
              <w:ind w:firstLine="210" w:firstLineChars="100"/>
              <w:jc w:val="center"/>
              <w:rPr>
                <w:sz w:val="21"/>
              </w:rPr>
            </w:pPr>
            <w:r>
              <w:rPr>
                <w:sz w:val="21"/>
              </w:rPr>
              <w:t>比重</w:t>
            </w:r>
          </w:p>
        </w:tc>
        <w:tc>
          <w:tcPr>
            <w:tcW w:w="111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g/cm</w:t>
            </w:r>
            <w:r>
              <w:rPr>
                <w:rFonts w:ascii="Times New Roman" w:hAnsi="Times New Roman"/>
                <w:sz w:val="21"/>
                <w:szCs w:val="21"/>
                <w:vertAlign w:val="superscript"/>
              </w:rPr>
              <w:t>3</w:t>
            </w:r>
          </w:p>
        </w:tc>
        <w:tc>
          <w:tcPr>
            <w:tcW w:w="168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1.1～1.15</w:t>
            </w:r>
          </w:p>
        </w:tc>
        <w:tc>
          <w:tcPr>
            <w:tcW w:w="3225" w:type="dxa"/>
            <w:tcMar>
              <w:left w:w="0" w:type="dxa"/>
              <w:right w:w="0" w:type="dxa"/>
            </w:tcMar>
          </w:tcPr>
          <w:p>
            <w:pPr>
              <w:pStyle w:val="16"/>
              <w:rPr>
                <w:rFonts w:ascii="Times New Roman" w:hAnsi="Times New Roman"/>
                <w:sz w:val="21"/>
                <w:szCs w:val="21"/>
              </w:rPr>
            </w:pPr>
            <w:r>
              <w:rPr>
                <w:rFonts w:ascii="Times New Roman" w:hAnsi="Times New Roman"/>
                <w:sz w:val="21"/>
                <w:szCs w:val="21"/>
              </w:rPr>
              <w:t>泥浆比重计测定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pH值</w:t>
            </w:r>
          </w:p>
        </w:tc>
        <w:tc>
          <w:tcPr>
            <w:tcW w:w="111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w:t>
            </w:r>
          </w:p>
        </w:tc>
        <w:tc>
          <w:tcPr>
            <w:tcW w:w="168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8～10</w:t>
            </w:r>
          </w:p>
        </w:tc>
        <w:tc>
          <w:tcPr>
            <w:tcW w:w="3225" w:type="dxa"/>
            <w:tcMar>
              <w:left w:w="0" w:type="dxa"/>
              <w:right w:w="0" w:type="dxa"/>
            </w:tcMar>
          </w:tcPr>
          <w:p>
            <w:pPr>
              <w:pStyle w:val="16"/>
              <w:rPr>
                <w:rFonts w:ascii="Times New Roman" w:hAnsi="Times New Roman"/>
                <w:sz w:val="21"/>
                <w:szCs w:val="21"/>
              </w:rPr>
            </w:pPr>
            <w:r>
              <w:rPr>
                <w:rFonts w:ascii="Times New Roman" w:hAnsi="Times New Roman"/>
                <w:sz w:val="21"/>
                <w:szCs w:val="21"/>
              </w:rPr>
              <w:t>pH试纸直接测定或取滤液用pH计测定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含砂量</w:t>
            </w:r>
          </w:p>
        </w:tc>
        <w:tc>
          <w:tcPr>
            <w:tcW w:w="111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w:t>
            </w:r>
          </w:p>
        </w:tc>
        <w:tc>
          <w:tcPr>
            <w:tcW w:w="168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＜3</w:t>
            </w:r>
          </w:p>
        </w:tc>
        <w:tc>
          <w:tcPr>
            <w:tcW w:w="3225" w:type="dxa"/>
            <w:tcMar>
              <w:left w:w="0" w:type="dxa"/>
              <w:right w:w="0" w:type="dxa"/>
            </w:tcMar>
          </w:tcPr>
          <w:p>
            <w:pPr>
              <w:pStyle w:val="16"/>
              <w:rPr>
                <w:rFonts w:ascii="Times New Roman" w:hAnsi="Times New Roman"/>
                <w:sz w:val="21"/>
                <w:szCs w:val="21"/>
              </w:rPr>
            </w:pPr>
            <w:r>
              <w:rPr>
                <w:rFonts w:ascii="Times New Roman" w:hAnsi="Times New Roman"/>
                <w:sz w:val="21"/>
                <w:szCs w:val="21"/>
              </w:rPr>
              <w:t>含砂率计测定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稳定性</w:t>
            </w:r>
          </w:p>
        </w:tc>
        <w:tc>
          <w:tcPr>
            <w:tcW w:w="111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w:t>
            </w:r>
          </w:p>
        </w:tc>
        <w:tc>
          <w:tcPr>
            <w:tcW w:w="168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静止24h无析水</w:t>
            </w:r>
          </w:p>
        </w:tc>
        <w:tc>
          <w:tcPr>
            <w:tcW w:w="3225" w:type="dxa"/>
            <w:tcMar>
              <w:left w:w="0" w:type="dxa"/>
              <w:right w:w="0" w:type="dxa"/>
            </w:tcMar>
          </w:tcPr>
          <w:p>
            <w:pPr>
              <w:pStyle w:val="16"/>
              <w:rPr>
                <w:rFonts w:ascii="Times New Roman" w:hAnsi="Times New Roman"/>
                <w:sz w:val="21"/>
                <w:szCs w:val="21"/>
              </w:rPr>
            </w:pPr>
            <w:r>
              <w:rPr>
                <w:rFonts w:ascii="Times New Roman" w:hAnsi="Times New Roman"/>
                <w:sz w:val="21"/>
                <w:szCs w:val="21"/>
              </w:rPr>
              <w:t>稳定性测定仪测定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34"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静切力</w:t>
            </w:r>
          </w:p>
        </w:tc>
        <w:tc>
          <w:tcPr>
            <w:tcW w:w="111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Pa</w:t>
            </w:r>
          </w:p>
        </w:tc>
        <w:tc>
          <w:tcPr>
            <w:tcW w:w="1689" w:type="dxa"/>
            <w:tcMar>
              <w:left w:w="0" w:type="dxa"/>
              <w:right w:w="0" w:type="dxa"/>
            </w:tcMar>
            <w:vAlign w:val="center"/>
          </w:tcPr>
          <w:p>
            <w:pPr>
              <w:pStyle w:val="16"/>
              <w:spacing w:line="240" w:lineRule="auto"/>
              <w:rPr>
                <w:rFonts w:ascii="Times New Roman" w:hAnsi="Times New Roman"/>
                <w:sz w:val="21"/>
                <w:szCs w:val="21"/>
              </w:rPr>
            </w:pPr>
            <w:r>
              <w:rPr>
                <w:rFonts w:ascii="Times New Roman" w:hAnsi="Times New Roman"/>
                <w:sz w:val="21"/>
                <w:szCs w:val="21"/>
              </w:rPr>
              <w:t>100左右</w:t>
            </w:r>
          </w:p>
        </w:tc>
        <w:tc>
          <w:tcPr>
            <w:tcW w:w="3225" w:type="dxa"/>
            <w:tcMar>
              <w:left w:w="0" w:type="dxa"/>
              <w:right w:w="0" w:type="dxa"/>
            </w:tcMar>
          </w:tcPr>
          <w:p>
            <w:pPr>
              <w:pStyle w:val="16"/>
              <w:rPr>
                <w:rFonts w:ascii="Times New Roman" w:hAnsi="Times New Roman"/>
                <w:sz w:val="21"/>
                <w:szCs w:val="21"/>
              </w:rPr>
            </w:pPr>
            <w:r>
              <w:rPr>
                <w:rFonts w:ascii="Times New Roman" w:hAnsi="Times New Roman"/>
                <w:sz w:val="21"/>
                <w:szCs w:val="21"/>
              </w:rPr>
              <w:t>浮筒切力计测定</w:t>
            </w:r>
          </w:p>
        </w:tc>
      </w:tr>
    </w:tbl>
    <w:p>
      <w:r>
        <w:rPr>
          <w:b/>
          <w:bCs/>
        </w:rPr>
        <w:t>9.5.</w:t>
      </w:r>
      <w:r>
        <w:rPr>
          <w:rFonts w:hint="eastAsia"/>
          <w:b/>
          <w:bCs/>
        </w:rPr>
        <w:t>7</w:t>
      </w:r>
      <w:r>
        <w:rPr>
          <w:b/>
          <w:bCs/>
        </w:rPr>
        <w:t xml:space="preserve">  </w:t>
      </w:r>
      <w:r>
        <w:t>在注浆过程中，应根据减阻效果和控制地面变形的实际监测数据调整注浆流量和注浆压力等工艺参数。</w:t>
      </w:r>
    </w:p>
    <w:p>
      <w:r>
        <w:rPr>
          <w:b/>
          <w:bCs/>
        </w:rPr>
        <w:t>9.5.</w:t>
      </w:r>
      <w:r>
        <w:rPr>
          <w:rFonts w:hint="eastAsia"/>
          <w:b/>
          <w:bCs/>
        </w:rPr>
        <w:t>8</w:t>
      </w:r>
      <w:r>
        <w:t>注浆管出口应设单向阀，出口压力应大于地下水压力，在砂性土中掘进时，单向阀宜加装在注浆孔的管道外侧。</w:t>
      </w:r>
    </w:p>
    <w:p/>
    <w:p>
      <w:pPr>
        <w:pStyle w:val="3"/>
        <w:rPr>
          <w:rFonts w:eastAsia="黑体" w:cs="Times New Roman"/>
          <w:b w:val="0"/>
        </w:rPr>
      </w:pPr>
      <w:bookmarkStart w:id="530" w:name="_Toc28830"/>
      <w:bookmarkStart w:id="531" w:name="_Toc26108"/>
      <w:bookmarkStart w:id="532" w:name="_Toc8833"/>
      <w:bookmarkStart w:id="533" w:name="_Toc6324"/>
      <w:bookmarkStart w:id="534" w:name="_Toc60173818"/>
      <w:bookmarkStart w:id="535" w:name="_Toc60172931"/>
      <w:bookmarkStart w:id="536" w:name="_Toc27725"/>
      <w:bookmarkStart w:id="537" w:name="_Toc20393"/>
      <w:bookmarkStart w:id="538" w:name="_Toc47692190"/>
      <w:bookmarkStart w:id="539" w:name="_Toc5689"/>
      <w:bookmarkStart w:id="540" w:name="_Toc18057077"/>
      <w:r>
        <w:rPr>
          <w:rFonts w:eastAsia="黑体" w:cs="Times New Roman"/>
        </w:rPr>
        <w:t xml:space="preserve">9.6 </w:t>
      </w:r>
      <w:r>
        <w:rPr>
          <w:rFonts w:hint="eastAsia" w:eastAsia="黑体" w:cs="Times New Roman"/>
          <w:b w:val="0"/>
        </w:rPr>
        <w:t>渣土</w:t>
      </w:r>
      <w:r>
        <w:rPr>
          <w:rFonts w:eastAsia="黑体" w:cs="Times New Roman"/>
          <w:b w:val="0"/>
        </w:rPr>
        <w:t>改良</w:t>
      </w:r>
      <w:bookmarkEnd w:id="530"/>
      <w:bookmarkEnd w:id="531"/>
      <w:bookmarkEnd w:id="532"/>
      <w:bookmarkEnd w:id="533"/>
      <w:bookmarkEnd w:id="534"/>
      <w:bookmarkEnd w:id="535"/>
      <w:bookmarkEnd w:id="536"/>
      <w:bookmarkEnd w:id="537"/>
      <w:bookmarkEnd w:id="538"/>
      <w:bookmarkEnd w:id="539"/>
      <w:bookmarkEnd w:id="540"/>
    </w:p>
    <w:p>
      <w:r>
        <w:rPr>
          <w:b/>
          <w:bCs/>
        </w:rPr>
        <w:t xml:space="preserve">9.6.1  </w:t>
      </w:r>
      <w:r>
        <w:t>土压平衡顶管机在遇到中粗砂、砂卵石层等不良地层时，应通过设在顶管机刀盘和胸板上的注浆孔向土舱内注入改良用的黏土等作泥材料制成的浆液</w:t>
      </w:r>
      <w:r>
        <w:rPr>
          <w:rFonts w:hint="eastAsia"/>
        </w:rPr>
        <w:t>，</w:t>
      </w:r>
      <w:r>
        <w:t>并应符合下列规定：</w:t>
      </w:r>
    </w:p>
    <w:p>
      <w:pPr>
        <w:ind w:firstLine="482" w:firstLineChars="200"/>
      </w:pPr>
      <w:r>
        <w:rPr>
          <w:b/>
          <w:bCs/>
        </w:rPr>
        <w:t>1</w:t>
      </w:r>
      <w:r>
        <w:t>土质的渗透系数较大时，</w:t>
      </w:r>
      <w:r>
        <w:rPr>
          <w:rFonts w:hint="eastAsia"/>
        </w:rPr>
        <w:t>配置</w:t>
      </w:r>
      <w:r>
        <w:t>的泥浆应具有较大的粘度，C型粘度计值</w:t>
      </w:r>
      <w:r>
        <w:rPr>
          <w:rFonts w:hint="eastAsia"/>
        </w:rPr>
        <w:t>宜为</w:t>
      </w:r>
      <w:r>
        <w:t>8000cp～10000cp，比重</w:t>
      </w:r>
      <w:r>
        <w:rPr>
          <w:rFonts w:hint="eastAsia"/>
        </w:rPr>
        <w:t>宜为</w:t>
      </w:r>
      <w:r>
        <w:t>1.30～1.50；</w:t>
      </w:r>
    </w:p>
    <w:p>
      <w:pPr>
        <w:ind w:firstLine="482" w:firstLineChars="200"/>
      </w:pPr>
      <w:r>
        <w:rPr>
          <w:b/>
          <w:bCs/>
        </w:rPr>
        <w:t xml:space="preserve">2 </w:t>
      </w:r>
      <w:r>
        <w:t>泥浆的注入量宜为</w:t>
      </w:r>
      <w:r>
        <w:rPr>
          <w:rFonts w:hint="eastAsia"/>
        </w:rPr>
        <w:t>渣土体积</w:t>
      </w:r>
      <w:r>
        <w:t>15%～30%，应根据螺旋</w:t>
      </w:r>
      <w:r>
        <w:rPr>
          <w:rFonts w:hint="eastAsia"/>
        </w:rPr>
        <w:t>出土</w:t>
      </w:r>
      <w:r>
        <w:t>机所排渣土的状况确定</w:t>
      </w:r>
      <w:r>
        <w:rPr>
          <w:rFonts w:eastAsia="仿宋_GB2312"/>
          <w:sz w:val="28"/>
          <w:szCs w:val="28"/>
        </w:rPr>
        <w:t>，</w:t>
      </w:r>
      <w:r>
        <w:t>改良后的土体应具有良好的塑性、流动性以及止水性；</w:t>
      </w:r>
    </w:p>
    <w:p>
      <w:pPr>
        <w:ind w:firstLine="482" w:firstLineChars="200"/>
      </w:pPr>
      <w:r>
        <w:rPr>
          <w:b/>
          <w:bCs/>
        </w:rPr>
        <w:t>3</w:t>
      </w:r>
      <w:r>
        <w:t>对不同的土质应选用不同的泥浆配比、注入不同的泥浆量；</w:t>
      </w:r>
    </w:p>
    <w:p>
      <w:pPr>
        <w:ind w:firstLine="482" w:firstLineChars="200"/>
      </w:pPr>
      <w:r>
        <w:rPr>
          <w:rFonts w:hint="eastAsia"/>
          <w:b/>
          <w:bCs/>
        </w:rPr>
        <w:t>4</w:t>
      </w:r>
      <w:r>
        <w:t>泥浆注入应有专人负责，注入压力、注入量、泥浆配比等</w:t>
      </w:r>
      <w:r>
        <w:rPr>
          <w:rFonts w:hint="eastAsia"/>
        </w:rPr>
        <w:t>数据</w:t>
      </w:r>
      <w:r>
        <w:t>应有详细的记录，</w:t>
      </w:r>
      <w:r>
        <w:rPr>
          <w:rFonts w:hint="eastAsia"/>
        </w:rPr>
        <w:t>并通过初始推进阶段试验以后确定注入压力、注入量、泥浆配比等施工参数</w:t>
      </w:r>
      <w:r>
        <w:t>。</w:t>
      </w:r>
    </w:p>
    <w:p>
      <w:r>
        <w:rPr>
          <w:b/>
          <w:bCs/>
        </w:rPr>
        <w:t xml:space="preserve">9.6.2  </w:t>
      </w:r>
      <w:r>
        <w:t>开挖舱土压力应符合下列规定：</w:t>
      </w:r>
    </w:p>
    <w:p>
      <w:pPr>
        <w:ind w:firstLine="482" w:firstLineChars="200"/>
      </w:pPr>
      <w:r>
        <w:rPr>
          <w:b/>
          <w:bCs/>
        </w:rPr>
        <w:t>1</w:t>
      </w:r>
      <w:r>
        <w:t>始发阶段顶管机进入原状土后，宜适当提高掘进速度，</w:t>
      </w:r>
      <w:r>
        <w:rPr>
          <w:rFonts w:hint="eastAsia"/>
        </w:rPr>
        <w:t>增大正面土压力</w:t>
      </w:r>
      <w:r>
        <w:t>；</w:t>
      </w:r>
    </w:p>
    <w:p>
      <w:pPr>
        <w:ind w:firstLine="482" w:firstLineChars="200"/>
      </w:pPr>
      <w:r>
        <w:rPr>
          <w:b/>
          <w:bCs/>
        </w:rPr>
        <w:t xml:space="preserve">2 </w:t>
      </w:r>
      <w:r>
        <w:t>在顶管掌子面进入接收井洞口加固区域时，应适当减慢掘进速度，调整出渣量，逐渐减小机头正面土压力；</w:t>
      </w:r>
    </w:p>
    <w:p>
      <w:pPr>
        <w:ind w:firstLine="482" w:firstLineChars="200"/>
      </w:pPr>
      <w:r>
        <w:rPr>
          <w:b/>
          <w:bCs/>
        </w:rPr>
        <w:t>3</w:t>
      </w:r>
      <w:r>
        <w:t>顶进过程中应密切关注顶管机的土压力参数，</w:t>
      </w:r>
      <w:r>
        <w:rPr>
          <w:rFonts w:hint="eastAsia"/>
        </w:rPr>
        <w:t>并应</w:t>
      </w:r>
      <w:r>
        <w:t>随时掌握顶管机掌子面的压力数值。</w:t>
      </w:r>
    </w:p>
    <w:p>
      <w:r>
        <w:rPr>
          <w:rFonts w:eastAsiaTheme="minorEastAsia"/>
          <w:b/>
          <w:bCs/>
        </w:rPr>
        <w:t>9</w:t>
      </w:r>
      <w:r>
        <w:rPr>
          <w:b/>
          <w:bCs/>
        </w:rPr>
        <w:t>.</w:t>
      </w:r>
      <w:r>
        <w:rPr>
          <w:rFonts w:eastAsiaTheme="minorEastAsia"/>
          <w:b/>
          <w:bCs/>
        </w:rPr>
        <w:t>6</w:t>
      </w:r>
      <w:r>
        <w:rPr>
          <w:b/>
          <w:bCs/>
        </w:rPr>
        <w:t>.</w:t>
      </w:r>
      <w:r>
        <w:rPr>
          <w:rFonts w:eastAsiaTheme="minorEastAsia"/>
          <w:b/>
          <w:bCs/>
        </w:rPr>
        <w:t xml:space="preserve">3  </w:t>
      </w:r>
      <w:r>
        <w:t>渣土改良后的效果及作用应符合下列规定：</w:t>
      </w:r>
    </w:p>
    <w:p>
      <w:pPr>
        <w:adjustRightInd w:val="0"/>
        <w:snapToGrid w:val="0"/>
        <w:ind w:firstLine="482" w:firstLineChars="200"/>
      </w:pPr>
      <w:r>
        <w:rPr>
          <w:b/>
          <w:bCs/>
        </w:rPr>
        <w:t>1</w:t>
      </w:r>
      <w:r>
        <w:t>渣土改良后的渣土应呈流塑状或膏状，并应平稳控制土压，开挖面</w:t>
      </w:r>
      <w:r>
        <w:rPr>
          <w:rFonts w:hint="eastAsia"/>
        </w:rPr>
        <w:t>地表</w:t>
      </w:r>
      <w:r>
        <w:t>不应出现大的隆起或沉降；</w:t>
      </w:r>
    </w:p>
    <w:p>
      <w:pPr>
        <w:adjustRightInd w:val="0"/>
        <w:snapToGrid w:val="0"/>
        <w:ind w:firstLine="482" w:firstLineChars="200"/>
      </w:pPr>
      <w:r>
        <w:rPr>
          <w:b/>
          <w:bCs/>
        </w:rPr>
        <w:t>2</w:t>
      </w:r>
      <w:r>
        <w:t>渣土改良后应降低土体的内摩擦角，增加土体的流动性，减小土体对刀具、面板、土仓、螺旋</w:t>
      </w:r>
      <w:r>
        <w:rPr>
          <w:rFonts w:hint="eastAsia"/>
        </w:rPr>
        <w:t>出土</w:t>
      </w:r>
      <w:r>
        <w:t>机的磨损；</w:t>
      </w:r>
    </w:p>
    <w:p>
      <w:pPr>
        <w:adjustRightInd w:val="0"/>
        <w:snapToGrid w:val="0"/>
        <w:ind w:firstLine="482" w:firstLineChars="200"/>
      </w:pPr>
      <w:r>
        <w:rPr>
          <w:b/>
          <w:bCs/>
        </w:rPr>
        <w:t>3</w:t>
      </w:r>
      <w:r>
        <w:t>改良剂应加注到刀盘前方，切削土体</w:t>
      </w:r>
      <w:r>
        <w:rPr>
          <w:rFonts w:hint="eastAsia"/>
        </w:rPr>
        <w:t>应</w:t>
      </w:r>
      <w:r>
        <w:t>经过刀盘及搅拌棒的搅拌，土仓内的土体通过刀盘充分搅拌后应达到较好的流塑性，并可从螺旋机口顺利排出。</w:t>
      </w:r>
    </w:p>
    <w:p>
      <w:r>
        <w:rPr>
          <w:b/>
          <w:bCs/>
        </w:rPr>
        <w:t>9.6.</w:t>
      </w:r>
      <w:r>
        <w:rPr>
          <w:rFonts w:eastAsiaTheme="minorEastAsia"/>
          <w:b/>
          <w:bCs/>
        </w:rPr>
        <w:t xml:space="preserve">4  </w:t>
      </w:r>
      <w:r>
        <w:t>矩形土压平衡顶管机掌子面防结泥饼应采取下列措施：</w:t>
      </w:r>
    </w:p>
    <w:p>
      <w:pPr>
        <w:ind w:firstLine="482" w:firstLineChars="200"/>
      </w:pPr>
      <w:r>
        <w:rPr>
          <w:b/>
          <w:bCs/>
        </w:rPr>
        <w:t>1</w:t>
      </w:r>
      <w:r>
        <w:rPr>
          <w:rFonts w:hint="eastAsia"/>
        </w:rPr>
        <w:t>应</w:t>
      </w:r>
      <w:r>
        <w:t>在顶管机刀盘和胸板上</w:t>
      </w:r>
      <w:r>
        <w:rPr>
          <w:rFonts w:eastAsiaTheme="minorEastAsia"/>
        </w:rPr>
        <w:t>加强</w:t>
      </w:r>
      <w:r>
        <w:t>高压喷嘴注浆；</w:t>
      </w:r>
    </w:p>
    <w:p>
      <w:pPr>
        <w:ind w:firstLine="482" w:firstLineChars="200"/>
      </w:pPr>
      <w:r>
        <w:rPr>
          <w:b/>
          <w:bCs/>
        </w:rPr>
        <w:t>2</w:t>
      </w:r>
      <w:r>
        <w:rPr>
          <w:rFonts w:hint="eastAsia"/>
        </w:rPr>
        <w:t>应</w:t>
      </w:r>
      <w:r>
        <w:t>在顶管机掌子面前方注入具有减粘</w:t>
      </w:r>
      <w:r>
        <w:rPr>
          <w:rFonts w:eastAsiaTheme="minorEastAsia"/>
        </w:rPr>
        <w:t>性</w:t>
      </w:r>
      <w:r>
        <w:t>和强润滑</w:t>
      </w:r>
      <w:r>
        <w:rPr>
          <w:rFonts w:eastAsiaTheme="minorEastAsia"/>
        </w:rPr>
        <w:t>性</w:t>
      </w:r>
      <w:r>
        <w:t>的改良浆液；</w:t>
      </w:r>
    </w:p>
    <w:p>
      <w:pPr>
        <w:ind w:firstLine="482" w:firstLineChars="200"/>
      </w:pPr>
      <w:r>
        <w:rPr>
          <w:b/>
          <w:bCs/>
        </w:rPr>
        <w:t>3</w:t>
      </w:r>
      <w:r>
        <w:rPr>
          <w:rFonts w:hint="eastAsia"/>
        </w:rPr>
        <w:t>应</w:t>
      </w:r>
      <w:r>
        <w:t>在机头前方适当</w:t>
      </w:r>
      <w:r>
        <w:rPr>
          <w:rFonts w:eastAsiaTheme="minorEastAsia"/>
        </w:rPr>
        <w:t>加大</w:t>
      </w:r>
      <w:r>
        <w:t>渣土改良剂的用量；</w:t>
      </w:r>
    </w:p>
    <w:p>
      <w:pPr>
        <w:ind w:firstLine="482" w:firstLineChars="200"/>
      </w:pPr>
      <w:r>
        <w:rPr>
          <w:b/>
          <w:bCs/>
        </w:rPr>
        <w:t>4</w:t>
      </w:r>
      <w:r>
        <w:rPr>
          <w:rFonts w:eastAsiaTheme="minorEastAsia"/>
        </w:rPr>
        <w:t>可适当调高刀盘转速</w:t>
      </w:r>
      <w:r>
        <w:t>。</w:t>
      </w:r>
    </w:p>
    <w:p>
      <w:r>
        <w:rPr>
          <w:b/>
          <w:bCs/>
        </w:rPr>
        <w:t>9.6.</w:t>
      </w:r>
      <w:r>
        <w:rPr>
          <w:rFonts w:eastAsiaTheme="minorEastAsia"/>
          <w:b/>
          <w:bCs/>
        </w:rPr>
        <w:t xml:space="preserve">5  </w:t>
      </w:r>
      <w:r>
        <w:t>矩形泥水平衡顶管机排渣应符合下列规定：</w:t>
      </w:r>
    </w:p>
    <w:p>
      <w:pPr>
        <w:ind w:firstLine="420"/>
      </w:pPr>
      <w:r>
        <w:rPr>
          <w:b/>
          <w:bCs/>
        </w:rPr>
        <w:t>1</w:t>
      </w:r>
      <w:r>
        <w:t>泥水循环排土时，宜采用泥水分离器分离混合泥浆中的渣土；</w:t>
      </w:r>
    </w:p>
    <w:p>
      <w:pPr>
        <w:ind w:firstLine="420"/>
      </w:pPr>
      <w:r>
        <w:rPr>
          <w:b/>
          <w:bCs/>
        </w:rPr>
        <w:t xml:space="preserve">2 </w:t>
      </w:r>
      <w:r>
        <w:t>每段管节正常顶进完成后，在停机前宜对进排浆</w:t>
      </w:r>
      <w:r>
        <w:rPr>
          <w:rFonts w:eastAsiaTheme="minorEastAsia"/>
        </w:rPr>
        <w:t>管</w:t>
      </w:r>
      <w:r>
        <w:t>内的泥浆进行内循环</w:t>
      </w:r>
      <w:r>
        <w:rPr>
          <w:rFonts w:eastAsiaTheme="minorEastAsia"/>
        </w:rPr>
        <w:t>，</w:t>
      </w:r>
      <w:r>
        <w:t>管内泥渣应全部排出；</w:t>
      </w:r>
    </w:p>
    <w:p>
      <w:pPr>
        <w:ind w:firstLine="420"/>
      </w:pPr>
      <w:r>
        <w:rPr>
          <w:b/>
          <w:bCs/>
        </w:rPr>
        <w:t>3</w:t>
      </w:r>
      <w:r>
        <w:t>拆卸泥浆管时，应关闭</w:t>
      </w:r>
      <w:r>
        <w:rPr>
          <w:rFonts w:eastAsiaTheme="minorEastAsia"/>
        </w:rPr>
        <w:t>顶管机</w:t>
      </w:r>
      <w:r>
        <w:t>泥水循环截止阀；</w:t>
      </w:r>
    </w:p>
    <w:p>
      <w:pPr>
        <w:ind w:firstLine="420"/>
      </w:pPr>
      <w:r>
        <w:rPr>
          <w:b/>
          <w:bCs/>
        </w:rPr>
        <w:t>4</w:t>
      </w:r>
      <w:r>
        <w:rPr>
          <w:rFonts w:hint="eastAsia"/>
        </w:rPr>
        <w:t>应</w:t>
      </w:r>
      <w:r>
        <w:rPr>
          <w:rFonts w:eastAsiaTheme="minorEastAsia"/>
        </w:rPr>
        <w:t>根据</w:t>
      </w:r>
      <w:r>
        <w:t>进排浆泵的泵送能力设置中继泵；</w:t>
      </w:r>
    </w:p>
    <w:p>
      <w:pPr>
        <w:ind w:firstLine="420"/>
      </w:pPr>
      <w:r>
        <w:rPr>
          <w:b/>
          <w:bCs/>
        </w:rPr>
        <w:t xml:space="preserve">5 </w:t>
      </w:r>
      <w:r>
        <w:t>在粉细砂层掘进时，应</w:t>
      </w:r>
      <w:r>
        <w:rPr>
          <w:rFonts w:eastAsiaTheme="minorEastAsia"/>
        </w:rPr>
        <w:t>增加</w:t>
      </w:r>
      <w:r>
        <w:t>循环泥</w:t>
      </w:r>
      <w:r>
        <w:rPr>
          <w:rFonts w:eastAsiaTheme="minorEastAsia"/>
        </w:rPr>
        <w:t>浆</w:t>
      </w:r>
      <w:r>
        <w:t>的浓度，并应过滤掉粒径大于20mm的砂砾。</w:t>
      </w:r>
    </w:p>
    <w:p>
      <w:pPr>
        <w:ind w:firstLine="420"/>
      </w:pPr>
    </w:p>
    <w:p>
      <w:pPr>
        <w:pStyle w:val="3"/>
        <w:rPr>
          <w:rFonts w:eastAsia="黑体" w:cs="Times New Roman"/>
          <w:b w:val="0"/>
        </w:rPr>
      </w:pPr>
      <w:bookmarkStart w:id="541" w:name="_Toc60173819"/>
      <w:bookmarkStart w:id="542" w:name="_Toc8388"/>
      <w:bookmarkStart w:id="543" w:name="_Toc60172932"/>
      <w:bookmarkStart w:id="544" w:name="_Toc1191"/>
      <w:bookmarkStart w:id="545" w:name="_Toc31595"/>
      <w:bookmarkStart w:id="546" w:name="_Toc25080"/>
      <w:bookmarkStart w:id="547" w:name="_Toc949"/>
      <w:bookmarkStart w:id="548" w:name="_Toc30980"/>
      <w:bookmarkStart w:id="549" w:name="_Toc47692191"/>
      <w:bookmarkStart w:id="550" w:name="_Toc18057078"/>
      <w:bookmarkStart w:id="551" w:name="_Toc11967"/>
      <w:r>
        <w:rPr>
          <w:rFonts w:eastAsia="黑体" w:cs="Times New Roman"/>
        </w:rPr>
        <w:t>9.7</w:t>
      </w:r>
      <w:r>
        <w:rPr>
          <w:rFonts w:eastAsia="黑体" w:cs="Times New Roman"/>
          <w:b w:val="0"/>
        </w:rPr>
        <w:t>测量和姿态控制</w:t>
      </w:r>
      <w:bookmarkEnd w:id="541"/>
      <w:bookmarkEnd w:id="542"/>
      <w:bookmarkEnd w:id="543"/>
      <w:bookmarkEnd w:id="544"/>
      <w:bookmarkEnd w:id="545"/>
      <w:bookmarkEnd w:id="546"/>
      <w:bookmarkEnd w:id="547"/>
      <w:bookmarkEnd w:id="548"/>
      <w:bookmarkEnd w:id="549"/>
      <w:bookmarkEnd w:id="550"/>
      <w:bookmarkEnd w:id="551"/>
    </w:p>
    <w:p>
      <w:r>
        <w:rPr>
          <w:rFonts w:hint="eastAsia"/>
          <w:b/>
        </w:rPr>
        <w:t>9.7.1</w:t>
      </w:r>
      <w:r>
        <w:t>顶管施工测量应建立地面与地下测量控制系统</w:t>
      </w:r>
      <w:r>
        <w:rPr>
          <w:rFonts w:hint="eastAsia"/>
        </w:rPr>
        <w:t>，并应符合下列规定：</w:t>
      </w:r>
    </w:p>
    <w:p>
      <w:pPr>
        <w:ind w:firstLine="482" w:firstLineChars="200"/>
      </w:pPr>
      <w:r>
        <w:rPr>
          <w:b/>
          <w:bCs/>
        </w:rPr>
        <w:t xml:space="preserve">1 </w:t>
      </w:r>
      <w:r>
        <w:t>控制点应设置在不易扰动、视线清楚、方便校核的位置，并应采取保护措施；</w:t>
      </w:r>
    </w:p>
    <w:p>
      <w:pPr>
        <w:ind w:firstLine="482" w:firstLineChars="200"/>
      </w:pPr>
      <w:r>
        <w:rPr>
          <w:b/>
          <w:bCs/>
        </w:rPr>
        <w:t xml:space="preserve">2 </w:t>
      </w:r>
      <w:r>
        <w:t>测量使用的仪器应检查校正，精度应符合现行国家标准《工程测量规范》GB 50026的有关规定；</w:t>
      </w:r>
    </w:p>
    <w:p>
      <w:pPr>
        <w:ind w:firstLine="482" w:firstLineChars="200"/>
      </w:pPr>
      <w:r>
        <w:rPr>
          <w:b/>
          <w:bCs/>
        </w:rPr>
        <w:t xml:space="preserve">3 </w:t>
      </w:r>
      <w:r>
        <w:t>施工中应对掘进方向的高程偏差、轴线偏差、顶管掘进的姿态与掘进长度等参数进行测量。</w:t>
      </w:r>
    </w:p>
    <w:p>
      <w:r>
        <w:rPr>
          <w:b/>
          <w:bCs/>
        </w:rPr>
        <w:t>9.7.</w:t>
      </w:r>
      <w:r>
        <w:rPr>
          <w:rFonts w:hint="eastAsia"/>
          <w:b/>
          <w:bCs/>
        </w:rPr>
        <w:t>2</w:t>
      </w:r>
      <w:r>
        <w:t>顶管定向测量应采用激光指向法，</w:t>
      </w:r>
      <w:r>
        <w:rPr>
          <w:rFonts w:hint="eastAsia"/>
        </w:rPr>
        <w:t>当定向测量存在困难时，</w:t>
      </w:r>
      <w:r>
        <w:t>应在管内设置测站，采用导线法转站测量。</w:t>
      </w:r>
    </w:p>
    <w:p>
      <w:r>
        <w:rPr>
          <w:b/>
          <w:bCs/>
        </w:rPr>
        <w:t>9.7.</w:t>
      </w:r>
      <w:r>
        <w:rPr>
          <w:rFonts w:hint="eastAsia"/>
          <w:b/>
          <w:bCs/>
        </w:rPr>
        <w:t>3</w:t>
      </w:r>
      <w:r>
        <w:t>顶管高程测量精度应符合下列规定：</w:t>
      </w:r>
    </w:p>
    <w:p>
      <w:pPr>
        <w:ind w:firstLine="482" w:firstLineChars="200"/>
      </w:pPr>
      <w:r>
        <w:rPr>
          <w:b/>
          <w:bCs/>
        </w:rPr>
        <w:t>1</w:t>
      </w:r>
      <w:r>
        <w:t>水准测量，应达到四等水准测量的精度；</w:t>
      </w:r>
    </w:p>
    <w:p>
      <w:pPr>
        <w:ind w:firstLine="482" w:firstLineChars="200"/>
      </w:pPr>
      <w:r>
        <w:rPr>
          <w:b/>
          <w:bCs/>
        </w:rPr>
        <w:t>2</w:t>
      </w:r>
      <w:r>
        <w:t>水准仪配合吊钢尺，每次应独立观测三测回，每测回均应变动仪器高度，三测回测得井上和井下水准点的高差应小于3mm；</w:t>
      </w:r>
    </w:p>
    <w:p>
      <w:pPr>
        <w:ind w:firstLine="482" w:firstLineChars="200"/>
      </w:pPr>
      <w:r>
        <w:rPr>
          <w:b/>
          <w:bCs/>
        </w:rPr>
        <w:t>3</w:t>
      </w:r>
      <w:r>
        <w:t>三角高程测量，应达到四等水准测量的精度。</w:t>
      </w:r>
    </w:p>
    <w:p>
      <w:r>
        <w:rPr>
          <w:b/>
          <w:bCs/>
        </w:rPr>
        <w:t>9.7.</w:t>
      </w:r>
      <w:r>
        <w:rPr>
          <w:rFonts w:hint="eastAsia"/>
          <w:b/>
          <w:bCs/>
        </w:rPr>
        <w:t>4</w:t>
      </w:r>
      <w:r>
        <w:t>顶管施工的测量应符合下列规定：</w:t>
      </w:r>
    </w:p>
    <w:p>
      <w:pPr>
        <w:ind w:firstLine="482" w:firstLineChars="200"/>
      </w:pPr>
      <w:r>
        <w:rPr>
          <w:rFonts w:hint="eastAsia"/>
          <w:b/>
          <w:bCs/>
        </w:rPr>
        <w:t>1</w:t>
      </w:r>
      <w:r>
        <w:t>掘进施工过程中，每次测量前应对井内的测量控制基准点进行复核，发生工作井位移、沉降、变形时应对基准点进行调整；</w:t>
      </w:r>
    </w:p>
    <w:p>
      <w:pPr>
        <w:ind w:firstLine="482" w:firstLineChars="200"/>
      </w:pPr>
      <w:r>
        <w:rPr>
          <w:rFonts w:hint="eastAsia"/>
          <w:b/>
          <w:bCs/>
        </w:rPr>
        <w:t>2</w:t>
      </w:r>
      <w:r>
        <w:t>掘进测量控制应符合下列规定：</w:t>
      </w:r>
    </w:p>
    <w:p>
      <w:pPr>
        <w:ind w:left="1253" w:leftChars="372" w:hanging="360" w:hangingChars="150"/>
      </w:pPr>
      <w:r>
        <w:t>1）矩形顶管机始发前应测定顶管机切口的轴线和标高，并应与洞口数</w:t>
      </w:r>
    </w:p>
    <w:p>
      <w:pPr>
        <w:ind w:firstLine="1200" w:firstLineChars="500"/>
      </w:pPr>
      <w:r>
        <w:t>值校核。掘进中原始数据、表格应连续真实、填写清楚；</w:t>
      </w:r>
    </w:p>
    <w:p>
      <w:pPr>
        <w:ind w:left="1200" w:leftChars="350" w:hanging="360" w:hangingChars="150"/>
      </w:pPr>
      <w:r>
        <w:t>2）交接班时应交清测量记录，将仪器对中，并应交清管道轨迹和纠偏措施；</w:t>
      </w:r>
    </w:p>
    <w:p>
      <w:pPr>
        <w:ind w:left="1200" w:leftChars="350" w:hanging="360" w:hangingChars="150"/>
      </w:pPr>
      <w:r>
        <w:rPr>
          <w:rFonts w:hint="eastAsia"/>
        </w:rPr>
        <w:t>3</w:t>
      </w:r>
      <w:r>
        <w:t>）在穿越道路时，应按</w:t>
      </w:r>
      <w:r>
        <w:rPr>
          <w:rFonts w:hint="eastAsia"/>
        </w:rPr>
        <w:t>设计单位</w:t>
      </w:r>
      <w:r>
        <w:t>的要求在指定地段进行施工监测点的布置，观测掘进过程中地表变形和土体位移情况</w:t>
      </w:r>
      <w:r>
        <w:rPr>
          <w:rFonts w:hint="eastAsia"/>
        </w:rPr>
        <w:t>；</w:t>
      </w:r>
      <w:r>
        <w:t>掘进结束后应绘制施工过程和竣工后的地面变形图。</w:t>
      </w:r>
    </w:p>
    <w:p>
      <w:pPr>
        <w:ind w:firstLine="482" w:firstLineChars="200"/>
      </w:pPr>
      <w:r>
        <w:rPr>
          <w:rFonts w:hint="eastAsia"/>
          <w:b/>
          <w:bCs/>
        </w:rPr>
        <w:t>3</w:t>
      </w:r>
      <w:r>
        <w:t>顶管水平轴线和高程测量应符合下列规定：</w:t>
      </w:r>
    </w:p>
    <w:p>
      <w:pPr>
        <w:ind w:left="1200" w:leftChars="350" w:hanging="360" w:hangingChars="150"/>
      </w:pPr>
      <w:r>
        <w:t>1）顶管机始发出洞后进入土层时，每掘进300mm，测量不应少于1次；正常掘进时，每掘进1000mm，测量不应少于1次；</w:t>
      </w:r>
    </w:p>
    <w:p>
      <w:pPr>
        <w:ind w:left="1132" w:leftChars="350" w:hanging="292" w:hangingChars="122"/>
      </w:pPr>
      <w:r>
        <w:t>2）顶管机进入接收井前</w:t>
      </w:r>
      <w:r>
        <w:rPr>
          <w:rFonts w:hint="eastAsia"/>
        </w:rPr>
        <w:t>不小于</w:t>
      </w:r>
      <w:r>
        <w:t>10m应增加测量</w:t>
      </w:r>
      <w:r>
        <w:rPr>
          <w:rFonts w:hint="eastAsia"/>
        </w:rPr>
        <w:t>次数</w:t>
      </w:r>
      <w:r>
        <w:t>，每掘进300mm，测量不应少于1次；</w:t>
      </w:r>
    </w:p>
    <w:p>
      <w:pPr>
        <w:ind w:left="1200" w:leftChars="350" w:hanging="360" w:hangingChars="150"/>
      </w:pPr>
      <w:r>
        <w:t>3）每节管道掘进结束后，应进行复测；</w:t>
      </w:r>
    </w:p>
    <w:p>
      <w:pPr>
        <w:ind w:left="1200" w:leftChars="350" w:hanging="360" w:hangingChars="150"/>
      </w:pPr>
      <w:r>
        <w:t>4）纠偏量较大或频繁纠偏时应增加测量次数。</w:t>
      </w:r>
    </w:p>
    <w:p>
      <w:pPr>
        <w:ind w:firstLine="482" w:firstLineChars="200"/>
      </w:pPr>
      <w:r>
        <w:rPr>
          <w:rFonts w:hint="eastAsia"/>
          <w:b/>
          <w:bCs/>
        </w:rPr>
        <w:t>4</w:t>
      </w:r>
      <w:r>
        <w:t>长距离矩形顶管宜采用计算机辅助导线法进行测量；在矩形顶管内增设中间测站进行常规人工测量时，宜采用少设测站的长导线法，每次测量前均应对中间测站进行复核。</w:t>
      </w:r>
    </w:p>
    <w:p>
      <w:r>
        <w:rPr>
          <w:b/>
          <w:bCs/>
        </w:rPr>
        <w:t>9.7.</w:t>
      </w:r>
      <w:r>
        <w:rPr>
          <w:rFonts w:hint="eastAsia"/>
          <w:b/>
          <w:bCs/>
        </w:rPr>
        <w:t>5</w:t>
      </w:r>
      <w:r>
        <w:t>顶管掘进过程中，应遵循“勤测量、勤纠偏、微纠偏”的原则，控制矩形顶管机前进方向和姿态，并应根据测量结果分析偏差产生的原因和发展趋势，确定纠偏的措施。</w:t>
      </w:r>
    </w:p>
    <w:p>
      <w:r>
        <w:rPr>
          <w:b/>
          <w:bCs/>
        </w:rPr>
        <w:t>9.7.</w:t>
      </w:r>
      <w:r>
        <w:rPr>
          <w:rFonts w:hint="eastAsia"/>
          <w:b/>
          <w:bCs/>
        </w:rPr>
        <w:t>6</w:t>
      </w:r>
      <w:r>
        <w:t>顶管掘进姿态控制应符合下列规定：</w:t>
      </w:r>
    </w:p>
    <w:p>
      <w:pPr>
        <w:ind w:firstLine="482" w:firstLineChars="200"/>
      </w:pPr>
      <w:r>
        <w:rPr>
          <w:b/>
          <w:bCs/>
        </w:rPr>
        <w:t xml:space="preserve">1 </w:t>
      </w:r>
      <w:r>
        <w:t>掘进施工过程中应对顶管水平轴线、高程、偏转、顶管机姿态等进行测量，并应对测量控制基准点进行复核，发生偏差时应立即纠正；</w:t>
      </w:r>
    </w:p>
    <w:p>
      <w:pPr>
        <w:ind w:firstLine="482" w:firstLineChars="200"/>
      </w:pPr>
      <w:r>
        <w:rPr>
          <w:b/>
          <w:bCs/>
        </w:rPr>
        <w:t>2</w:t>
      </w:r>
      <w:r>
        <w:t>掘进结束后应全线复测、绘制管</w:t>
      </w:r>
      <w:r>
        <w:rPr>
          <w:rFonts w:hint="eastAsia"/>
        </w:rPr>
        <w:t>节</w:t>
      </w:r>
      <w:r>
        <w:t>掘进轨迹图，并应由施工技术人员检查复核</w:t>
      </w:r>
      <w:r>
        <w:rPr>
          <w:rFonts w:hint="eastAsia"/>
        </w:rPr>
        <w:t>。</w:t>
      </w:r>
    </w:p>
    <w:p>
      <w:r>
        <w:rPr>
          <w:b/>
          <w:bCs/>
        </w:rPr>
        <w:t>9.7.</w:t>
      </w:r>
      <w:r>
        <w:rPr>
          <w:rFonts w:hint="eastAsia"/>
          <w:b/>
          <w:bCs/>
        </w:rPr>
        <w:t>7</w:t>
      </w:r>
      <w:r>
        <w:t>进入接收井前应提前进行矩形顶管机位置和姿态测量，并应根据进口位置提前进行调整。</w:t>
      </w:r>
    </w:p>
    <w:p>
      <w:r>
        <w:rPr>
          <w:b/>
          <w:bCs/>
        </w:rPr>
        <w:t>9.7.</w:t>
      </w:r>
      <w:r>
        <w:rPr>
          <w:rFonts w:hint="eastAsia"/>
          <w:b/>
          <w:bCs/>
        </w:rPr>
        <w:t>8</w:t>
      </w:r>
      <w:r>
        <w:t>顶管掘进纠偏应符合下列规定：</w:t>
      </w:r>
    </w:p>
    <w:p>
      <w:pPr>
        <w:ind w:firstLine="482" w:firstLineChars="200"/>
      </w:pPr>
      <w:r>
        <w:rPr>
          <w:b/>
          <w:bCs/>
        </w:rPr>
        <w:t xml:space="preserve">1 </w:t>
      </w:r>
      <w:r>
        <w:t>掘进过程中应绘制矩形顶管机水平与高程轨迹图、</w:t>
      </w:r>
      <w:r>
        <w:rPr>
          <w:rFonts w:hint="eastAsia"/>
        </w:rPr>
        <w:t>顶</w:t>
      </w:r>
      <w:r>
        <w:t>力变化曲线图、管节编号图，随时掌握掘进方向和趋势；</w:t>
      </w:r>
    </w:p>
    <w:p>
      <w:pPr>
        <w:ind w:firstLine="482" w:firstLineChars="200"/>
      </w:pPr>
      <w:r>
        <w:rPr>
          <w:b/>
          <w:bCs/>
        </w:rPr>
        <w:t>2</w:t>
      </w:r>
      <w:r>
        <w:t>纠偏应在矩形顶管推进和刀盘旋转的过程中进行；</w:t>
      </w:r>
    </w:p>
    <w:p>
      <w:pPr>
        <w:ind w:firstLine="482" w:firstLineChars="200"/>
      </w:pPr>
      <w:r>
        <w:rPr>
          <w:b/>
          <w:bCs/>
        </w:rPr>
        <w:t>3</w:t>
      </w:r>
      <w:r>
        <w:t>应采用小角度纠偏方式，并应反复、多次进行纠偏操作；</w:t>
      </w:r>
    </w:p>
    <w:p>
      <w:pPr>
        <w:ind w:firstLine="482" w:firstLineChars="200"/>
      </w:pPr>
      <w:r>
        <w:rPr>
          <w:b/>
          <w:bCs/>
        </w:rPr>
        <w:t>4</w:t>
      </w:r>
      <w:r>
        <w:t>纠偏时开挖面土体应保持稳定；采用挖土纠偏方式时，超挖量应符合地层变形控制和施工设计要求</w:t>
      </w:r>
      <w:r>
        <w:rPr>
          <w:rFonts w:hint="eastAsia"/>
        </w:rPr>
        <w:t>。</w:t>
      </w:r>
    </w:p>
    <w:p>
      <w:r>
        <w:rPr>
          <w:rFonts w:hint="eastAsia"/>
          <w:b/>
          <w:bCs/>
        </w:rPr>
        <w:t>9</w:t>
      </w:r>
      <w:r>
        <w:rPr>
          <w:b/>
          <w:bCs/>
        </w:rPr>
        <w:t>.7.9</w:t>
      </w:r>
      <w:r>
        <w:rPr>
          <w:rFonts w:hint="eastAsia"/>
        </w:rPr>
        <w:t>矩形顶管机防止扭转可采取下列措施：</w:t>
      </w:r>
    </w:p>
    <w:p>
      <w:pPr>
        <w:ind w:firstLine="480" w:firstLineChars="200"/>
      </w:pPr>
      <w:r>
        <w:rPr>
          <w:rFonts w:hint="eastAsia"/>
        </w:rPr>
        <w:t>1 通过主刀盘的正反转来调整机身扭转的姿态；</w:t>
      </w:r>
    </w:p>
    <w:p>
      <w:pPr>
        <w:ind w:firstLine="480" w:firstLineChars="200"/>
      </w:pPr>
      <w:r>
        <w:rPr>
          <w:rFonts w:hint="eastAsia"/>
        </w:rPr>
        <w:t>2 通过顶管机壳顶底板的预留孔向机壳外侧高压压注复合胶泥，提供反转力矩来调整机身扭转的姿态。</w:t>
      </w:r>
    </w:p>
    <w:p>
      <w:pPr>
        <w:ind w:firstLine="1200" w:firstLineChars="500"/>
      </w:pPr>
    </w:p>
    <w:p>
      <w:pPr>
        <w:pStyle w:val="3"/>
        <w:rPr>
          <w:rFonts w:eastAsia="黑体" w:cs="Times New Roman"/>
          <w:b w:val="0"/>
        </w:rPr>
      </w:pPr>
      <w:bookmarkStart w:id="552" w:name="_Toc13790"/>
      <w:bookmarkStart w:id="553" w:name="_Toc60173820"/>
      <w:bookmarkStart w:id="554" w:name="_Toc3405"/>
      <w:bookmarkStart w:id="555" w:name="_Toc31953"/>
      <w:bookmarkStart w:id="556" w:name="_Toc18716"/>
      <w:bookmarkStart w:id="557" w:name="_Toc60172933"/>
      <w:bookmarkStart w:id="558" w:name="_Toc12861"/>
      <w:bookmarkStart w:id="559" w:name="_Toc18057079"/>
      <w:bookmarkStart w:id="560" w:name="_Toc19001"/>
      <w:bookmarkStart w:id="561" w:name="_Toc25571"/>
      <w:bookmarkStart w:id="562" w:name="_Toc47692192"/>
      <w:r>
        <w:rPr>
          <w:rFonts w:eastAsia="黑体" w:cs="Times New Roman"/>
        </w:rPr>
        <w:t>9.8</w:t>
      </w:r>
      <w:r>
        <w:rPr>
          <w:rFonts w:eastAsia="黑体" w:cs="Times New Roman"/>
          <w:b w:val="0"/>
        </w:rPr>
        <w:t>监测与变形控制</w:t>
      </w:r>
      <w:bookmarkEnd w:id="552"/>
      <w:bookmarkEnd w:id="553"/>
      <w:bookmarkEnd w:id="554"/>
      <w:bookmarkEnd w:id="555"/>
      <w:bookmarkEnd w:id="556"/>
      <w:bookmarkEnd w:id="557"/>
      <w:bookmarkEnd w:id="558"/>
      <w:bookmarkEnd w:id="559"/>
      <w:bookmarkEnd w:id="560"/>
      <w:bookmarkEnd w:id="561"/>
      <w:bookmarkEnd w:id="562"/>
    </w:p>
    <w:p>
      <w:r>
        <w:rPr>
          <w:b/>
          <w:bCs/>
        </w:rPr>
        <w:t xml:space="preserve">9.8.1  </w:t>
      </w:r>
      <w:r>
        <w:t>矩形顶管施工监测应符合下列规定：</w:t>
      </w:r>
    </w:p>
    <w:p>
      <w:pPr>
        <w:tabs>
          <w:tab w:val="left" w:pos="979"/>
        </w:tabs>
        <w:ind w:firstLine="482" w:firstLineChars="200"/>
      </w:pPr>
      <w:r>
        <w:rPr>
          <w:b/>
          <w:bCs/>
        </w:rPr>
        <w:t>1</w:t>
      </w:r>
      <w:r>
        <w:t>施工监测的范围可分为地上和地下两部分。地上监测内容应包括地面沉降、隆起和临近建筑物的沉降、倾斜等，地下监测内容应包括顶管施工扰动范围内的地下构筑物、地下管线的竖直、水平位移及漏水、漏气等；</w:t>
      </w:r>
    </w:p>
    <w:p>
      <w:pPr>
        <w:ind w:firstLine="482" w:firstLineChars="200"/>
      </w:pPr>
      <w:r>
        <w:rPr>
          <w:b/>
          <w:bCs/>
        </w:rPr>
        <w:t>2</w:t>
      </w:r>
      <w:r>
        <w:t>施工监测等级的确定应符合现行行业标准《建筑变形测量规范》JGJ 8的有关规定，宜采用二级变形测量级别；</w:t>
      </w:r>
    </w:p>
    <w:p>
      <w:pPr>
        <w:ind w:firstLine="482" w:firstLineChars="200"/>
      </w:pPr>
      <w:r>
        <w:rPr>
          <w:b/>
          <w:bCs/>
        </w:rPr>
        <w:t xml:space="preserve">3  </w:t>
      </w:r>
      <w:r>
        <w:t>监测项目应符合下列规定：</w:t>
      </w:r>
    </w:p>
    <w:p>
      <w:pPr>
        <w:tabs>
          <w:tab w:val="left" w:pos="709"/>
          <w:tab w:val="left" w:pos="993"/>
        </w:tabs>
        <w:ind w:left="1200" w:leftChars="350" w:hanging="360" w:hangingChars="150"/>
      </w:pPr>
      <w:r>
        <w:t>1）顶管管节结构监测应包括管节应力和外观监测，观察并记录裂缝的生成时间、裂缝的长度及宽度发展情况；</w:t>
      </w:r>
    </w:p>
    <w:p>
      <w:pPr>
        <w:tabs>
          <w:tab w:val="left" w:pos="851"/>
        </w:tabs>
        <w:ind w:left="1200" w:leftChars="350" w:hanging="360" w:hangingChars="150"/>
      </w:pPr>
      <w:r>
        <w:t>2）工作井支护结构宜采用目测巡视和监测相结合的方式，目测巡视应检查支护结构的成型质量、支护结构的裂缝、施工过程中洞口的涌土、涌砂等情况。此外，尚应对围护墙与工作井顶部的水平和竖向位移、支撑内力等项目进行监测，并应符合现行国家标准《建筑基坑工程监测技术规范》GB 50497的有关规定；</w:t>
      </w:r>
    </w:p>
    <w:p>
      <w:pPr>
        <w:ind w:left="1200" w:leftChars="350" w:hanging="360" w:hangingChars="150"/>
      </w:pPr>
      <w:r>
        <w:t>3）对顶管施工影响范围内的道路路面应进行水平位移、沉降和隆起监测，并应符合现行国家标准《工程测量规范》GB 50026的有关规定；</w:t>
      </w:r>
    </w:p>
    <w:p>
      <w:pPr>
        <w:ind w:left="1200" w:leftChars="350" w:hanging="360" w:hangingChars="150"/>
      </w:pPr>
      <w:r>
        <w:t>4）对邻近建筑物或构筑物、堤岸及可能引起严重后果的其他重要设施应进行监测；</w:t>
      </w:r>
    </w:p>
    <w:p>
      <w:pPr>
        <w:ind w:left="1200" w:leftChars="350" w:hanging="360" w:hangingChars="150"/>
      </w:pPr>
      <w:r>
        <w:t>5）对地铁、地下重要管线等的监测应符合现行国家标准《</w:t>
      </w:r>
      <w:r>
        <w:fldChar w:fldCharType="begin"/>
      </w:r>
      <w:r>
        <w:instrText xml:space="preserve"> HYPERLINK "http://www.doc88.com/p-5806372025918.html" \t "_blank" </w:instrText>
      </w:r>
      <w:r>
        <w:fldChar w:fldCharType="separate"/>
      </w:r>
      <w:r>
        <w:t>城市轨道交通工程监测技术规范》GB 50911</w:t>
      </w:r>
      <w:r>
        <w:fldChar w:fldCharType="end"/>
      </w:r>
      <w:r>
        <w:t>、《工程测量规范》GB 50026的有关规定和</w:t>
      </w:r>
      <w:r>
        <w:rPr>
          <w:rFonts w:hint="eastAsia"/>
          <w:bCs/>
          <w:kern w:val="44"/>
        </w:rPr>
        <w:t>相关专业要求</w:t>
      </w:r>
      <w:r>
        <w:t>。</w:t>
      </w:r>
    </w:p>
    <w:p>
      <w:pPr>
        <w:ind w:firstLine="482" w:firstLineChars="200"/>
      </w:pPr>
      <w:r>
        <w:rPr>
          <w:b/>
          <w:bCs/>
        </w:rPr>
        <w:t xml:space="preserve">4  </w:t>
      </w:r>
      <w:r>
        <w:rPr>
          <w:rFonts w:hint="eastAsia"/>
        </w:rPr>
        <w:t>监测</w:t>
      </w:r>
      <w:r>
        <w:t>点布设应符合下列规定：</w:t>
      </w:r>
    </w:p>
    <w:p>
      <w:pPr>
        <w:ind w:left="1200" w:leftChars="350" w:hanging="360" w:hangingChars="150"/>
      </w:pPr>
      <w:r>
        <w:t>1）路面沉降</w:t>
      </w:r>
      <w:r>
        <w:rPr>
          <w:rFonts w:hint="eastAsia"/>
        </w:rPr>
        <w:t>监测</w:t>
      </w:r>
      <w:r>
        <w:t>点横向</w:t>
      </w:r>
      <w:r>
        <w:rPr>
          <w:rFonts w:hint="eastAsia"/>
        </w:rPr>
        <w:t>布设</w:t>
      </w:r>
      <w:r>
        <w:t>应</w:t>
      </w:r>
      <w:r>
        <w:rPr>
          <w:rFonts w:hint="eastAsia"/>
        </w:rPr>
        <w:t>沿</w:t>
      </w:r>
      <w:r>
        <w:t>顶管机刀盘</w:t>
      </w:r>
      <w:r>
        <w:rPr>
          <w:rFonts w:hint="eastAsia"/>
        </w:rPr>
        <w:t>掘进</w:t>
      </w:r>
      <w:r>
        <w:t>面的45º角切线延伸到地面的范围内进行布点，</w:t>
      </w:r>
      <w:r>
        <w:rPr>
          <w:rFonts w:hint="eastAsia"/>
        </w:rPr>
        <w:t>顶管</w:t>
      </w:r>
      <w:r>
        <w:t>中心及两侧的投影线</w:t>
      </w:r>
      <w:r>
        <w:rPr>
          <w:rFonts w:hint="eastAsia"/>
        </w:rPr>
        <w:t>与</w:t>
      </w:r>
      <w:r>
        <w:t>地面线的交点应各布设</w:t>
      </w:r>
      <w:r>
        <w:rPr>
          <w:rFonts w:hint="eastAsia"/>
        </w:rPr>
        <w:t>1个测点</w:t>
      </w:r>
      <w:r>
        <w:t>45º角延伸切线与地平线的交点</w:t>
      </w:r>
      <w:r>
        <w:rPr>
          <w:rFonts w:hint="eastAsia"/>
        </w:rPr>
        <w:t>应各</w:t>
      </w:r>
      <w:r>
        <w:t>布设</w:t>
      </w:r>
      <w:r>
        <w:rPr>
          <w:rFonts w:hint="eastAsia"/>
        </w:rPr>
        <w:t>1个</w:t>
      </w:r>
      <w:r>
        <w:t>测点，在两</w:t>
      </w:r>
      <w:r>
        <w:rPr>
          <w:rFonts w:hint="eastAsia"/>
        </w:rPr>
        <w:t>个</w:t>
      </w:r>
      <w:r>
        <w:t>测点中间</w:t>
      </w:r>
      <w:r>
        <w:rPr>
          <w:rFonts w:hint="eastAsia"/>
        </w:rPr>
        <w:t>应</w:t>
      </w:r>
      <w:r>
        <w:t>布设</w:t>
      </w:r>
      <w:r>
        <w:rPr>
          <w:rFonts w:hint="eastAsia"/>
        </w:rPr>
        <w:t>1个</w:t>
      </w:r>
      <w:r>
        <w:t>测点，不少于5点位一排监测点（图9.8.1-1）；</w:t>
      </w:r>
    </w:p>
    <w:p>
      <w:pPr>
        <w:jc w:val="center"/>
      </w:pPr>
    </w:p>
    <w:p>
      <w:pPr>
        <w:jc w:val="center"/>
        <w:rPr>
          <w:b/>
          <w:bCs/>
          <w:kern w:val="0"/>
          <w:sz w:val="21"/>
          <w:szCs w:val="22"/>
        </w:rPr>
      </w:pPr>
      <w:r>
        <w:rPr>
          <w:rFonts w:hint="eastAsia"/>
          <w:b/>
          <w:bCs/>
          <w:kern w:val="0"/>
          <w:sz w:val="21"/>
          <w:szCs w:val="22"/>
        </w:rPr>
        <w:drawing>
          <wp:inline distT="0" distB="0" distL="0" distR="0">
            <wp:extent cx="4972050" cy="227901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68"/>
                    <a:srcRect/>
                    <a:stretch>
                      <a:fillRect/>
                    </a:stretch>
                  </pic:blipFill>
                  <pic:spPr>
                    <a:xfrm>
                      <a:off x="0" y="0"/>
                      <a:ext cx="4972050" cy="2279223"/>
                    </a:xfrm>
                    <a:prstGeom prst="rect">
                      <a:avLst/>
                    </a:prstGeom>
                    <a:noFill/>
                    <a:ln w="9525">
                      <a:noFill/>
                      <a:miter lim="800000"/>
                      <a:headEnd/>
                      <a:tailEnd/>
                    </a:ln>
                  </pic:spPr>
                </pic:pic>
              </a:graphicData>
            </a:graphic>
          </wp:inline>
        </w:drawing>
      </w:r>
    </w:p>
    <w:p>
      <w:pPr>
        <w:jc w:val="center"/>
        <w:rPr>
          <w:b/>
          <w:bCs/>
          <w:kern w:val="0"/>
          <w:sz w:val="21"/>
          <w:szCs w:val="22"/>
        </w:rPr>
      </w:pPr>
      <w:r>
        <w:rPr>
          <w:b/>
          <w:bCs/>
          <w:kern w:val="0"/>
          <w:sz w:val="21"/>
          <w:szCs w:val="22"/>
        </w:rPr>
        <w:t>图9.8.1-1  监测点横向布置示意图</w:t>
      </w:r>
    </w:p>
    <w:p>
      <w:pPr>
        <w:jc w:val="center"/>
        <w:rPr>
          <w:b/>
          <w:bCs/>
          <w:kern w:val="0"/>
          <w:sz w:val="18"/>
          <w:szCs w:val="18"/>
        </w:rPr>
      </w:pPr>
      <w:r>
        <w:rPr>
          <w:sz w:val="18"/>
          <w:szCs w:val="18"/>
        </w:rPr>
        <w:t>1—</w:t>
      </w:r>
      <w:r>
        <w:rPr>
          <w:rFonts w:hint="eastAsia"/>
          <w:sz w:val="18"/>
          <w:szCs w:val="18"/>
        </w:rPr>
        <w:t>地面</w:t>
      </w:r>
      <w:r>
        <w:rPr>
          <w:sz w:val="18"/>
          <w:szCs w:val="18"/>
        </w:rPr>
        <w:t>；2—</w:t>
      </w:r>
      <w:r>
        <w:rPr>
          <w:rFonts w:hint="eastAsia"/>
          <w:sz w:val="18"/>
          <w:szCs w:val="18"/>
        </w:rPr>
        <w:t>监测点</w:t>
      </w:r>
      <w:r>
        <w:rPr>
          <w:sz w:val="18"/>
          <w:szCs w:val="18"/>
        </w:rPr>
        <w:t>；3—</w:t>
      </w:r>
      <w:r>
        <w:rPr>
          <w:rFonts w:hint="eastAsia"/>
          <w:sz w:val="18"/>
          <w:szCs w:val="18"/>
        </w:rPr>
        <w:t>顶管管节；</w:t>
      </w:r>
    </w:p>
    <w:p>
      <w:pPr>
        <w:ind w:left="1200" w:leftChars="350" w:hanging="360" w:hangingChars="150"/>
      </w:pPr>
      <w:r>
        <w:t>2）路面沉降</w:t>
      </w:r>
      <w:r>
        <w:rPr>
          <w:rFonts w:hint="eastAsia"/>
        </w:rPr>
        <w:t>监测</w:t>
      </w:r>
      <w:r>
        <w:t>点的纵向布设应</w:t>
      </w:r>
      <w:r>
        <w:rPr>
          <w:rFonts w:hint="eastAsia"/>
        </w:rPr>
        <w:t>沿</w:t>
      </w:r>
      <w:r>
        <w:t>顶管掘进方向在距离始发井1m布设一排深度为0.5m且进入原状土的监测点，</w:t>
      </w:r>
      <w:r>
        <w:rPr>
          <w:rFonts w:hint="eastAsia"/>
        </w:rPr>
        <w:t>并宜按</w:t>
      </w:r>
      <w:r>
        <w:t>5m</w:t>
      </w:r>
      <w:r>
        <w:rPr>
          <w:rFonts w:hint="eastAsia"/>
        </w:rPr>
        <w:t>~10m的间距依次往接收井方向布设</w:t>
      </w:r>
      <w:r>
        <w:t>；</w:t>
      </w:r>
    </w:p>
    <w:p>
      <w:r>
        <w:drawing>
          <wp:inline distT="0" distB="0" distL="0" distR="0">
            <wp:extent cx="4925695" cy="2397760"/>
            <wp:effectExtent l="0" t="0" r="8255"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69"/>
                    <a:srcRect b="9690"/>
                    <a:stretch>
                      <a:fillRect/>
                    </a:stretch>
                  </pic:blipFill>
                  <pic:spPr>
                    <a:xfrm>
                      <a:off x="0" y="0"/>
                      <a:ext cx="4950897" cy="2409792"/>
                    </a:xfrm>
                    <a:prstGeom prst="rect">
                      <a:avLst/>
                    </a:prstGeom>
                    <a:noFill/>
                    <a:ln w="9525">
                      <a:noFill/>
                      <a:miter lim="800000"/>
                      <a:headEnd/>
                      <a:tailEnd/>
                    </a:ln>
                  </pic:spPr>
                </pic:pic>
              </a:graphicData>
            </a:graphic>
          </wp:inline>
        </w:drawing>
      </w:r>
    </w:p>
    <w:p>
      <w:pPr>
        <w:jc w:val="center"/>
        <w:rPr>
          <w:b/>
          <w:bCs/>
          <w:kern w:val="0"/>
          <w:sz w:val="21"/>
          <w:szCs w:val="22"/>
        </w:rPr>
      </w:pPr>
      <w:r>
        <w:rPr>
          <w:b/>
          <w:bCs/>
          <w:kern w:val="0"/>
          <w:sz w:val="21"/>
          <w:szCs w:val="22"/>
        </w:rPr>
        <w:t xml:space="preserve">图9.8.1-2  </w:t>
      </w:r>
      <w:r>
        <w:rPr>
          <w:rFonts w:hint="eastAsia"/>
          <w:b/>
          <w:bCs/>
          <w:kern w:val="0"/>
          <w:sz w:val="21"/>
          <w:szCs w:val="22"/>
        </w:rPr>
        <w:t>监测点纵向布置示意图</w:t>
      </w:r>
    </w:p>
    <w:p>
      <w:pPr>
        <w:ind w:left="1200" w:leftChars="350" w:hanging="360" w:hangingChars="150"/>
      </w:pPr>
      <w:r>
        <w:t>3）掘进施工时，应在顶管机的</w:t>
      </w:r>
      <w:r>
        <w:rPr>
          <w:rFonts w:hint="eastAsia"/>
        </w:rPr>
        <w:t>底</w:t>
      </w:r>
      <w:r>
        <w:t>部按45º角往前延伸线与监测点交汇时开始监测</w:t>
      </w:r>
      <w:r>
        <w:rPr>
          <w:rFonts w:hint="eastAsia"/>
        </w:rPr>
        <w:t>（</w:t>
      </w:r>
      <w:r>
        <w:rPr>
          <w:b/>
          <w:bCs/>
          <w:kern w:val="0"/>
          <w:sz w:val="21"/>
          <w:szCs w:val="22"/>
        </w:rPr>
        <w:t>图9.8.1-3</w:t>
      </w:r>
      <w:r>
        <w:rPr>
          <w:rFonts w:hint="eastAsia"/>
        </w:rPr>
        <w:t>）</w:t>
      </w:r>
      <w:r>
        <w:t>。</w:t>
      </w:r>
    </w:p>
    <w:p>
      <w:pPr>
        <w:ind w:left="1200" w:leftChars="350" w:hanging="360" w:hangingChars="150"/>
      </w:pPr>
      <w:r>
        <w:rPr>
          <w:rFonts w:hint="eastAsia"/>
        </w:rPr>
        <w:drawing>
          <wp:inline distT="0" distB="0" distL="0" distR="0">
            <wp:extent cx="4552950" cy="210947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70"/>
                    <a:srcRect/>
                    <a:stretch>
                      <a:fillRect/>
                    </a:stretch>
                  </pic:blipFill>
                  <pic:spPr>
                    <a:xfrm>
                      <a:off x="0" y="0"/>
                      <a:ext cx="4552950" cy="2109804"/>
                    </a:xfrm>
                    <a:prstGeom prst="rect">
                      <a:avLst/>
                    </a:prstGeom>
                    <a:noFill/>
                    <a:ln w="9525">
                      <a:noFill/>
                      <a:miter lim="800000"/>
                      <a:headEnd/>
                      <a:tailEnd/>
                    </a:ln>
                  </pic:spPr>
                </pic:pic>
              </a:graphicData>
            </a:graphic>
          </wp:inline>
        </w:drawing>
      </w:r>
    </w:p>
    <w:p>
      <w:pPr>
        <w:jc w:val="center"/>
        <w:rPr>
          <w:b/>
          <w:bCs/>
          <w:kern w:val="0"/>
          <w:sz w:val="21"/>
          <w:szCs w:val="22"/>
        </w:rPr>
      </w:pPr>
      <w:r>
        <w:rPr>
          <w:b/>
          <w:bCs/>
          <w:kern w:val="0"/>
          <w:sz w:val="21"/>
          <w:szCs w:val="22"/>
        </w:rPr>
        <w:t xml:space="preserve">图9.8.1-3  </w:t>
      </w:r>
      <w:r>
        <w:rPr>
          <w:rFonts w:hint="eastAsia"/>
          <w:b/>
          <w:bCs/>
          <w:kern w:val="0"/>
          <w:sz w:val="21"/>
          <w:szCs w:val="22"/>
        </w:rPr>
        <w:t>监测点布置示意图</w:t>
      </w:r>
    </w:p>
    <w:p>
      <w:pPr>
        <w:jc w:val="center"/>
        <w:rPr>
          <w:b/>
          <w:bCs/>
          <w:kern w:val="0"/>
          <w:sz w:val="18"/>
          <w:szCs w:val="18"/>
        </w:rPr>
      </w:pPr>
      <w:r>
        <w:rPr>
          <w:sz w:val="18"/>
          <w:szCs w:val="18"/>
        </w:rPr>
        <w:t>1—</w:t>
      </w:r>
      <w:r>
        <w:rPr>
          <w:rFonts w:hint="eastAsia"/>
          <w:sz w:val="18"/>
          <w:szCs w:val="18"/>
        </w:rPr>
        <w:t>地面；</w:t>
      </w:r>
      <w:r>
        <w:rPr>
          <w:sz w:val="18"/>
          <w:szCs w:val="18"/>
        </w:rPr>
        <w:t>2—</w:t>
      </w:r>
      <w:r>
        <w:rPr>
          <w:rFonts w:hint="eastAsia"/>
          <w:sz w:val="18"/>
          <w:szCs w:val="18"/>
        </w:rPr>
        <w:t>监测点；</w:t>
      </w:r>
      <w:r>
        <w:rPr>
          <w:sz w:val="18"/>
          <w:szCs w:val="18"/>
        </w:rPr>
        <w:t>3—</w:t>
      </w:r>
      <w:r>
        <w:rPr>
          <w:rFonts w:hint="eastAsia"/>
          <w:sz w:val="18"/>
          <w:szCs w:val="18"/>
        </w:rPr>
        <w:t>顶管管节；</w:t>
      </w:r>
      <w:r>
        <w:rPr>
          <w:sz w:val="18"/>
          <w:szCs w:val="18"/>
        </w:rPr>
        <w:t>4</w:t>
      </w:r>
      <w:r>
        <w:rPr>
          <w:rFonts w:hint="eastAsia"/>
          <w:sz w:val="18"/>
          <w:szCs w:val="18"/>
        </w:rPr>
        <w:t>—顶管机</w:t>
      </w:r>
    </w:p>
    <w:p>
      <w:pPr>
        <w:ind w:firstLine="482" w:firstLineChars="200"/>
      </w:pPr>
      <w:r>
        <w:rPr>
          <w:b/>
          <w:bCs/>
        </w:rPr>
        <w:t xml:space="preserve">5  </w:t>
      </w:r>
      <w:r>
        <w:t>监测预警标准和预警等级应根据工程特点、监测项目控制值及当地施工经验等确定，同时应符合设计文件和现行国家标准《</w:t>
      </w:r>
      <w:r>
        <w:fldChar w:fldCharType="begin"/>
      </w:r>
      <w:r>
        <w:instrText xml:space="preserve"> HYPERLINK "http://www.doc88.com/p-5806372025918.html" \t "_blank" </w:instrText>
      </w:r>
      <w:r>
        <w:fldChar w:fldCharType="separate"/>
      </w:r>
      <w:r>
        <w:t>城市轨道交通工程监测技术规范》GB 50911</w:t>
      </w:r>
      <w:r>
        <w:fldChar w:fldCharType="end"/>
      </w:r>
      <w:r>
        <w:t>的有关规定。</w:t>
      </w:r>
    </w:p>
    <w:p>
      <w:pPr>
        <w:rPr>
          <w:bCs/>
          <w:kern w:val="44"/>
        </w:rPr>
      </w:pPr>
      <w:r>
        <w:rPr>
          <w:b/>
          <w:bCs/>
          <w:kern w:val="44"/>
        </w:rPr>
        <w:t>9.8.2</w:t>
      </w:r>
      <w:r>
        <w:rPr>
          <w:rFonts w:hint="eastAsia"/>
          <w:bCs/>
          <w:kern w:val="44"/>
        </w:rPr>
        <w:t xml:space="preserve"> 监测点的监测频率应符合下列要求：</w:t>
      </w:r>
    </w:p>
    <w:p>
      <w:pPr>
        <w:ind w:firstLine="480" w:firstLineChars="200"/>
        <w:rPr>
          <w:bCs/>
          <w:kern w:val="44"/>
        </w:rPr>
      </w:pPr>
      <w:r>
        <w:rPr>
          <w:bCs/>
          <w:kern w:val="44"/>
        </w:rPr>
        <w:t>1</w:t>
      </w:r>
      <w:r>
        <w:rPr>
          <w:rFonts w:hint="eastAsia"/>
          <w:bCs/>
          <w:kern w:val="44"/>
        </w:rPr>
        <w:t>顶管机刀盘前后</w:t>
      </w:r>
      <w:r>
        <w:rPr>
          <w:bCs/>
          <w:kern w:val="44"/>
        </w:rPr>
        <w:t>10m-20m</w:t>
      </w:r>
      <w:r>
        <w:rPr>
          <w:rFonts w:hint="eastAsia"/>
          <w:bCs/>
          <w:kern w:val="44"/>
        </w:rPr>
        <w:t>为重点监测段，监测次数不应少于每天</w:t>
      </w:r>
      <w:r>
        <w:rPr>
          <w:bCs/>
          <w:kern w:val="44"/>
        </w:rPr>
        <w:t>2</w:t>
      </w:r>
      <w:r>
        <w:rPr>
          <w:rFonts w:hint="eastAsia"/>
          <w:bCs/>
          <w:kern w:val="44"/>
        </w:rPr>
        <w:t>次。</w:t>
      </w:r>
    </w:p>
    <w:p>
      <w:pPr>
        <w:ind w:firstLine="480" w:firstLineChars="200"/>
        <w:rPr>
          <w:bCs/>
          <w:kern w:val="44"/>
        </w:rPr>
      </w:pPr>
      <w:r>
        <w:rPr>
          <w:bCs/>
          <w:kern w:val="44"/>
        </w:rPr>
        <w:t>2</w:t>
      </w:r>
      <w:r>
        <w:rPr>
          <w:rFonts w:hint="eastAsia"/>
          <w:bCs/>
          <w:kern w:val="44"/>
        </w:rPr>
        <w:t>除重点监测段外的监测点，监测次数不应少于每天</w:t>
      </w:r>
      <w:r>
        <w:rPr>
          <w:bCs/>
          <w:kern w:val="44"/>
        </w:rPr>
        <w:t>1</w:t>
      </w:r>
      <w:r>
        <w:rPr>
          <w:rFonts w:hint="eastAsia"/>
          <w:bCs/>
          <w:kern w:val="44"/>
        </w:rPr>
        <w:t>次。</w:t>
      </w:r>
    </w:p>
    <w:p>
      <w:pPr>
        <w:ind w:firstLine="480" w:firstLineChars="200"/>
        <w:rPr>
          <w:bCs/>
          <w:kern w:val="44"/>
        </w:rPr>
      </w:pPr>
      <w:r>
        <w:rPr>
          <w:bCs/>
          <w:kern w:val="44"/>
        </w:rPr>
        <w:t xml:space="preserve">3 </w:t>
      </w:r>
      <w:r>
        <w:rPr>
          <w:rFonts w:hint="eastAsia"/>
          <w:bCs/>
          <w:kern w:val="44"/>
        </w:rPr>
        <w:t>当地面、井壁结构或周边建筑（构）物出现裂缝、沉降或隆起，遇到降雨、降雪、气温骤变，工作井内或管节内出现异常的渗水或漏水等各种环境条件变化或异常情况时，应立即进行连续监测，直至连续三天的监测数值稳定。</w:t>
      </w:r>
    </w:p>
    <w:p>
      <w:pPr>
        <w:ind w:firstLine="480" w:firstLineChars="200"/>
        <w:rPr>
          <w:bCs/>
          <w:kern w:val="44"/>
        </w:rPr>
      </w:pPr>
      <w:r>
        <w:rPr>
          <w:bCs/>
          <w:kern w:val="44"/>
        </w:rPr>
        <w:t xml:space="preserve">4 </w:t>
      </w:r>
      <w:r>
        <w:rPr>
          <w:rFonts w:hint="eastAsia"/>
          <w:bCs/>
          <w:kern w:val="44"/>
        </w:rPr>
        <w:t>当地面变形速率大于或等于前次监测的变形速率时，则应进行连续监测。</w:t>
      </w:r>
    </w:p>
    <w:p>
      <w:pPr>
        <w:ind w:firstLine="480" w:firstLineChars="200"/>
        <w:rPr>
          <w:bCs/>
          <w:kern w:val="44"/>
        </w:rPr>
      </w:pPr>
      <w:r>
        <w:rPr>
          <w:bCs/>
          <w:kern w:val="44"/>
        </w:rPr>
        <w:t xml:space="preserve">5 </w:t>
      </w:r>
      <w:r>
        <w:rPr>
          <w:rFonts w:hint="eastAsia"/>
          <w:bCs/>
          <w:kern w:val="44"/>
        </w:rPr>
        <w:t>在监测数值稳定期间，尚应根据变形稳定值的大小及工程实际情况定期进行监测。</w:t>
      </w:r>
    </w:p>
    <w:p>
      <w:pPr>
        <w:ind w:firstLine="480" w:firstLineChars="200"/>
        <w:rPr>
          <w:bCs/>
          <w:kern w:val="44"/>
        </w:rPr>
      </w:pPr>
      <w:r>
        <w:rPr>
          <w:bCs/>
          <w:kern w:val="44"/>
        </w:rPr>
        <w:t>6</w:t>
      </w:r>
      <w:r>
        <w:rPr>
          <w:rFonts w:hint="eastAsia"/>
          <w:bCs/>
          <w:kern w:val="44"/>
        </w:rPr>
        <w:t>顶管穿越地面建筑物、地铁隧道、铁路、桥梁、防汛墙、地下管线等重要构筑物时，应对构筑物及其周围土体进行变形监测，并提高监测频率，应符合相关专业要求。</w:t>
      </w:r>
    </w:p>
    <w:p>
      <w:r>
        <w:rPr>
          <w:b/>
          <w:bCs/>
        </w:rPr>
        <w:t>9.8.</w:t>
      </w:r>
      <w:r>
        <w:rPr>
          <w:rFonts w:hint="eastAsia"/>
          <w:b/>
          <w:bCs/>
        </w:rPr>
        <w:t>3</w:t>
      </w:r>
      <w:r>
        <w:rPr>
          <w:b/>
          <w:bCs/>
        </w:rPr>
        <w:t xml:space="preserve">  </w:t>
      </w:r>
      <w:r>
        <w:t>顶管机掘进中对地层变形的控制应符合下列规定：</w:t>
      </w:r>
    </w:p>
    <w:p>
      <w:pPr>
        <w:ind w:firstLine="482" w:firstLineChars="200"/>
      </w:pPr>
      <w:r>
        <w:rPr>
          <w:b/>
          <w:bCs/>
        </w:rPr>
        <w:t>1</w:t>
      </w:r>
      <w:r>
        <w:t>应进行实时监测和信息化施工，发生偏差时应立即纠偏并优化掘进的控制参数；</w:t>
      </w:r>
    </w:p>
    <w:p>
      <w:pPr>
        <w:ind w:firstLine="482" w:firstLineChars="200"/>
      </w:pPr>
      <w:r>
        <w:rPr>
          <w:b/>
          <w:bCs/>
        </w:rPr>
        <w:t xml:space="preserve">2 </w:t>
      </w:r>
      <w:r>
        <w:rPr>
          <w:rFonts w:hint="eastAsia"/>
        </w:rPr>
        <w:t>应</w:t>
      </w:r>
      <w:r>
        <w:t>采用同步注浆和补浆，填充管外壁与土体之间的施工间隙；</w:t>
      </w:r>
    </w:p>
    <w:p>
      <w:pPr>
        <w:ind w:firstLine="482" w:firstLineChars="200"/>
      </w:pPr>
      <w:r>
        <w:rPr>
          <w:b/>
          <w:bCs/>
        </w:rPr>
        <w:t xml:space="preserve">3 </w:t>
      </w:r>
      <w:r>
        <w:rPr>
          <w:rFonts w:hint="eastAsia"/>
        </w:rPr>
        <w:t>应</w:t>
      </w:r>
      <w:r>
        <w:t>避免管节接口、中继间、工作井洞口及顶管机尾部等部位的水土流失和泥浆渗漏，并应确保管节接口端面完好；</w:t>
      </w:r>
    </w:p>
    <w:p>
      <w:pPr>
        <w:ind w:firstLine="482" w:firstLineChars="200"/>
      </w:pPr>
      <w:r>
        <w:rPr>
          <w:b/>
          <w:bCs/>
        </w:rPr>
        <w:t xml:space="preserve">4 </w:t>
      </w:r>
      <w:r>
        <w:rPr>
          <w:rFonts w:hint="eastAsia"/>
        </w:rPr>
        <w:t>应</w:t>
      </w:r>
      <w:r>
        <w:t>保持开挖量与出渣量的平衡；</w:t>
      </w:r>
    </w:p>
    <w:p>
      <w:pPr>
        <w:ind w:firstLine="482" w:firstLineChars="200"/>
      </w:pPr>
      <w:r>
        <w:rPr>
          <w:b/>
          <w:bCs/>
        </w:rPr>
        <w:t>5</w:t>
      </w:r>
      <w:r>
        <w:rPr>
          <w:rFonts w:hint="eastAsia"/>
        </w:rPr>
        <w:t>应</w:t>
      </w:r>
      <w:r>
        <w:t>通过控制土压、水压平衡力来控制地面变形。</w:t>
      </w:r>
    </w:p>
    <w:p>
      <w:r>
        <w:rPr>
          <w:b/>
          <w:bCs/>
        </w:rPr>
        <w:t>9.8.</w:t>
      </w:r>
      <w:r>
        <w:rPr>
          <w:rFonts w:hint="eastAsia"/>
          <w:b/>
          <w:bCs/>
        </w:rPr>
        <w:t>4</w:t>
      </w:r>
      <w:r>
        <w:rPr>
          <w:b/>
          <w:bCs/>
        </w:rPr>
        <w:t xml:space="preserve">  </w:t>
      </w:r>
      <w:r>
        <w:t>地面变形</w:t>
      </w:r>
      <w:r>
        <w:rPr>
          <w:rFonts w:hint="eastAsia"/>
        </w:rPr>
        <w:t>的控制</w:t>
      </w:r>
      <w:r>
        <w:t>应符合下列规定：</w:t>
      </w:r>
    </w:p>
    <w:p>
      <w:pPr>
        <w:ind w:firstLine="482" w:firstLineChars="200"/>
      </w:pPr>
      <w:r>
        <w:rPr>
          <w:b/>
          <w:bCs/>
        </w:rPr>
        <w:t>1</w:t>
      </w:r>
      <w:r>
        <w:t>顶管施工造成的地面变形不应造成道路开裂</w:t>
      </w:r>
      <w:r>
        <w:rPr>
          <w:rFonts w:hint="eastAsia"/>
        </w:rPr>
        <w:t>、</w:t>
      </w:r>
      <w:r>
        <w:t>大堤及地下设施损坏和渗水；</w:t>
      </w:r>
    </w:p>
    <w:p>
      <w:pPr>
        <w:ind w:firstLine="482" w:firstLineChars="200"/>
      </w:pPr>
      <w:r>
        <w:rPr>
          <w:b/>
          <w:bCs/>
        </w:rPr>
        <w:t>2</w:t>
      </w:r>
      <w:r>
        <w:t>顶管施工地面变形</w:t>
      </w:r>
      <w:r>
        <w:rPr>
          <w:rFonts w:hint="eastAsia"/>
        </w:rPr>
        <w:t>限值</w:t>
      </w:r>
      <w:r>
        <w:t>应符合下列规定：</w:t>
      </w:r>
    </w:p>
    <w:p>
      <w:pPr>
        <w:ind w:left="1200" w:leftChars="350" w:hanging="360" w:hangingChars="150"/>
      </w:pPr>
      <w:r>
        <w:t>1）碾压式土石坝、堤</w:t>
      </w:r>
      <w:r>
        <w:rPr>
          <w:rFonts w:hint="eastAsia"/>
        </w:rPr>
        <w:t>岸</w:t>
      </w:r>
      <w:r>
        <w:t>变形</w:t>
      </w:r>
      <w:r>
        <w:rPr>
          <w:rFonts w:hint="eastAsia"/>
        </w:rPr>
        <w:t>量</w:t>
      </w:r>
      <w:r>
        <w:t>应控制在-30mm～+10mm；</w:t>
      </w:r>
    </w:p>
    <w:p>
      <w:pPr>
        <w:ind w:left="1200" w:leftChars="350" w:hanging="360" w:hangingChars="150"/>
      </w:pPr>
      <w:r>
        <w:t>2）</w:t>
      </w:r>
      <w:r>
        <w:rPr>
          <w:rFonts w:hint="eastAsia"/>
        </w:rPr>
        <w:t>道路</w:t>
      </w:r>
      <w:r>
        <w:t>的地面变形</w:t>
      </w:r>
      <w:r>
        <w:rPr>
          <w:rFonts w:hint="eastAsia"/>
        </w:rPr>
        <w:t>量</w:t>
      </w:r>
      <w:r>
        <w:t>应控制在-20mm～+10mm；</w:t>
      </w:r>
    </w:p>
    <w:p>
      <w:pPr>
        <w:ind w:left="1200" w:leftChars="350" w:hanging="360" w:hangingChars="150"/>
      </w:pPr>
      <w:r>
        <w:t>3）当顶管穿越铁路、地铁或其他对变形敏感的地下设施时，累计变形量应符合现行国家标准《</w:t>
      </w:r>
      <w:r>
        <w:fldChar w:fldCharType="begin"/>
      </w:r>
      <w:r>
        <w:instrText xml:space="preserve"> HYPERLINK "http://www.doc88.com/p-5806372025918.html" \t "_blank" </w:instrText>
      </w:r>
      <w:r>
        <w:fldChar w:fldCharType="separate"/>
      </w:r>
      <w:r>
        <w:t>城市轨道交通工程监测技术规范》GB 50911</w:t>
      </w:r>
      <w:r>
        <w:fldChar w:fldCharType="end"/>
      </w:r>
      <w:r>
        <w:t>的有关规定和工程设计要求。</w:t>
      </w:r>
    </w:p>
    <w:p>
      <w:pPr>
        <w:ind w:firstLine="482" w:firstLineChars="200"/>
      </w:pPr>
      <w:r>
        <w:rPr>
          <w:b/>
          <w:bCs/>
        </w:rPr>
        <w:t>3</w:t>
      </w:r>
      <w:r>
        <w:t>当监测数据达到变形限值的70%时，应立即报警并适时启动应急事故处理方案。</w:t>
      </w:r>
    </w:p>
    <w:p>
      <w:r>
        <w:rPr>
          <w:b/>
          <w:bCs/>
        </w:rPr>
        <w:t>9.8.</w:t>
      </w:r>
      <w:r>
        <w:rPr>
          <w:rFonts w:hint="eastAsia"/>
          <w:b/>
          <w:bCs/>
        </w:rPr>
        <w:t>5</w:t>
      </w:r>
      <w:r>
        <w:rPr>
          <w:b/>
          <w:bCs/>
        </w:rPr>
        <w:t xml:space="preserve">  </w:t>
      </w:r>
      <w:r>
        <w:t>地面变形控制应</w:t>
      </w:r>
      <w:r>
        <w:rPr>
          <w:rFonts w:hint="eastAsia"/>
        </w:rPr>
        <w:t>采取</w:t>
      </w:r>
      <w:r>
        <w:t>下列</w:t>
      </w:r>
      <w:r>
        <w:rPr>
          <w:rFonts w:hint="eastAsia"/>
        </w:rPr>
        <w:t>措施</w:t>
      </w:r>
      <w:r>
        <w:t>：</w:t>
      </w:r>
    </w:p>
    <w:p>
      <w:pPr>
        <w:ind w:firstLine="482" w:firstLineChars="200"/>
      </w:pPr>
      <w:r>
        <w:rPr>
          <w:b/>
          <w:bCs/>
        </w:rPr>
        <w:t>1</w:t>
      </w:r>
      <w:r>
        <w:t>应根据监测数据</w:t>
      </w:r>
      <w:r>
        <w:rPr>
          <w:rFonts w:hint="eastAsia"/>
        </w:rPr>
        <w:t>实时</w:t>
      </w:r>
      <w:r>
        <w:t>调整注浆量与注浆压力；</w:t>
      </w:r>
    </w:p>
    <w:p>
      <w:pPr>
        <w:ind w:firstLine="482" w:firstLineChars="200"/>
      </w:pPr>
      <w:r>
        <w:rPr>
          <w:b/>
          <w:bCs/>
        </w:rPr>
        <w:t>2</w:t>
      </w:r>
      <w:r>
        <w:t>应严格遵守操作规程进行测量，并应避免大幅度纠偏；</w:t>
      </w:r>
    </w:p>
    <w:p>
      <w:pPr>
        <w:ind w:firstLine="482" w:firstLineChars="200"/>
      </w:pPr>
      <w:r>
        <w:rPr>
          <w:b/>
          <w:bCs/>
        </w:rPr>
        <w:t>3</w:t>
      </w:r>
      <w:r>
        <w:t>应严格控制出渣量，不得超出设计出渣量范围；</w:t>
      </w:r>
    </w:p>
    <w:p>
      <w:pPr>
        <w:ind w:firstLine="482" w:firstLineChars="200"/>
      </w:pPr>
      <w:r>
        <w:rPr>
          <w:b/>
          <w:bCs/>
        </w:rPr>
        <w:t xml:space="preserve">4 </w:t>
      </w:r>
      <w:r>
        <w:t>在掘进时，应加强地面变形</w:t>
      </w:r>
      <w:r>
        <w:rPr>
          <w:rFonts w:hint="eastAsia"/>
        </w:rPr>
        <w:t>监</w:t>
      </w:r>
      <w:r>
        <w:t>测并做好记录；</w:t>
      </w:r>
    </w:p>
    <w:p>
      <w:pPr>
        <w:ind w:firstLine="482" w:firstLineChars="200"/>
      </w:pPr>
      <w:r>
        <w:rPr>
          <w:b/>
          <w:bCs/>
        </w:rPr>
        <w:t>5</w:t>
      </w:r>
      <w:r>
        <w:t>顶管结束后应采用水泥浆置换减阻泥浆。</w:t>
      </w:r>
    </w:p>
    <w:p>
      <w:pPr>
        <w:ind w:firstLine="480" w:firstLineChars="200"/>
      </w:pPr>
    </w:p>
    <w:p>
      <w:pPr>
        <w:pStyle w:val="3"/>
        <w:rPr>
          <w:rFonts w:eastAsia="黑体" w:cs="Times New Roman"/>
          <w:b w:val="0"/>
        </w:rPr>
      </w:pPr>
      <w:bookmarkStart w:id="563" w:name="_Toc18057080"/>
      <w:bookmarkStart w:id="564" w:name="_Toc22351"/>
      <w:bookmarkStart w:id="565" w:name="_Toc15752"/>
      <w:bookmarkStart w:id="566" w:name="_Toc4541"/>
      <w:bookmarkStart w:id="567" w:name="_Toc60172934"/>
      <w:bookmarkStart w:id="568" w:name="_Toc60173821"/>
      <w:bookmarkStart w:id="569" w:name="_Toc4170"/>
      <w:bookmarkStart w:id="570" w:name="_Toc29488"/>
      <w:bookmarkStart w:id="571" w:name="_Toc47692193"/>
      <w:bookmarkStart w:id="572" w:name="_Toc6945"/>
      <w:bookmarkStart w:id="573" w:name="_Toc9424"/>
      <w:r>
        <w:rPr>
          <w:rFonts w:eastAsia="黑体" w:cs="Times New Roman"/>
        </w:rPr>
        <w:t xml:space="preserve">9.9 </w:t>
      </w:r>
      <w:r>
        <w:rPr>
          <w:rFonts w:eastAsia="黑体" w:cs="Times New Roman"/>
          <w:b w:val="0"/>
        </w:rPr>
        <w:t>顶管机拆解与吊出</w:t>
      </w:r>
      <w:bookmarkEnd w:id="563"/>
      <w:bookmarkEnd w:id="564"/>
      <w:bookmarkEnd w:id="565"/>
      <w:bookmarkEnd w:id="566"/>
      <w:bookmarkEnd w:id="567"/>
      <w:bookmarkEnd w:id="568"/>
      <w:bookmarkEnd w:id="569"/>
      <w:bookmarkEnd w:id="570"/>
      <w:bookmarkEnd w:id="571"/>
      <w:bookmarkEnd w:id="572"/>
      <w:bookmarkEnd w:id="573"/>
    </w:p>
    <w:p>
      <w:r>
        <w:rPr>
          <w:b/>
          <w:bCs/>
        </w:rPr>
        <w:t xml:space="preserve">9.9.1  </w:t>
      </w:r>
      <w:r>
        <w:t>矩形顶管机拆机吊装作业前，应编制详细</w:t>
      </w:r>
      <w:r>
        <w:rPr>
          <w:rFonts w:hint="eastAsia"/>
        </w:rPr>
        <w:t>的</w:t>
      </w:r>
      <w:r>
        <w:t>拆机方案，并应与所有参与拆机、吊装的作业人员做技术交底。</w:t>
      </w:r>
    </w:p>
    <w:p>
      <w:r>
        <w:rPr>
          <w:b/>
          <w:bCs/>
        </w:rPr>
        <w:t xml:space="preserve">9.9.2  </w:t>
      </w:r>
      <w:r>
        <w:t>顶管机拆卸场地及设备准备应符合下列规定：</w:t>
      </w:r>
    </w:p>
    <w:p>
      <w:pPr>
        <w:ind w:firstLine="482" w:firstLineChars="200"/>
      </w:pPr>
      <w:r>
        <w:rPr>
          <w:b/>
          <w:bCs/>
        </w:rPr>
        <w:t>1</w:t>
      </w:r>
      <w:r>
        <w:t>井下作业面应具有足够的作业空间，接收导轨应准确定位并牢靠固定，导轨不得出现错台、错缝、弯曲等现象，接收导轨整体轴线应与矩形顶管机轴线对齐；</w:t>
      </w:r>
    </w:p>
    <w:p>
      <w:pPr>
        <w:ind w:firstLine="482" w:firstLineChars="200"/>
      </w:pPr>
      <w:r>
        <w:rPr>
          <w:b/>
          <w:bCs/>
        </w:rPr>
        <w:t>2</w:t>
      </w:r>
      <w:r>
        <w:t>井上作业面应保证有足够的地基承载力，起吊设备和输送车辆等辅助设备的组装、作业空间应充裕。</w:t>
      </w:r>
    </w:p>
    <w:p>
      <w:r>
        <w:rPr>
          <w:b/>
          <w:bCs/>
        </w:rPr>
        <w:t xml:space="preserve">9.9.3  </w:t>
      </w:r>
      <w:r>
        <w:t>顶管机拆机应符合下列规定：</w:t>
      </w:r>
    </w:p>
    <w:p>
      <w:pPr>
        <w:ind w:firstLine="482" w:firstLineChars="200"/>
      </w:pPr>
      <w:r>
        <w:rPr>
          <w:b/>
          <w:bCs/>
        </w:rPr>
        <w:t>1</w:t>
      </w:r>
      <w:r>
        <w:t>顶管机拆机前应进行清洁，并应对各机械部件及电气、流体、液压管路做好标识；</w:t>
      </w:r>
    </w:p>
    <w:p>
      <w:pPr>
        <w:ind w:firstLine="482" w:firstLineChars="200"/>
      </w:pPr>
      <w:r>
        <w:rPr>
          <w:b/>
          <w:bCs/>
        </w:rPr>
        <w:t>2</w:t>
      </w:r>
      <w:r>
        <w:t>顶管机拆机应遵循由前向后、先上后下、先机械后液压电气的原则；</w:t>
      </w:r>
    </w:p>
    <w:p>
      <w:pPr>
        <w:ind w:firstLine="482" w:firstLineChars="200"/>
      </w:pPr>
      <w:r>
        <w:rPr>
          <w:b/>
          <w:bCs/>
        </w:rPr>
        <w:t>3</w:t>
      </w:r>
      <w:r>
        <w:t>拆除刀盘、螺旋</w:t>
      </w:r>
      <w:r>
        <w:rPr>
          <w:rFonts w:hint="eastAsia"/>
        </w:rPr>
        <w:t>出土</w:t>
      </w:r>
      <w:r>
        <w:t>机等系统后，顶管机各连接部位应清洁干净并涂抹防锈油；</w:t>
      </w:r>
    </w:p>
    <w:p>
      <w:pPr>
        <w:ind w:firstLine="482" w:firstLineChars="200"/>
      </w:pPr>
      <w:r>
        <w:rPr>
          <w:b/>
          <w:bCs/>
        </w:rPr>
        <w:t>4</w:t>
      </w:r>
      <w:r>
        <w:t>液压系统拆卸前应确定液压系统处于无压状态，拆除过程中应保持液压元器件周边的清洁；</w:t>
      </w:r>
    </w:p>
    <w:p>
      <w:pPr>
        <w:ind w:firstLine="482" w:firstLineChars="200"/>
      </w:pPr>
      <w:r>
        <w:rPr>
          <w:b/>
          <w:bCs/>
        </w:rPr>
        <w:t xml:space="preserve">5 </w:t>
      </w:r>
      <w:r>
        <w:t>拆除电气系统前，应确认电源已关闭，并应安排专人</w:t>
      </w:r>
      <w:r>
        <w:rPr>
          <w:rFonts w:hint="eastAsia"/>
        </w:rPr>
        <w:t>看护</w:t>
      </w:r>
      <w:r>
        <w:t>。</w:t>
      </w:r>
    </w:p>
    <w:p>
      <w:r>
        <w:rPr>
          <w:b/>
          <w:bCs/>
        </w:rPr>
        <w:t xml:space="preserve">9.9.4  </w:t>
      </w:r>
      <w:r>
        <w:t>各部件起吊前，应对起吊装置检查、安装，临时焊接的吊耳应按设计要求对焊缝进行探伤。</w:t>
      </w:r>
    </w:p>
    <w:p>
      <w:r>
        <w:rPr>
          <w:b/>
          <w:bCs/>
        </w:rPr>
        <w:t xml:space="preserve">9.9.5  </w:t>
      </w:r>
      <w:r>
        <w:t>矩形顶管机拆解与吊出应符合下列规定：</w:t>
      </w:r>
    </w:p>
    <w:p>
      <w:pPr>
        <w:ind w:firstLine="482" w:firstLineChars="200"/>
      </w:pPr>
      <w:r>
        <w:rPr>
          <w:b/>
          <w:bCs/>
        </w:rPr>
        <w:t>1</w:t>
      </w:r>
      <w:r>
        <w:t>矩形顶管机到达接收井后进行顶管机拆解、吊出的顺序应依次为刀盘、螺旋</w:t>
      </w:r>
      <w:r>
        <w:rPr>
          <w:rFonts w:hint="eastAsia"/>
        </w:rPr>
        <w:t>出土</w:t>
      </w:r>
      <w:r>
        <w:t>机、动力系统、前壳体上分体、前壳体下分体、中后壳体及其他部件；</w:t>
      </w:r>
    </w:p>
    <w:p>
      <w:pPr>
        <w:ind w:firstLine="482" w:firstLineChars="200"/>
      </w:pPr>
      <w:r>
        <w:rPr>
          <w:b/>
          <w:bCs/>
        </w:rPr>
        <w:t>2</w:t>
      </w:r>
      <w:r>
        <w:t>拆解完成后应立即装车，</w:t>
      </w:r>
      <w:r>
        <w:rPr>
          <w:rFonts w:hint="eastAsia"/>
        </w:rPr>
        <w:t>宜</w:t>
      </w:r>
      <w:r>
        <w:t>采用大型液压平板拖车转运，运输前应对运输线路进行实地考察。运输过程中，每个部件均应固定可靠，并应采取安全防护措施；</w:t>
      </w:r>
    </w:p>
    <w:p>
      <w:pPr>
        <w:ind w:firstLine="482" w:firstLineChars="200"/>
        <w:rPr>
          <w:rFonts w:eastAsiaTheme="minorEastAsia"/>
        </w:rPr>
      </w:pPr>
      <w:r>
        <w:rPr>
          <w:rFonts w:eastAsiaTheme="minorEastAsia"/>
          <w:b/>
          <w:bCs/>
        </w:rPr>
        <w:t>3</w:t>
      </w:r>
      <w:r>
        <w:t>顶管机在</w:t>
      </w:r>
      <w:r>
        <w:rPr>
          <w:rFonts w:eastAsiaTheme="minorEastAsia"/>
        </w:rPr>
        <w:t>拆解</w:t>
      </w:r>
      <w:r>
        <w:t>过程中应做好零部件的保护性措施</w:t>
      </w:r>
      <w:r>
        <w:rPr>
          <w:rFonts w:eastAsiaTheme="minorEastAsia"/>
        </w:rPr>
        <w:t>，</w:t>
      </w:r>
      <w:r>
        <w:t>拆除完成后应做好防腐防潮措施</w:t>
      </w:r>
      <w:r>
        <w:rPr>
          <w:rFonts w:eastAsiaTheme="minorEastAsia"/>
        </w:rPr>
        <w:t>。</w:t>
      </w:r>
    </w:p>
    <w:p>
      <w:pPr>
        <w:ind w:firstLine="480" w:firstLineChars="200"/>
        <w:rPr>
          <w:rFonts w:eastAsiaTheme="minorEastAsia"/>
        </w:rPr>
      </w:pPr>
    </w:p>
    <w:p>
      <w:pPr>
        <w:pStyle w:val="3"/>
        <w:rPr>
          <w:rFonts w:eastAsia="黑体" w:cs="Times New Roman"/>
          <w:b w:val="0"/>
        </w:rPr>
      </w:pPr>
      <w:bookmarkStart w:id="574" w:name="_Toc60173822"/>
      <w:bookmarkStart w:id="575" w:name="_Toc10778"/>
      <w:bookmarkStart w:id="576" w:name="_Toc60172935"/>
      <w:bookmarkStart w:id="577" w:name="_Toc25006"/>
      <w:bookmarkStart w:id="578" w:name="_Toc17374"/>
      <w:bookmarkStart w:id="579" w:name="_Toc12028"/>
      <w:bookmarkStart w:id="580" w:name="_Toc18057081"/>
      <w:bookmarkStart w:id="581" w:name="_Toc25609"/>
      <w:bookmarkStart w:id="582" w:name="_Toc47692194"/>
      <w:bookmarkStart w:id="583" w:name="_Toc15246"/>
      <w:bookmarkStart w:id="584" w:name="_Toc29634"/>
      <w:r>
        <w:rPr>
          <w:rFonts w:eastAsia="黑体" w:cs="Times New Roman"/>
        </w:rPr>
        <w:t>9.10</w:t>
      </w:r>
      <w:r>
        <w:rPr>
          <w:rFonts w:eastAsia="黑体" w:cs="Times New Roman"/>
          <w:b w:val="0"/>
        </w:rPr>
        <w:t>质量控制</w:t>
      </w:r>
      <w:bookmarkEnd w:id="574"/>
      <w:bookmarkEnd w:id="575"/>
      <w:bookmarkEnd w:id="576"/>
      <w:bookmarkEnd w:id="577"/>
      <w:bookmarkEnd w:id="578"/>
      <w:bookmarkEnd w:id="579"/>
      <w:bookmarkEnd w:id="580"/>
      <w:bookmarkEnd w:id="581"/>
      <w:bookmarkEnd w:id="582"/>
      <w:bookmarkEnd w:id="583"/>
      <w:bookmarkEnd w:id="584"/>
    </w:p>
    <w:p>
      <w:pPr>
        <w:jc w:val="center"/>
        <w:rPr>
          <w:rFonts w:eastAsia="仿宋"/>
          <w:b/>
          <w:bCs/>
        </w:rPr>
      </w:pPr>
      <w:r>
        <w:rPr>
          <w:rFonts w:eastAsia="仿宋"/>
          <w:b/>
          <w:bCs/>
        </w:rPr>
        <w:t>Ⅰ  主控项目</w:t>
      </w:r>
    </w:p>
    <w:p>
      <w:pPr>
        <w:rPr>
          <w:bCs/>
        </w:rPr>
      </w:pPr>
      <w:r>
        <w:rPr>
          <w:b/>
          <w:bCs/>
        </w:rPr>
        <w:t>9.10.1</w:t>
      </w:r>
      <w:r>
        <w:rPr>
          <w:bCs/>
        </w:rPr>
        <w:t>管节及附件等工程材料的产品质量应符合设计文件和本规程第6章的有关规定。</w:t>
      </w:r>
    </w:p>
    <w:p>
      <w:pPr>
        <w:ind w:firstLine="480" w:firstLineChars="200"/>
        <w:rPr>
          <w:bCs/>
        </w:rPr>
      </w:pPr>
      <w:r>
        <w:rPr>
          <w:rFonts w:hint="eastAsia"/>
          <w:bCs/>
        </w:rPr>
        <w:t>检验</w:t>
      </w:r>
      <w:r>
        <w:rPr>
          <w:bCs/>
        </w:rPr>
        <w:t>方法：检查产品质量合格证明书、各项性能</w:t>
      </w:r>
      <w:r>
        <w:rPr>
          <w:rFonts w:hint="eastAsia"/>
          <w:bCs/>
        </w:rPr>
        <w:t>的</w:t>
      </w:r>
      <w:r>
        <w:rPr>
          <w:bCs/>
        </w:rPr>
        <w:t>检验报告，检查产品制造原材料质量保证资料；检查产品进场验收记录。</w:t>
      </w:r>
    </w:p>
    <w:p>
      <w:pPr>
        <w:ind w:firstLine="480" w:firstLineChars="200"/>
        <w:rPr>
          <w:bCs/>
        </w:rPr>
      </w:pPr>
      <w:r>
        <w:rPr>
          <w:bCs/>
        </w:rPr>
        <w:t>检查数量：全数检查。</w:t>
      </w:r>
    </w:p>
    <w:p>
      <w:pPr>
        <w:rPr>
          <w:bCs/>
        </w:rPr>
      </w:pPr>
      <w:r>
        <w:rPr>
          <w:b/>
        </w:rPr>
        <w:t xml:space="preserve">9.10.2 </w:t>
      </w:r>
      <w:r>
        <w:rPr>
          <w:bCs/>
        </w:rPr>
        <w:t>接口橡胶圈安装位置应正确，不得有位移、脱落现象；</w:t>
      </w:r>
    </w:p>
    <w:p>
      <w:pPr>
        <w:ind w:firstLine="480" w:firstLineChars="200"/>
        <w:rPr>
          <w:bCs/>
        </w:rPr>
      </w:pPr>
      <w:r>
        <w:rPr>
          <w:rFonts w:hint="eastAsia"/>
          <w:bCs/>
        </w:rPr>
        <w:t>检验</w:t>
      </w:r>
      <w:r>
        <w:rPr>
          <w:bCs/>
        </w:rPr>
        <w:t>方法：逐个接口观察。</w:t>
      </w:r>
    </w:p>
    <w:p>
      <w:pPr>
        <w:ind w:firstLine="480" w:firstLineChars="200"/>
        <w:rPr>
          <w:bCs/>
        </w:rPr>
      </w:pPr>
      <w:r>
        <w:rPr>
          <w:bCs/>
        </w:rPr>
        <w:t>检查数量：全数检查。</w:t>
      </w:r>
    </w:p>
    <w:p>
      <w:pPr>
        <w:rPr>
          <w:bCs/>
        </w:rPr>
      </w:pPr>
      <w:r>
        <w:rPr>
          <w:b/>
        </w:rPr>
        <w:t xml:space="preserve">9.10.3  </w:t>
      </w:r>
      <w:r>
        <w:rPr>
          <w:bCs/>
        </w:rPr>
        <w:t>管节及接口应无破损、无裂缝；</w:t>
      </w:r>
    </w:p>
    <w:p>
      <w:pPr>
        <w:ind w:firstLine="480" w:firstLineChars="200"/>
        <w:rPr>
          <w:bCs/>
        </w:rPr>
      </w:pPr>
      <w:r>
        <w:rPr>
          <w:rFonts w:hint="eastAsia"/>
          <w:bCs/>
        </w:rPr>
        <w:t>检验</w:t>
      </w:r>
      <w:r>
        <w:rPr>
          <w:bCs/>
        </w:rPr>
        <w:t>方法：逐节观察。</w:t>
      </w:r>
    </w:p>
    <w:p>
      <w:pPr>
        <w:ind w:firstLine="480" w:firstLineChars="200"/>
        <w:rPr>
          <w:bCs/>
        </w:rPr>
      </w:pPr>
      <w:r>
        <w:rPr>
          <w:bCs/>
        </w:rPr>
        <w:t>检查数量：全数检查。</w:t>
      </w:r>
    </w:p>
    <w:p>
      <w:pPr>
        <w:rPr>
          <w:bCs/>
        </w:rPr>
      </w:pPr>
      <w:r>
        <w:rPr>
          <w:b/>
        </w:rPr>
        <w:t>9.10.4</w:t>
      </w:r>
      <w:r>
        <w:rPr>
          <w:bCs/>
        </w:rPr>
        <w:t>矩形顶管的隧道应无水珠、滴漏、线流</w:t>
      </w:r>
      <w:r>
        <w:rPr>
          <w:rFonts w:hint="eastAsia"/>
          <w:bCs/>
        </w:rPr>
        <w:t>等明显渗水现象</w:t>
      </w:r>
      <w:r>
        <w:rPr>
          <w:bCs/>
        </w:rPr>
        <w:t>。</w:t>
      </w:r>
    </w:p>
    <w:p>
      <w:pPr>
        <w:ind w:firstLine="480" w:firstLineChars="200"/>
        <w:rPr>
          <w:bCs/>
        </w:rPr>
      </w:pPr>
      <w:r>
        <w:rPr>
          <w:rFonts w:hint="eastAsia"/>
          <w:bCs/>
        </w:rPr>
        <w:t>检验</w:t>
      </w:r>
      <w:r>
        <w:rPr>
          <w:bCs/>
        </w:rPr>
        <w:t>方法：逐节观察，按本规程表7.3.4执行。</w:t>
      </w:r>
    </w:p>
    <w:p>
      <w:pPr>
        <w:ind w:firstLine="480" w:firstLineChars="200"/>
        <w:rPr>
          <w:bCs/>
        </w:rPr>
      </w:pPr>
      <w:r>
        <w:rPr>
          <w:bCs/>
        </w:rPr>
        <w:t>检查数量：全数检查。</w:t>
      </w:r>
    </w:p>
    <w:p>
      <w:pPr>
        <w:jc w:val="center"/>
        <w:rPr>
          <w:rFonts w:eastAsia="仿宋"/>
          <w:b/>
          <w:bCs/>
        </w:rPr>
      </w:pPr>
      <w:r>
        <w:rPr>
          <w:rFonts w:eastAsia="仿宋"/>
          <w:b/>
          <w:bCs/>
        </w:rPr>
        <w:t>Ⅱ  一般项目</w:t>
      </w:r>
    </w:p>
    <w:p>
      <w:pPr>
        <w:snapToGrid w:val="0"/>
        <w:rPr>
          <w:bCs/>
        </w:rPr>
      </w:pPr>
      <w:r>
        <w:rPr>
          <w:b/>
        </w:rPr>
        <w:t>9.10.</w:t>
      </w:r>
      <w:r>
        <w:rPr>
          <w:rFonts w:hint="eastAsia"/>
          <w:b/>
        </w:rPr>
        <w:t>5</w:t>
      </w:r>
      <w:r>
        <w:rPr>
          <w:bCs/>
        </w:rPr>
        <w:t>管节接口允许偏差应符合表9.10.</w:t>
      </w:r>
      <w:r>
        <w:rPr>
          <w:rFonts w:hint="eastAsia"/>
          <w:bCs/>
        </w:rPr>
        <w:t>5</w:t>
      </w:r>
      <w:r>
        <w:rPr>
          <w:bCs/>
        </w:rPr>
        <w:t>的规定。</w:t>
      </w:r>
    </w:p>
    <w:p>
      <w:pPr>
        <w:snapToGrid w:val="0"/>
        <w:ind w:firstLine="480" w:firstLineChars="200"/>
        <w:rPr>
          <w:bCs/>
        </w:rPr>
      </w:pPr>
      <w:r>
        <w:rPr>
          <w:rFonts w:hint="eastAsia"/>
          <w:bCs/>
        </w:rPr>
        <w:t>检验</w:t>
      </w:r>
      <w:r>
        <w:rPr>
          <w:bCs/>
        </w:rPr>
        <w:t>方法：量测。</w:t>
      </w:r>
    </w:p>
    <w:p>
      <w:pPr>
        <w:snapToGrid w:val="0"/>
        <w:ind w:firstLine="480" w:firstLineChars="200"/>
        <w:rPr>
          <w:bCs/>
        </w:rPr>
      </w:pPr>
      <w:r>
        <w:rPr>
          <w:bCs/>
        </w:rPr>
        <w:t>检查数量：全数检查。</w:t>
      </w:r>
    </w:p>
    <w:p>
      <w:pPr>
        <w:ind w:firstLine="539"/>
        <w:jc w:val="center"/>
        <w:rPr>
          <w:rFonts w:eastAsiaTheme="minorEastAsia"/>
          <w:b/>
          <w:bCs/>
        </w:rPr>
      </w:pPr>
      <w:r>
        <w:rPr>
          <w:rFonts w:eastAsiaTheme="minorEastAsia"/>
          <w:b/>
          <w:bCs/>
          <w:sz w:val="21"/>
          <w:szCs w:val="18"/>
        </w:rPr>
        <w:t>表9.10.</w:t>
      </w:r>
      <w:r>
        <w:rPr>
          <w:rFonts w:hint="eastAsia" w:eastAsiaTheme="minorEastAsia"/>
          <w:b/>
          <w:bCs/>
          <w:sz w:val="21"/>
          <w:szCs w:val="18"/>
        </w:rPr>
        <w:t>5管节</w:t>
      </w:r>
      <w:r>
        <w:rPr>
          <w:rFonts w:eastAsiaTheme="minorEastAsia"/>
          <w:b/>
          <w:bCs/>
          <w:sz w:val="21"/>
          <w:szCs w:val="18"/>
        </w:rPr>
        <w:t>接口允许偏差（mm）</w:t>
      </w:r>
    </w:p>
    <w:tbl>
      <w:tblPr>
        <w:tblStyle w:val="47"/>
        <w:tblW w:w="720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0"/>
        <w:gridCol w:w="1559"/>
        <w:gridCol w:w="35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3649" w:type="dxa"/>
            <w:gridSpan w:val="2"/>
            <w:vAlign w:val="center"/>
          </w:tcPr>
          <w:p>
            <w:pPr>
              <w:spacing w:line="240" w:lineRule="auto"/>
              <w:jc w:val="center"/>
              <w:rPr>
                <w:sz w:val="21"/>
              </w:rPr>
            </w:pPr>
            <w:r>
              <w:rPr>
                <w:sz w:val="21"/>
              </w:rPr>
              <w:t>项目</w:t>
            </w:r>
          </w:p>
        </w:tc>
        <w:tc>
          <w:tcPr>
            <w:tcW w:w="3557" w:type="dxa"/>
            <w:vAlign w:val="center"/>
          </w:tcPr>
          <w:p>
            <w:pPr>
              <w:spacing w:line="240" w:lineRule="auto"/>
              <w:jc w:val="center"/>
              <w:rPr>
                <w:sz w:val="21"/>
              </w:rPr>
            </w:pPr>
            <w:r>
              <w:rPr>
                <w:sz w:val="21"/>
              </w:rPr>
              <w:t>允许偏差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090" w:type="dxa"/>
            <w:vMerge w:val="restart"/>
            <w:vAlign w:val="center"/>
          </w:tcPr>
          <w:p>
            <w:pPr>
              <w:spacing w:line="240" w:lineRule="auto"/>
              <w:jc w:val="center"/>
              <w:rPr>
                <w:sz w:val="21"/>
              </w:rPr>
            </w:pPr>
            <w:r>
              <w:rPr>
                <w:sz w:val="21"/>
              </w:rPr>
              <w:t>相邻管间错口</w:t>
            </w:r>
          </w:p>
        </w:tc>
        <w:tc>
          <w:tcPr>
            <w:tcW w:w="1559" w:type="dxa"/>
            <w:vAlign w:val="center"/>
          </w:tcPr>
          <w:p>
            <w:pPr>
              <w:widowControl/>
              <w:spacing w:line="240" w:lineRule="auto"/>
              <w:jc w:val="center"/>
              <w:rPr>
                <w:sz w:val="21"/>
              </w:rPr>
            </w:pPr>
            <w:r>
              <w:rPr>
                <w:sz w:val="21"/>
              </w:rPr>
              <w:t>上下错口</w:t>
            </w:r>
          </w:p>
        </w:tc>
        <w:tc>
          <w:tcPr>
            <w:tcW w:w="3557" w:type="dxa"/>
            <w:vAlign w:val="center"/>
          </w:tcPr>
          <w:p>
            <w:pPr>
              <w:spacing w:line="240" w:lineRule="auto"/>
              <w:jc w:val="center"/>
              <w:rPr>
                <w:sz w:val="21"/>
              </w:rPr>
            </w:pPr>
            <w:r>
              <w:rPr>
                <w:sz w:val="21"/>
              </w:rPr>
              <w:t>0.5%H，且≤10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jc w:val="center"/>
        </w:trPr>
        <w:tc>
          <w:tcPr>
            <w:tcW w:w="2090" w:type="dxa"/>
            <w:vMerge w:val="continue"/>
            <w:vAlign w:val="center"/>
          </w:tcPr>
          <w:p>
            <w:pPr>
              <w:spacing w:line="240" w:lineRule="auto"/>
              <w:jc w:val="center"/>
              <w:rPr>
                <w:sz w:val="21"/>
              </w:rPr>
            </w:pPr>
          </w:p>
        </w:tc>
        <w:tc>
          <w:tcPr>
            <w:tcW w:w="1559" w:type="dxa"/>
            <w:vAlign w:val="center"/>
          </w:tcPr>
          <w:p>
            <w:pPr>
              <w:spacing w:line="240" w:lineRule="auto"/>
              <w:jc w:val="center"/>
              <w:rPr>
                <w:sz w:val="21"/>
              </w:rPr>
            </w:pPr>
            <w:r>
              <w:rPr>
                <w:sz w:val="21"/>
              </w:rPr>
              <w:t>左右错口</w:t>
            </w:r>
          </w:p>
        </w:tc>
        <w:tc>
          <w:tcPr>
            <w:tcW w:w="3557" w:type="dxa"/>
            <w:vAlign w:val="center"/>
          </w:tcPr>
          <w:p>
            <w:pPr>
              <w:spacing w:line="240" w:lineRule="auto"/>
              <w:jc w:val="center"/>
              <w:rPr>
                <w:sz w:val="21"/>
              </w:rPr>
            </w:pPr>
            <w:r>
              <w:rPr>
                <w:sz w:val="21"/>
              </w:rPr>
              <w:t>0.5%B，且≤20</w:t>
            </w:r>
          </w:p>
        </w:tc>
      </w:tr>
    </w:tbl>
    <w:p>
      <w:pPr>
        <w:ind w:firstLine="720" w:firstLineChars="400"/>
        <w:rPr>
          <w:sz w:val="18"/>
          <w:szCs w:val="20"/>
        </w:rPr>
      </w:pPr>
      <w:r>
        <w:rPr>
          <w:sz w:val="18"/>
          <w:szCs w:val="20"/>
        </w:rPr>
        <w:t>注：H为管节高度（mm），B为管节宽度（mm）。</w:t>
      </w:r>
    </w:p>
    <w:p>
      <w:pPr>
        <w:snapToGrid w:val="0"/>
        <w:rPr>
          <w:bCs/>
        </w:rPr>
      </w:pPr>
      <w:r>
        <w:rPr>
          <w:b/>
          <w:bCs/>
        </w:rPr>
        <w:t>9.10.</w:t>
      </w:r>
      <w:r>
        <w:rPr>
          <w:rFonts w:hint="eastAsia"/>
          <w:b/>
          <w:bCs/>
        </w:rPr>
        <w:t>6</w:t>
      </w:r>
      <w:r>
        <w:rPr>
          <w:bCs/>
        </w:rPr>
        <w:t>管节接口嵌缝的质量除应符合现行国家标准《地下防水工程质量验收规范》GB 50208的有关规定外，管节接口嵌缝的厚度</w:t>
      </w:r>
      <w:r>
        <w:rPr>
          <w:rFonts w:hint="eastAsia"/>
          <w:bCs/>
        </w:rPr>
        <w:t>和</w:t>
      </w:r>
      <w:r>
        <w:rPr>
          <w:bCs/>
        </w:rPr>
        <w:t>表面粘结力的允许偏差尚应符合表9.10.</w:t>
      </w:r>
      <w:r>
        <w:rPr>
          <w:rFonts w:hint="eastAsia"/>
          <w:bCs/>
        </w:rPr>
        <w:t>6</w:t>
      </w:r>
      <w:r>
        <w:rPr>
          <w:bCs/>
        </w:rPr>
        <w:t>的规定。</w:t>
      </w:r>
    </w:p>
    <w:p>
      <w:pPr>
        <w:snapToGrid w:val="0"/>
        <w:ind w:firstLine="480" w:firstLineChars="200"/>
      </w:pPr>
      <w:r>
        <w:rPr>
          <w:rFonts w:hint="eastAsia"/>
          <w:bCs/>
        </w:rPr>
        <w:t>检验</w:t>
      </w:r>
      <w:r>
        <w:rPr>
          <w:bCs/>
        </w:rPr>
        <w:t>方法：量测。</w:t>
      </w:r>
    </w:p>
    <w:p>
      <w:pPr>
        <w:snapToGrid w:val="0"/>
        <w:ind w:firstLine="480" w:firstLineChars="200"/>
        <w:rPr>
          <w:bCs/>
        </w:rPr>
      </w:pPr>
      <w:r>
        <w:rPr>
          <w:bCs/>
        </w:rPr>
        <w:t>检查数量：全数检查。</w:t>
      </w:r>
    </w:p>
    <w:p>
      <w:pPr>
        <w:jc w:val="center"/>
        <w:rPr>
          <w:b/>
          <w:bCs/>
          <w:sz w:val="21"/>
          <w:szCs w:val="18"/>
        </w:rPr>
      </w:pPr>
      <w:r>
        <w:rPr>
          <w:b/>
          <w:bCs/>
          <w:sz w:val="21"/>
          <w:szCs w:val="18"/>
        </w:rPr>
        <w:t>表9.10.</w:t>
      </w:r>
      <w:r>
        <w:rPr>
          <w:rFonts w:hint="eastAsia"/>
          <w:b/>
          <w:bCs/>
          <w:sz w:val="21"/>
          <w:szCs w:val="18"/>
        </w:rPr>
        <w:t>6</w:t>
      </w:r>
      <w:r>
        <w:rPr>
          <w:b/>
          <w:bCs/>
          <w:sz w:val="21"/>
          <w:szCs w:val="18"/>
        </w:rPr>
        <w:t>管</w:t>
      </w:r>
      <w:r>
        <w:rPr>
          <w:rFonts w:hint="eastAsia"/>
          <w:b/>
          <w:bCs/>
          <w:sz w:val="21"/>
          <w:szCs w:val="18"/>
        </w:rPr>
        <w:t>节</w:t>
      </w:r>
      <w:r>
        <w:rPr>
          <w:b/>
          <w:bCs/>
          <w:sz w:val="21"/>
          <w:szCs w:val="18"/>
        </w:rPr>
        <w:t>接口嵌缝的</w:t>
      </w:r>
      <w:r>
        <w:rPr>
          <w:rFonts w:hint="eastAsia"/>
          <w:b/>
          <w:bCs/>
          <w:sz w:val="21"/>
          <w:szCs w:val="18"/>
        </w:rPr>
        <w:t>厚度和表面粘结力的</w:t>
      </w:r>
      <w:r>
        <w:rPr>
          <w:b/>
          <w:bCs/>
          <w:sz w:val="21"/>
          <w:szCs w:val="18"/>
        </w:rPr>
        <w:t>允许偏差</w:t>
      </w:r>
    </w:p>
    <w:tbl>
      <w:tblPr>
        <w:tblStyle w:val="47"/>
        <w:tblW w:w="769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4"/>
        <w:gridCol w:w="1770"/>
        <w:gridCol w:w="49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4" w:type="dxa"/>
            <w:vAlign w:val="center"/>
          </w:tcPr>
          <w:p>
            <w:pPr>
              <w:spacing w:line="240" w:lineRule="auto"/>
              <w:jc w:val="center"/>
              <w:rPr>
                <w:sz w:val="21"/>
              </w:rPr>
            </w:pPr>
            <w:r>
              <w:rPr>
                <w:sz w:val="21"/>
              </w:rPr>
              <w:t>序号</w:t>
            </w:r>
          </w:p>
        </w:tc>
        <w:tc>
          <w:tcPr>
            <w:tcW w:w="1770" w:type="dxa"/>
            <w:vAlign w:val="center"/>
          </w:tcPr>
          <w:p>
            <w:pPr>
              <w:spacing w:line="240" w:lineRule="auto"/>
              <w:jc w:val="center"/>
              <w:rPr>
                <w:sz w:val="21"/>
              </w:rPr>
            </w:pPr>
            <w:r>
              <w:rPr>
                <w:sz w:val="21"/>
              </w:rPr>
              <w:t>项目</w:t>
            </w:r>
          </w:p>
        </w:tc>
        <w:tc>
          <w:tcPr>
            <w:tcW w:w="4961" w:type="dxa"/>
            <w:vAlign w:val="center"/>
          </w:tcPr>
          <w:p>
            <w:pPr>
              <w:spacing w:line="240" w:lineRule="auto"/>
              <w:jc w:val="center"/>
              <w:rPr>
                <w:sz w:val="21"/>
              </w:rPr>
            </w:pPr>
            <w:r>
              <w:rPr>
                <w:sz w:val="21"/>
              </w:rPr>
              <w:t>允许偏差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4" w:type="dxa"/>
            <w:vAlign w:val="center"/>
          </w:tcPr>
          <w:p>
            <w:pPr>
              <w:spacing w:line="240" w:lineRule="auto"/>
              <w:jc w:val="center"/>
              <w:rPr>
                <w:kern w:val="0"/>
                <w:sz w:val="21"/>
              </w:rPr>
            </w:pPr>
            <w:r>
              <w:rPr>
                <w:kern w:val="0"/>
                <w:sz w:val="21"/>
              </w:rPr>
              <w:t>1</w:t>
            </w:r>
          </w:p>
        </w:tc>
        <w:tc>
          <w:tcPr>
            <w:tcW w:w="1770" w:type="dxa"/>
            <w:vAlign w:val="center"/>
          </w:tcPr>
          <w:p>
            <w:pPr>
              <w:spacing w:line="240" w:lineRule="auto"/>
              <w:jc w:val="center"/>
              <w:rPr>
                <w:kern w:val="0"/>
                <w:sz w:val="21"/>
              </w:rPr>
            </w:pPr>
            <w:r>
              <w:rPr>
                <w:kern w:val="0"/>
                <w:sz w:val="21"/>
              </w:rPr>
              <w:t>厚度</w:t>
            </w:r>
          </w:p>
        </w:tc>
        <w:tc>
          <w:tcPr>
            <w:tcW w:w="4961" w:type="dxa"/>
            <w:vAlign w:val="center"/>
          </w:tcPr>
          <w:p>
            <w:pPr>
              <w:spacing w:line="240" w:lineRule="auto"/>
              <w:jc w:val="center"/>
              <w:rPr>
                <w:sz w:val="21"/>
              </w:rPr>
            </w:pPr>
            <w:r>
              <w:rPr>
                <w:kern w:val="0"/>
                <w:sz w:val="21"/>
              </w:rPr>
              <w:t>+3mm</w:t>
            </w:r>
          </w:p>
          <w:p>
            <w:pPr>
              <w:spacing w:line="240" w:lineRule="auto"/>
              <w:jc w:val="center"/>
              <w:rPr>
                <w:sz w:val="21"/>
              </w:rPr>
            </w:pPr>
            <w:r>
              <w:rPr>
                <w:sz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4" w:type="dxa"/>
            <w:vAlign w:val="center"/>
          </w:tcPr>
          <w:p>
            <w:pPr>
              <w:spacing w:line="240" w:lineRule="auto"/>
              <w:jc w:val="center"/>
              <w:rPr>
                <w:kern w:val="0"/>
                <w:sz w:val="21"/>
              </w:rPr>
            </w:pPr>
            <w:r>
              <w:rPr>
                <w:kern w:val="0"/>
                <w:sz w:val="21"/>
              </w:rPr>
              <w:t>2</w:t>
            </w:r>
          </w:p>
        </w:tc>
        <w:tc>
          <w:tcPr>
            <w:tcW w:w="1770" w:type="dxa"/>
            <w:vAlign w:val="center"/>
          </w:tcPr>
          <w:p>
            <w:pPr>
              <w:spacing w:line="240" w:lineRule="auto"/>
              <w:jc w:val="center"/>
              <w:rPr>
                <w:kern w:val="0"/>
                <w:sz w:val="21"/>
              </w:rPr>
            </w:pPr>
            <w:r>
              <w:rPr>
                <w:kern w:val="0"/>
                <w:sz w:val="21"/>
              </w:rPr>
              <w:t>与砼表面粘结力</w:t>
            </w:r>
          </w:p>
        </w:tc>
        <w:tc>
          <w:tcPr>
            <w:tcW w:w="4961" w:type="dxa"/>
            <w:vAlign w:val="center"/>
          </w:tcPr>
          <w:p>
            <w:pPr>
              <w:spacing w:line="240" w:lineRule="auto"/>
              <w:rPr>
                <w:kern w:val="0"/>
                <w:sz w:val="21"/>
              </w:rPr>
            </w:pPr>
            <w:r>
              <w:rPr>
                <w:kern w:val="0"/>
                <w:sz w:val="21"/>
              </w:rPr>
              <w:t>将嵌缝密封胶在缝中切断，用手以90°从一端拉起，胶条断裂或粘结剥离有效面积比≥60%为合格</w:t>
            </w:r>
          </w:p>
        </w:tc>
      </w:tr>
    </w:tbl>
    <w:p>
      <w:pPr>
        <w:spacing w:line="240" w:lineRule="auto"/>
        <w:ind w:left="775" w:leftChars="184" w:right="451" w:rightChars="188" w:hanging="333" w:hangingChars="185"/>
        <w:rPr>
          <w:sz w:val="18"/>
          <w:szCs w:val="20"/>
        </w:rPr>
      </w:pPr>
      <w:r>
        <w:rPr>
          <w:bCs/>
          <w:sz w:val="18"/>
          <w:szCs w:val="20"/>
        </w:rPr>
        <w:t>注：</w:t>
      </w:r>
      <w:r>
        <w:rPr>
          <w:sz w:val="18"/>
          <w:szCs w:val="20"/>
        </w:rPr>
        <w:t>粘结剥离有效面积比是指密封胶从槽中拉起时，两侧胶面扯裂面积加砼剥离附着面积之和与两侧总面积之比。</w:t>
      </w:r>
    </w:p>
    <w:p>
      <w:pPr>
        <w:spacing w:line="240" w:lineRule="auto"/>
        <w:ind w:left="830" w:leftChars="184" w:right="451" w:rightChars="188" w:hanging="388" w:hangingChars="185"/>
        <w:rPr>
          <w:sz w:val="21"/>
          <w:szCs w:val="20"/>
        </w:rPr>
      </w:pPr>
    </w:p>
    <w:p>
      <w:pPr>
        <w:rPr>
          <w:bCs/>
        </w:rPr>
      </w:pPr>
      <w:r>
        <w:rPr>
          <w:b/>
          <w:bCs/>
        </w:rPr>
        <w:t>9.10.</w:t>
      </w:r>
      <w:r>
        <w:rPr>
          <w:rFonts w:hint="eastAsia"/>
          <w:b/>
          <w:bCs/>
        </w:rPr>
        <w:t>7</w:t>
      </w:r>
      <w:r>
        <w:rPr>
          <w:bCs/>
        </w:rPr>
        <w:t>矩形顶管的隧道轴线允许偏差应符合表9.10.</w:t>
      </w:r>
      <w:r>
        <w:rPr>
          <w:rFonts w:hint="eastAsia"/>
          <w:bCs/>
        </w:rPr>
        <w:t>7</w:t>
      </w:r>
      <w:r>
        <w:rPr>
          <w:bCs/>
        </w:rPr>
        <w:t>的规定。</w:t>
      </w:r>
    </w:p>
    <w:p>
      <w:pPr>
        <w:ind w:firstLine="480" w:firstLineChars="200"/>
        <w:rPr>
          <w:bCs/>
        </w:rPr>
      </w:pPr>
      <w:r>
        <w:rPr>
          <w:rFonts w:hint="eastAsia"/>
          <w:bCs/>
        </w:rPr>
        <w:t>检验</w:t>
      </w:r>
      <w:r>
        <w:rPr>
          <w:bCs/>
        </w:rPr>
        <w:t>方法：量测。</w:t>
      </w:r>
    </w:p>
    <w:p>
      <w:pPr>
        <w:ind w:firstLine="480" w:firstLineChars="200"/>
        <w:rPr>
          <w:bCs/>
        </w:rPr>
      </w:pPr>
      <w:r>
        <w:rPr>
          <w:bCs/>
        </w:rPr>
        <w:t>检查数量：全数检查，每节1点。</w:t>
      </w:r>
    </w:p>
    <w:p>
      <w:pPr>
        <w:ind w:firstLine="480" w:firstLineChars="200"/>
        <w:rPr>
          <w:bCs/>
        </w:rPr>
      </w:pPr>
    </w:p>
    <w:p>
      <w:pPr>
        <w:ind w:firstLine="480" w:firstLineChars="200"/>
        <w:rPr>
          <w:bCs/>
        </w:rPr>
      </w:pPr>
    </w:p>
    <w:p>
      <w:pPr>
        <w:ind w:firstLine="480" w:firstLineChars="200"/>
        <w:rPr>
          <w:bCs/>
        </w:rPr>
      </w:pPr>
    </w:p>
    <w:p>
      <w:pPr>
        <w:ind w:right="28"/>
        <w:jc w:val="center"/>
        <w:rPr>
          <w:b/>
          <w:bCs/>
          <w:sz w:val="21"/>
          <w:szCs w:val="18"/>
        </w:rPr>
      </w:pPr>
      <w:r>
        <w:rPr>
          <w:b/>
          <w:bCs/>
          <w:sz w:val="21"/>
          <w:szCs w:val="18"/>
        </w:rPr>
        <w:t>表9.10.</w:t>
      </w:r>
      <w:r>
        <w:rPr>
          <w:rFonts w:hint="eastAsia"/>
          <w:b/>
          <w:bCs/>
          <w:sz w:val="21"/>
          <w:szCs w:val="18"/>
        </w:rPr>
        <w:t>7矩形顶管的隧道轴线</w:t>
      </w:r>
      <w:r>
        <w:rPr>
          <w:b/>
          <w:bCs/>
          <w:sz w:val="21"/>
          <w:szCs w:val="18"/>
        </w:rPr>
        <w:t>允许偏差（mm）</w:t>
      </w:r>
    </w:p>
    <w:tbl>
      <w:tblPr>
        <w:tblStyle w:val="47"/>
        <w:tblW w:w="7233"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894"/>
        <w:gridCol w:w="1909"/>
        <w:gridCol w:w="1825"/>
        <w:gridCol w:w="160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894" w:type="dxa"/>
            <w:vAlign w:val="center"/>
          </w:tcPr>
          <w:p>
            <w:pPr>
              <w:spacing w:line="240" w:lineRule="auto"/>
              <w:jc w:val="center"/>
              <w:rPr>
                <w:sz w:val="21"/>
              </w:rPr>
            </w:pPr>
            <w:r>
              <w:rPr>
                <w:sz w:val="21"/>
              </w:rPr>
              <w:t>顶进长度L</w:t>
            </w:r>
          </w:p>
          <w:p>
            <w:pPr>
              <w:spacing w:line="240" w:lineRule="auto"/>
              <w:jc w:val="center"/>
              <w:rPr>
                <w:sz w:val="21"/>
              </w:rPr>
            </w:pPr>
            <w:r>
              <w:rPr>
                <w:sz w:val="21"/>
              </w:rPr>
              <w:t>（m）</w:t>
            </w:r>
          </w:p>
        </w:tc>
        <w:tc>
          <w:tcPr>
            <w:tcW w:w="1909" w:type="dxa"/>
            <w:vAlign w:val="center"/>
          </w:tcPr>
          <w:p>
            <w:pPr>
              <w:spacing w:line="240" w:lineRule="auto"/>
              <w:jc w:val="center"/>
              <w:rPr>
                <w:sz w:val="21"/>
              </w:rPr>
            </w:pPr>
            <w:r>
              <w:rPr>
                <w:sz w:val="21"/>
              </w:rPr>
              <w:t>顶管底面高程</w:t>
            </w:r>
          </w:p>
        </w:tc>
        <w:tc>
          <w:tcPr>
            <w:tcW w:w="1825" w:type="dxa"/>
            <w:vAlign w:val="center"/>
          </w:tcPr>
          <w:p>
            <w:pPr>
              <w:spacing w:line="240" w:lineRule="auto"/>
              <w:jc w:val="center"/>
              <w:rPr>
                <w:sz w:val="21"/>
              </w:rPr>
            </w:pPr>
            <w:r>
              <w:rPr>
                <w:sz w:val="21"/>
              </w:rPr>
              <w:t>平面</w:t>
            </w:r>
          </w:p>
        </w:tc>
        <w:tc>
          <w:tcPr>
            <w:tcW w:w="1605" w:type="dxa"/>
            <w:vAlign w:val="center"/>
          </w:tcPr>
          <w:p>
            <w:pPr>
              <w:spacing w:line="240" w:lineRule="auto"/>
              <w:jc w:val="center"/>
              <w:rPr>
                <w:sz w:val="21"/>
              </w:rPr>
            </w:pPr>
            <w:r>
              <w:rPr>
                <w:sz w:val="21"/>
              </w:rPr>
              <w:t>管节旋转</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894" w:type="dxa"/>
            <w:vAlign w:val="center"/>
          </w:tcPr>
          <w:p>
            <w:pPr>
              <w:spacing w:line="240" w:lineRule="auto"/>
              <w:jc w:val="center"/>
              <w:rPr>
                <w:sz w:val="21"/>
              </w:rPr>
            </w:pPr>
            <w:r>
              <w:rPr>
                <w:sz w:val="21"/>
              </w:rPr>
              <w:t>&lt;100</w:t>
            </w:r>
          </w:p>
        </w:tc>
        <w:tc>
          <w:tcPr>
            <w:tcW w:w="1909" w:type="dxa"/>
            <w:vAlign w:val="center"/>
          </w:tcPr>
          <w:p>
            <w:pPr>
              <w:spacing w:line="240" w:lineRule="auto"/>
              <w:jc w:val="center"/>
              <w:rPr>
                <w:sz w:val="21"/>
              </w:rPr>
            </w:pPr>
            <w:r>
              <w:rPr>
                <w:sz w:val="21"/>
              </w:rPr>
              <w:t>±50</w:t>
            </w:r>
          </w:p>
        </w:tc>
        <w:tc>
          <w:tcPr>
            <w:tcW w:w="1825" w:type="dxa"/>
            <w:vAlign w:val="center"/>
          </w:tcPr>
          <w:p>
            <w:pPr>
              <w:spacing w:line="240" w:lineRule="auto"/>
              <w:jc w:val="center"/>
              <w:rPr>
                <w:sz w:val="21"/>
              </w:rPr>
            </w:pPr>
            <w:r>
              <w:rPr>
                <w:sz w:val="21"/>
              </w:rPr>
              <w:t>±80</w:t>
            </w:r>
          </w:p>
        </w:tc>
        <w:tc>
          <w:tcPr>
            <w:tcW w:w="1605" w:type="dxa"/>
            <w:vAlign w:val="center"/>
          </w:tcPr>
          <w:p>
            <w:pPr>
              <w:spacing w:line="240" w:lineRule="auto"/>
              <w:jc w:val="center"/>
              <w:rPr>
                <w:sz w:val="21"/>
              </w:rPr>
            </w:pPr>
            <w:r>
              <w:rPr>
                <w:sz w:val="21"/>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894" w:type="dxa"/>
            <w:vAlign w:val="center"/>
          </w:tcPr>
          <w:p>
            <w:pPr>
              <w:spacing w:line="240" w:lineRule="auto"/>
              <w:jc w:val="center"/>
              <w:rPr>
                <w:sz w:val="21"/>
              </w:rPr>
            </w:pPr>
            <w:r>
              <w:rPr>
                <w:sz w:val="21"/>
              </w:rPr>
              <w:t>100≤</w:t>
            </w:r>
            <w:r>
              <w:rPr>
                <w:i/>
                <w:sz w:val="21"/>
              </w:rPr>
              <w:t>L</w:t>
            </w:r>
            <w:r>
              <w:rPr>
                <w:sz w:val="21"/>
              </w:rPr>
              <w:t>≤</w:t>
            </w:r>
            <w:r>
              <w:rPr>
                <w:i/>
                <w:sz w:val="21"/>
              </w:rPr>
              <w:t>200</w:t>
            </w:r>
          </w:p>
        </w:tc>
        <w:tc>
          <w:tcPr>
            <w:tcW w:w="1909" w:type="dxa"/>
            <w:vAlign w:val="center"/>
          </w:tcPr>
          <w:p>
            <w:pPr>
              <w:spacing w:line="240" w:lineRule="auto"/>
              <w:jc w:val="center"/>
              <w:rPr>
                <w:sz w:val="21"/>
              </w:rPr>
            </w:pPr>
            <w:r>
              <w:rPr>
                <w:sz w:val="21"/>
              </w:rPr>
              <w:t>±80</w:t>
            </w:r>
          </w:p>
        </w:tc>
        <w:tc>
          <w:tcPr>
            <w:tcW w:w="1825" w:type="dxa"/>
            <w:vAlign w:val="center"/>
          </w:tcPr>
          <w:p>
            <w:pPr>
              <w:spacing w:line="240" w:lineRule="auto"/>
              <w:jc w:val="center"/>
              <w:rPr>
                <w:sz w:val="21"/>
              </w:rPr>
            </w:pPr>
            <w:r>
              <w:rPr>
                <w:sz w:val="21"/>
              </w:rPr>
              <w:t>±100</w:t>
            </w:r>
          </w:p>
        </w:tc>
        <w:tc>
          <w:tcPr>
            <w:tcW w:w="1605" w:type="dxa"/>
            <w:vAlign w:val="center"/>
          </w:tcPr>
          <w:p>
            <w:pPr>
              <w:spacing w:line="240" w:lineRule="auto"/>
              <w:jc w:val="center"/>
              <w:rPr>
                <w:sz w:val="21"/>
              </w:rPr>
            </w:pPr>
            <w:r>
              <w:rPr>
                <w:sz w:val="21"/>
              </w:rPr>
              <w:t>±80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1894" w:type="dxa"/>
            <w:vAlign w:val="center"/>
          </w:tcPr>
          <w:p>
            <w:pPr>
              <w:spacing w:line="240" w:lineRule="auto"/>
              <w:jc w:val="center"/>
              <w:rPr>
                <w:sz w:val="21"/>
              </w:rPr>
            </w:pPr>
            <w:r>
              <w:rPr>
                <w:sz w:val="21"/>
              </w:rPr>
              <w:t>&gt;200</w:t>
            </w:r>
          </w:p>
        </w:tc>
        <w:tc>
          <w:tcPr>
            <w:tcW w:w="1909" w:type="dxa"/>
            <w:vAlign w:val="center"/>
          </w:tcPr>
          <w:p>
            <w:pPr>
              <w:spacing w:line="240" w:lineRule="auto"/>
              <w:jc w:val="center"/>
              <w:rPr>
                <w:sz w:val="21"/>
              </w:rPr>
            </w:pPr>
            <w:r>
              <w:rPr>
                <w:sz w:val="21"/>
              </w:rPr>
              <w:t>±80</w:t>
            </w:r>
          </w:p>
        </w:tc>
        <w:tc>
          <w:tcPr>
            <w:tcW w:w="1825" w:type="dxa"/>
            <w:vAlign w:val="center"/>
          </w:tcPr>
          <w:p>
            <w:pPr>
              <w:spacing w:line="240" w:lineRule="auto"/>
              <w:jc w:val="center"/>
              <w:rPr>
                <w:sz w:val="21"/>
              </w:rPr>
            </w:pPr>
            <w:r>
              <w:rPr>
                <w:sz w:val="21"/>
              </w:rPr>
              <w:t>±150</w:t>
            </w:r>
          </w:p>
        </w:tc>
        <w:tc>
          <w:tcPr>
            <w:tcW w:w="1605" w:type="dxa"/>
            <w:vAlign w:val="center"/>
          </w:tcPr>
          <w:p>
            <w:pPr>
              <w:spacing w:line="240" w:lineRule="auto"/>
              <w:jc w:val="center"/>
              <w:rPr>
                <w:sz w:val="21"/>
              </w:rPr>
            </w:pPr>
            <w:r>
              <w:rPr>
                <w:sz w:val="21"/>
              </w:rPr>
              <w:t>±80</w:t>
            </w:r>
          </w:p>
        </w:tc>
      </w:tr>
    </w:tbl>
    <w:p>
      <w:pPr>
        <w:ind w:firstLine="810" w:firstLineChars="450"/>
        <w:rPr>
          <w:sz w:val="18"/>
          <w:szCs w:val="20"/>
        </w:rPr>
      </w:pPr>
      <w:r>
        <w:rPr>
          <w:sz w:val="18"/>
          <w:szCs w:val="20"/>
        </w:rPr>
        <w:t>注：管节旋转指截面底板顶面中线高程与单侧角点底板顶面高程差。</w:t>
      </w:r>
    </w:p>
    <w:p>
      <w:pPr>
        <w:ind w:firstLine="810" w:firstLineChars="450"/>
        <w:rPr>
          <w:sz w:val="18"/>
          <w:szCs w:val="20"/>
        </w:rPr>
      </w:pPr>
    </w:p>
    <w:p>
      <w:pPr>
        <w:ind w:firstLine="810" w:firstLineChars="450"/>
        <w:rPr>
          <w:sz w:val="18"/>
          <w:szCs w:val="20"/>
        </w:rPr>
      </w:pPr>
    </w:p>
    <w:p/>
    <w:p>
      <w:pPr>
        <w:ind w:firstLine="480" w:firstLineChars="200"/>
      </w:pPr>
    </w:p>
    <w:p>
      <w:pPr>
        <w:ind w:firstLine="480" w:firstLineChars="200"/>
        <w:sectPr>
          <w:pgSz w:w="11850" w:h="16783"/>
          <w:pgMar w:top="1440" w:right="1800" w:bottom="1440" w:left="1800" w:header="720" w:footer="720" w:gutter="0"/>
          <w:cols w:space="720" w:num="1"/>
          <w:docGrid w:linePitch="360" w:charSpace="0"/>
        </w:sectPr>
      </w:pPr>
    </w:p>
    <w:p>
      <w:pPr>
        <w:pStyle w:val="2"/>
        <w:rPr>
          <w:rFonts w:cs="Times New Roman"/>
        </w:rPr>
      </w:pPr>
      <w:bookmarkStart w:id="585" w:name="_Toc60173823"/>
      <w:bookmarkStart w:id="586" w:name="_Toc15632"/>
      <w:bookmarkStart w:id="587" w:name="_Toc7681"/>
      <w:bookmarkStart w:id="588" w:name="_Toc18057082"/>
      <w:bookmarkStart w:id="589" w:name="_Toc24401"/>
      <w:bookmarkStart w:id="590" w:name="_Toc24634"/>
      <w:bookmarkStart w:id="591" w:name="_Toc8022"/>
      <w:bookmarkStart w:id="592" w:name="_Toc60172936"/>
      <w:bookmarkStart w:id="593" w:name="_Toc17171"/>
      <w:bookmarkStart w:id="594" w:name="_Toc47692195"/>
      <w:bookmarkStart w:id="595" w:name="_Toc8345"/>
      <w:r>
        <w:rPr>
          <w:rFonts w:cs="Times New Roman"/>
        </w:rPr>
        <w:t>10  工程验收</w:t>
      </w:r>
      <w:bookmarkEnd w:id="585"/>
      <w:bookmarkEnd w:id="586"/>
      <w:bookmarkEnd w:id="587"/>
      <w:bookmarkEnd w:id="588"/>
      <w:bookmarkEnd w:id="589"/>
      <w:bookmarkEnd w:id="590"/>
      <w:bookmarkEnd w:id="591"/>
      <w:bookmarkEnd w:id="592"/>
      <w:bookmarkEnd w:id="593"/>
      <w:bookmarkEnd w:id="594"/>
      <w:bookmarkEnd w:id="595"/>
    </w:p>
    <w:p>
      <w:r>
        <w:rPr>
          <w:b/>
          <w:bCs/>
        </w:rPr>
        <w:t xml:space="preserve">10.0.1  </w:t>
      </w:r>
      <w:r>
        <w:t>顶管施工前，施工单位应会同建设单位、质监单位、监理单位确认构成建设项目的单位（子单位）工程、分部（子分部）工程、分项工程和检验批，作为施工质量检验、验收的基础。</w:t>
      </w:r>
    </w:p>
    <w:p>
      <w:pPr>
        <w:rPr>
          <w:rFonts w:eastAsiaTheme="minorEastAsia"/>
          <w:szCs w:val="22"/>
        </w:rPr>
      </w:pPr>
      <w:r>
        <w:rPr>
          <w:b/>
          <w:bCs/>
        </w:rPr>
        <w:t xml:space="preserve">10.0.2  </w:t>
      </w:r>
      <w:r>
        <w:t>单位（子单位）工程</w:t>
      </w:r>
      <w:r>
        <w:rPr>
          <w:rFonts w:eastAsiaTheme="minorEastAsia"/>
          <w:szCs w:val="22"/>
        </w:rPr>
        <w:t>、</w:t>
      </w:r>
      <w:r>
        <w:t>分部（子分部）工程</w:t>
      </w:r>
      <w:r>
        <w:rPr>
          <w:rFonts w:eastAsiaTheme="minorEastAsia"/>
          <w:szCs w:val="22"/>
        </w:rPr>
        <w:t>、分项工程和</w:t>
      </w:r>
      <w:r>
        <w:rPr>
          <w:rFonts w:hint="eastAsia" w:eastAsiaTheme="minorEastAsia"/>
          <w:szCs w:val="22"/>
        </w:rPr>
        <w:t>检验批</w:t>
      </w:r>
      <w:r>
        <w:rPr>
          <w:rFonts w:eastAsiaTheme="minorEastAsia"/>
          <w:szCs w:val="22"/>
        </w:rPr>
        <w:t>的划分可按本规程附录A执行。</w:t>
      </w:r>
    </w:p>
    <w:p>
      <w:r>
        <w:rPr>
          <w:b/>
          <w:bCs/>
        </w:rPr>
        <w:t xml:space="preserve">10.0.3 </w:t>
      </w:r>
      <w:r>
        <w:rPr>
          <w:rFonts w:eastAsiaTheme="minorEastAsia"/>
          <w:szCs w:val="22"/>
        </w:rPr>
        <w:t xml:space="preserve"> </w:t>
      </w:r>
      <w:r>
        <w:t>工程施工质量验收应在施工单位自检基础上，</w:t>
      </w:r>
      <w:r>
        <w:rPr>
          <w:rFonts w:hint="eastAsia"/>
        </w:rPr>
        <w:t>按照本规程</w:t>
      </w:r>
      <w:r>
        <w:t>附录B</w:t>
      </w:r>
      <w:r>
        <w:rPr>
          <w:rFonts w:hint="eastAsia"/>
        </w:rPr>
        <w:t>的规定依次填写检验批</w:t>
      </w:r>
      <w:r>
        <w:t>、分项工程、分部（子分部）工程的</w:t>
      </w:r>
      <w:r>
        <w:rPr>
          <w:rFonts w:hint="eastAsia"/>
        </w:rPr>
        <w:t>质量验收记录表，</w:t>
      </w:r>
      <w:r>
        <w:t>并应符合下列规定：</w:t>
      </w:r>
    </w:p>
    <w:p>
      <w:pPr>
        <w:ind w:firstLine="482" w:firstLineChars="200"/>
      </w:pPr>
      <w:r>
        <w:rPr>
          <w:b/>
          <w:bCs/>
        </w:rPr>
        <w:t>1</w:t>
      </w:r>
      <w:r>
        <w:t xml:space="preserve">  工程施工质量</w:t>
      </w:r>
      <w:r>
        <w:rPr>
          <w:rFonts w:hint="eastAsia"/>
        </w:rPr>
        <w:t>验收</w:t>
      </w:r>
      <w:r>
        <w:t>应符合本规程和相关专业验收规程的规定；</w:t>
      </w:r>
    </w:p>
    <w:p>
      <w:pPr>
        <w:ind w:firstLine="482" w:firstLineChars="200"/>
      </w:pPr>
      <w:r>
        <w:rPr>
          <w:b/>
          <w:bCs/>
        </w:rPr>
        <w:t>2</w:t>
      </w:r>
      <w:r>
        <w:t xml:space="preserve">  工程施工质量应满足设计文件的要求；</w:t>
      </w:r>
    </w:p>
    <w:p>
      <w:pPr>
        <w:ind w:firstLine="482" w:firstLineChars="200"/>
      </w:pPr>
      <w:r>
        <w:rPr>
          <w:b/>
          <w:bCs/>
        </w:rPr>
        <w:t>3</w:t>
      </w:r>
      <w:r>
        <w:t xml:space="preserve">  参加工程施工质量验收的各方人员应具备</w:t>
      </w:r>
      <w:r>
        <w:rPr>
          <w:rFonts w:hint="eastAsia"/>
        </w:rPr>
        <w:t>规定</w:t>
      </w:r>
      <w:r>
        <w:t>的资格；</w:t>
      </w:r>
    </w:p>
    <w:p>
      <w:pPr>
        <w:ind w:firstLine="482" w:firstLineChars="200"/>
      </w:pPr>
      <w:r>
        <w:rPr>
          <w:b/>
          <w:bCs/>
        </w:rPr>
        <w:t>4</w:t>
      </w:r>
      <w:r>
        <w:t xml:space="preserve">  工程施工质量验收应在施工单位自检合格的基础上进行；</w:t>
      </w:r>
    </w:p>
    <w:p>
      <w:pPr>
        <w:ind w:firstLine="482" w:firstLineChars="200"/>
      </w:pPr>
      <w:r>
        <w:rPr>
          <w:b/>
          <w:bCs/>
        </w:rPr>
        <w:t xml:space="preserve">5 </w:t>
      </w:r>
      <w:r>
        <w:t xml:space="preserve"> 隐蔽工程在隐蔽前应由施工单位通知监理等单位进行验收，并形成验收文件；</w:t>
      </w:r>
    </w:p>
    <w:p>
      <w:pPr>
        <w:ind w:firstLine="482" w:firstLineChars="200"/>
      </w:pPr>
      <w:r>
        <w:rPr>
          <w:b/>
          <w:bCs/>
        </w:rPr>
        <w:t>6</w:t>
      </w:r>
      <w:r>
        <w:t xml:space="preserve">  涉及结构安全和使用功能的试块、试件和现场检测项目，应进行平行检测或见证取样检测；</w:t>
      </w:r>
    </w:p>
    <w:p>
      <w:pPr>
        <w:ind w:firstLine="482" w:firstLineChars="200"/>
      </w:pPr>
      <w:r>
        <w:rPr>
          <w:b/>
          <w:bCs/>
        </w:rPr>
        <w:t>7</w:t>
      </w:r>
      <w:r>
        <w:t xml:space="preserve">  </w:t>
      </w:r>
      <w:r>
        <w:rPr>
          <w:rFonts w:hint="eastAsia"/>
        </w:rPr>
        <w:t>检验批</w:t>
      </w:r>
      <w:r>
        <w:t>的质量应按主控项目和一般项目进行验收；每个检查项目的检查数量，除本规程有关条款有明确规定外，应全数检查；</w:t>
      </w:r>
    </w:p>
    <w:p>
      <w:pPr>
        <w:ind w:firstLine="482" w:firstLineChars="200"/>
      </w:pPr>
      <w:r>
        <w:rPr>
          <w:b/>
          <w:bCs/>
        </w:rPr>
        <w:t>8</w:t>
      </w:r>
      <w:r>
        <w:t xml:space="preserve">  对涉及结构安全和使用功能的分部工程应进行试验或检测；</w:t>
      </w:r>
    </w:p>
    <w:p>
      <w:pPr>
        <w:ind w:firstLine="482" w:firstLineChars="200"/>
      </w:pPr>
      <w:r>
        <w:rPr>
          <w:b/>
          <w:bCs/>
        </w:rPr>
        <w:t>9</w:t>
      </w:r>
      <w:r>
        <w:t xml:space="preserve">  外观质量应由质量验收人员通过现场检查共同确认。</w:t>
      </w:r>
    </w:p>
    <w:p>
      <w:r>
        <w:rPr>
          <w:b/>
          <w:bCs/>
        </w:rPr>
        <w:t xml:space="preserve">10.0.4  </w:t>
      </w:r>
      <w:r>
        <w:rPr>
          <w:rFonts w:hint="eastAsia"/>
        </w:rPr>
        <w:t>检验批</w:t>
      </w:r>
      <w:r>
        <w:t>质量验收合格应符合下列规定：</w:t>
      </w:r>
    </w:p>
    <w:p>
      <w:pPr>
        <w:ind w:firstLine="482" w:firstLineChars="200"/>
      </w:pPr>
      <w:r>
        <w:rPr>
          <w:b/>
          <w:bCs/>
        </w:rPr>
        <w:t>1</w:t>
      </w:r>
      <w:r>
        <w:t xml:space="preserve">  主控项目的质量</w:t>
      </w:r>
      <w:r>
        <w:rPr>
          <w:rFonts w:hint="eastAsia"/>
        </w:rPr>
        <w:t>应</w:t>
      </w:r>
      <w:r>
        <w:t>经抽样检验合格；</w:t>
      </w:r>
    </w:p>
    <w:p>
      <w:pPr>
        <w:ind w:firstLine="482" w:firstLineChars="200"/>
      </w:pPr>
      <w:r>
        <w:rPr>
          <w:b/>
          <w:bCs/>
        </w:rPr>
        <w:t>2</w:t>
      </w:r>
      <w:r>
        <w:t xml:space="preserve">  一般项目中的允许偏差实测项目</w:t>
      </w:r>
      <w:r>
        <w:rPr>
          <w:rFonts w:hint="eastAsia"/>
        </w:rPr>
        <w:t>，</w:t>
      </w:r>
      <w:r>
        <w:t>抽样检验的合格率应达到80％</w:t>
      </w:r>
      <w:r>
        <w:rPr>
          <w:rFonts w:hint="eastAsia"/>
        </w:rPr>
        <w:t>及以上</w:t>
      </w:r>
      <w:r>
        <w:t>，且</w:t>
      </w:r>
      <w:r>
        <w:rPr>
          <w:rFonts w:hint="eastAsia"/>
        </w:rPr>
        <w:t>抽查</w:t>
      </w:r>
      <w:r>
        <w:t>点的最大偏差值应在允许偏差值的1.5倍范围内；</w:t>
      </w:r>
    </w:p>
    <w:p>
      <w:pPr>
        <w:ind w:firstLine="482" w:firstLineChars="200"/>
      </w:pPr>
      <w:r>
        <w:rPr>
          <w:b/>
          <w:bCs/>
        </w:rPr>
        <w:t>3</w:t>
      </w:r>
      <w:r>
        <w:t xml:space="preserve">  主要工程材料的进场验收和复验应合格，试块、试件检验应合格；</w:t>
      </w:r>
    </w:p>
    <w:p>
      <w:pPr>
        <w:ind w:firstLine="482" w:firstLineChars="200"/>
      </w:pPr>
      <w:r>
        <w:rPr>
          <w:b/>
          <w:bCs/>
        </w:rPr>
        <w:t>4</w:t>
      </w:r>
      <w:r>
        <w:t xml:space="preserve">  主要工程材料的质量保证资料及试验检测资料应齐全、正确，并应具有完整的施工操作依据和质量检查记录。</w:t>
      </w:r>
    </w:p>
    <w:p>
      <w:r>
        <w:rPr>
          <w:b/>
          <w:bCs/>
        </w:rPr>
        <w:t xml:space="preserve">10.0.5  </w:t>
      </w:r>
      <w:r>
        <w:t>分项工程质量验收合格应符合下列规定：</w:t>
      </w:r>
    </w:p>
    <w:p>
      <w:pPr>
        <w:ind w:firstLine="482" w:firstLineChars="200"/>
      </w:pPr>
      <w:r>
        <w:rPr>
          <w:b/>
          <w:bCs/>
        </w:rPr>
        <w:t>1</w:t>
      </w:r>
      <w:r>
        <w:t xml:space="preserve">  分项工程所含的</w:t>
      </w:r>
      <w:r>
        <w:rPr>
          <w:rFonts w:hint="eastAsia"/>
        </w:rPr>
        <w:t>检验批</w:t>
      </w:r>
      <w:r>
        <w:t>质量验收</w:t>
      </w:r>
      <w:r>
        <w:rPr>
          <w:rFonts w:hint="eastAsia"/>
        </w:rPr>
        <w:t>应</w:t>
      </w:r>
      <w:r>
        <w:t>全部合格；</w:t>
      </w:r>
    </w:p>
    <w:p>
      <w:pPr>
        <w:ind w:firstLine="482" w:firstLineChars="200"/>
      </w:pPr>
      <w:r>
        <w:rPr>
          <w:b/>
          <w:bCs/>
        </w:rPr>
        <w:t xml:space="preserve">2 </w:t>
      </w:r>
      <w:r>
        <w:t xml:space="preserve"> 分项工程所含的</w:t>
      </w:r>
      <w:r>
        <w:rPr>
          <w:rFonts w:hint="eastAsia"/>
        </w:rPr>
        <w:t>检验批</w:t>
      </w:r>
      <w:r>
        <w:t>的质量验收记录应完整、正确；有关质量保证资料和试验检测资料应齐全、正确。</w:t>
      </w:r>
    </w:p>
    <w:p>
      <w:r>
        <w:rPr>
          <w:b/>
          <w:bCs/>
        </w:rPr>
        <w:t>10.0.6</w:t>
      </w:r>
      <w:r>
        <w:t xml:space="preserve">  分部（子分部）工程质量验收合格应符合下列规定：</w:t>
      </w:r>
    </w:p>
    <w:p>
      <w:pPr>
        <w:ind w:firstLine="482" w:firstLineChars="200"/>
      </w:pPr>
      <w:r>
        <w:rPr>
          <w:b/>
          <w:bCs/>
        </w:rPr>
        <w:t>1</w:t>
      </w:r>
      <w:r>
        <w:t xml:space="preserve">  分部（子分部）工程所含分项工程的质量验收</w:t>
      </w:r>
      <w:r>
        <w:rPr>
          <w:rFonts w:hint="eastAsia"/>
        </w:rPr>
        <w:t>应</w:t>
      </w:r>
      <w:r>
        <w:t>全部合格；</w:t>
      </w:r>
    </w:p>
    <w:p>
      <w:pPr>
        <w:ind w:firstLine="482" w:firstLineChars="200"/>
      </w:pPr>
      <w:r>
        <w:rPr>
          <w:b/>
          <w:bCs/>
        </w:rPr>
        <w:t>2</w:t>
      </w:r>
      <w:r>
        <w:t xml:space="preserve">  质量控制资料应完整；</w:t>
      </w:r>
    </w:p>
    <w:p>
      <w:pPr>
        <w:ind w:firstLine="482" w:firstLineChars="200"/>
      </w:pPr>
      <w:r>
        <w:rPr>
          <w:b/>
          <w:bCs/>
        </w:rPr>
        <w:t>3</w:t>
      </w:r>
      <w:r>
        <w:t xml:space="preserve">  分部（子分部）工程中，地基基础处理、桩基础检测、混凝土强度、混凝土抗渗、水压试验、严密性试验、设备安装调试、阴极保护安装测试、回填压实等的检验和抽样检测结果应符合</w:t>
      </w:r>
      <w:r>
        <w:rPr>
          <w:rFonts w:hint="eastAsia"/>
        </w:rPr>
        <w:t>现行行业标准《建筑地基处理技术规范》JGJ 79和</w:t>
      </w:r>
      <w:r>
        <w:t>本规程有关</w:t>
      </w:r>
      <w:r>
        <w:rPr>
          <w:rFonts w:hint="eastAsia"/>
        </w:rPr>
        <w:t>质量控制方面的</w:t>
      </w:r>
      <w:r>
        <w:t>规定；</w:t>
      </w:r>
    </w:p>
    <w:p>
      <w:pPr>
        <w:ind w:firstLine="482" w:firstLineChars="200"/>
      </w:pPr>
      <w:r>
        <w:rPr>
          <w:b/>
          <w:bCs/>
        </w:rPr>
        <w:t>4</w:t>
      </w:r>
      <w:r>
        <w:t xml:space="preserve">  外观质量验收应</w:t>
      </w:r>
      <w:r>
        <w:rPr>
          <w:rFonts w:hint="eastAsia"/>
        </w:rPr>
        <w:t>满足本规程6.7节的有关规定</w:t>
      </w:r>
      <w:r>
        <w:t>。</w:t>
      </w:r>
    </w:p>
    <w:p>
      <w:r>
        <w:rPr>
          <w:b/>
          <w:bCs/>
        </w:rPr>
        <w:t xml:space="preserve">10.0.7  </w:t>
      </w:r>
      <w:r>
        <w:t>单位（子单位）工程质量验收合格应符合下列规定：</w:t>
      </w:r>
    </w:p>
    <w:p>
      <w:pPr>
        <w:ind w:firstLine="482" w:firstLineChars="200"/>
      </w:pPr>
      <w:r>
        <w:rPr>
          <w:b/>
          <w:bCs/>
        </w:rPr>
        <w:t xml:space="preserve">1 </w:t>
      </w:r>
      <w:r>
        <w:t xml:space="preserve"> 单位（子单位）工程所含分部（子分部）工程的质量验收</w:t>
      </w:r>
      <w:r>
        <w:rPr>
          <w:rFonts w:hint="eastAsia"/>
        </w:rPr>
        <w:t>应</w:t>
      </w:r>
      <w:r>
        <w:t>全部合格；</w:t>
      </w:r>
    </w:p>
    <w:p>
      <w:pPr>
        <w:ind w:firstLine="482" w:firstLineChars="200"/>
      </w:pPr>
      <w:r>
        <w:rPr>
          <w:b/>
          <w:bCs/>
        </w:rPr>
        <w:t xml:space="preserve">2 </w:t>
      </w:r>
      <w:r>
        <w:t xml:space="preserve"> 质量控制资料应完整；</w:t>
      </w:r>
    </w:p>
    <w:p>
      <w:pPr>
        <w:ind w:firstLine="482" w:firstLineChars="200"/>
      </w:pPr>
      <w:r>
        <w:rPr>
          <w:b/>
          <w:bCs/>
        </w:rPr>
        <w:t>3</w:t>
      </w:r>
      <w:r>
        <w:t xml:space="preserve">  单位（子单位）工程所含分部（子分部）工程有关安全及使用功能的检测资料应完整；</w:t>
      </w:r>
    </w:p>
    <w:p>
      <w:pPr>
        <w:ind w:firstLine="482" w:firstLineChars="200"/>
      </w:pPr>
      <w:r>
        <w:rPr>
          <w:b/>
          <w:bCs/>
        </w:rPr>
        <w:t xml:space="preserve">4 </w:t>
      </w:r>
      <w:r>
        <w:t xml:space="preserve"> 涉及隧道设备运行、隧道位置及高程等的试验检测、抽查结果以及隧道使用功能试验应符合本规程</w:t>
      </w:r>
      <w:r>
        <w:rPr>
          <w:rFonts w:hint="eastAsia"/>
        </w:rPr>
        <w:t>第9章的有关</w:t>
      </w:r>
      <w:r>
        <w:t>规定；</w:t>
      </w:r>
    </w:p>
    <w:p>
      <w:pPr>
        <w:ind w:firstLine="482" w:firstLineChars="200"/>
      </w:pPr>
      <w:r>
        <w:rPr>
          <w:b/>
          <w:bCs/>
        </w:rPr>
        <w:t>5</w:t>
      </w:r>
      <w:r>
        <w:t xml:space="preserve">  外观质量验收应</w:t>
      </w:r>
      <w:r>
        <w:rPr>
          <w:rFonts w:hint="eastAsia"/>
        </w:rPr>
        <w:t>符合本规程6.7节的有关规定</w:t>
      </w:r>
      <w:r>
        <w:t>。</w:t>
      </w:r>
    </w:p>
    <w:p>
      <w:r>
        <w:rPr>
          <w:b/>
          <w:bCs/>
        </w:rPr>
        <w:t xml:space="preserve">10.0.8  </w:t>
      </w:r>
      <w:r>
        <w:t>工程质量验收不合格时，应按下列规定处理：</w:t>
      </w:r>
    </w:p>
    <w:p>
      <w:pPr>
        <w:ind w:firstLine="482" w:firstLineChars="200"/>
      </w:pPr>
      <w:r>
        <w:rPr>
          <w:b/>
          <w:bCs/>
        </w:rPr>
        <w:t>1</w:t>
      </w:r>
      <w:r>
        <w:t xml:space="preserve">  经返工重做的</w:t>
      </w:r>
      <w:r>
        <w:rPr>
          <w:rFonts w:hint="eastAsia"/>
        </w:rPr>
        <w:t>检验批</w:t>
      </w:r>
      <w:r>
        <w:t>，应重新进行验收；</w:t>
      </w:r>
    </w:p>
    <w:p>
      <w:pPr>
        <w:ind w:firstLine="482" w:firstLineChars="200"/>
      </w:pPr>
      <w:r>
        <w:rPr>
          <w:b/>
          <w:bCs/>
        </w:rPr>
        <w:t>2</w:t>
      </w:r>
      <w:r>
        <w:t xml:space="preserve">  经检测单位检测鉴定能够达到设计要求的</w:t>
      </w:r>
      <w:r>
        <w:rPr>
          <w:rFonts w:hint="eastAsia"/>
        </w:rPr>
        <w:t>检验批</w:t>
      </w:r>
      <w:r>
        <w:t>，应予以验收；</w:t>
      </w:r>
    </w:p>
    <w:p>
      <w:pPr>
        <w:ind w:firstLine="482" w:firstLineChars="200"/>
      </w:pPr>
      <w:r>
        <w:rPr>
          <w:b/>
          <w:bCs/>
        </w:rPr>
        <w:t>3</w:t>
      </w:r>
      <w:r>
        <w:t xml:space="preserve">  经检测单位检测鉴定达不到设计要求，但经原设计单位验算认可，能够满足结构安全和使用功能要求的</w:t>
      </w:r>
      <w:r>
        <w:rPr>
          <w:rFonts w:hint="eastAsia"/>
        </w:rPr>
        <w:t>检验批</w:t>
      </w:r>
      <w:r>
        <w:t>，可予以验收；</w:t>
      </w:r>
    </w:p>
    <w:p>
      <w:pPr>
        <w:ind w:firstLine="482" w:firstLineChars="200"/>
      </w:pPr>
      <w:r>
        <w:rPr>
          <w:b/>
          <w:bCs/>
        </w:rPr>
        <w:t>4</w:t>
      </w:r>
      <w:r>
        <w:t xml:space="preserve">  经返修或加固处理的分项工程、分部（子分部）工程，虽改变外形尺寸但仍能满足结构安全和使用功能要求，可按技术处理方案文件和协商文件进行验收。</w:t>
      </w:r>
    </w:p>
    <w:p>
      <w:r>
        <w:rPr>
          <w:b/>
          <w:bCs/>
        </w:rPr>
        <w:t xml:space="preserve">10.0.9  </w:t>
      </w:r>
      <w:r>
        <w:t>通过返修或加固处理仍不能满足结构安全或使用功能要求的分部（子分部）工程、单位（子单位）工程，严禁验收。</w:t>
      </w:r>
    </w:p>
    <w:p>
      <w:r>
        <w:rPr>
          <w:b/>
          <w:bCs/>
        </w:rPr>
        <w:t>10.0.10</w:t>
      </w:r>
      <w:r>
        <w:t xml:space="preserve">  </w:t>
      </w:r>
      <w:r>
        <w:rPr>
          <w:rFonts w:hint="eastAsia"/>
        </w:rPr>
        <w:t>检验批</w:t>
      </w:r>
      <w:r>
        <w:t>及分项工程应由专业监理工程师组织施工项目的技术负责人或专业质量检查员等进行验收。</w:t>
      </w:r>
    </w:p>
    <w:p>
      <w:r>
        <w:rPr>
          <w:b/>
          <w:bCs/>
        </w:rPr>
        <w:t xml:space="preserve">10.0.11  </w:t>
      </w:r>
      <w:r>
        <w:t>分部（子分部）工程应由专业监理工程师组织施工项目质量负责人、设计和勘察单位工程项目负责人、施工单位技术质量部门负责人等进行验收。</w:t>
      </w:r>
    </w:p>
    <w:p>
      <w:r>
        <w:rPr>
          <w:b/>
          <w:bCs/>
        </w:rPr>
        <w:t xml:space="preserve">10.0.12 </w:t>
      </w:r>
      <w:r>
        <w:t xml:space="preserve"> 单位工程经施工单位自行检验合格后，应由施工单位向建设单位提出验收申请。单位工程</w:t>
      </w:r>
      <w:r>
        <w:rPr>
          <w:rFonts w:hint="eastAsia"/>
        </w:rPr>
        <w:t>由</w:t>
      </w:r>
      <w:r>
        <w:t>分包单位施工时，分包单位应对所承包的工程按本规程的规定进行验收，验收时总承包单位应派人参加；分包工程完成后，应将有关资料移交总承包单位。</w:t>
      </w:r>
    </w:p>
    <w:p>
      <w:r>
        <w:rPr>
          <w:b/>
          <w:bCs/>
        </w:rPr>
        <w:t xml:space="preserve">10.0.13 </w:t>
      </w:r>
      <w:r>
        <w:t xml:space="preserve"> 对符合竣工验收条件的单位工程，应由建设单位组织验收。施工、勘察、设计、监理等单位等有关负责人以及工程的管理或使用单位有关人员应参加验收。</w:t>
      </w:r>
    </w:p>
    <w:p>
      <w:r>
        <w:rPr>
          <w:b/>
          <w:bCs/>
        </w:rPr>
        <w:t xml:space="preserve">10.0.14 </w:t>
      </w:r>
      <w:r>
        <w:t xml:space="preserve"> 参加验收各方对工程质量验收意见不一致时，可由工程所在地建设行政主管部门或工程质量监督机构协调解决。</w:t>
      </w:r>
    </w:p>
    <w:p>
      <w:r>
        <w:rPr>
          <w:b/>
          <w:bCs/>
        </w:rPr>
        <w:t xml:space="preserve">10.0.15  </w:t>
      </w:r>
      <w:r>
        <w:t>单位工程质量验收合格后，建设单位应将竣工验收报告和有关文件，报工程所在地建设行政主管部门备案。</w:t>
      </w:r>
    </w:p>
    <w:p>
      <w:r>
        <w:rPr>
          <w:b/>
          <w:bCs/>
        </w:rPr>
        <w:t xml:space="preserve">10.0.16  </w:t>
      </w:r>
      <w:r>
        <w:t>工程竣工验收后，建设单位应将有关文件和技术资料归档。</w:t>
      </w:r>
    </w:p>
    <w:p>
      <w:r>
        <w:rPr>
          <w:b/>
          <w:bCs/>
        </w:rPr>
        <w:t xml:space="preserve">10.0.17  </w:t>
      </w:r>
      <w:r>
        <w:t>工程应经过竣工验收合格后，方可投入使用。</w:t>
      </w:r>
    </w:p>
    <w:p>
      <w:pPr>
        <w:rPr>
          <w:rFonts w:eastAsiaTheme="minorEastAsia"/>
          <w:szCs w:val="22"/>
        </w:rPr>
        <w:sectPr>
          <w:pgSz w:w="11850" w:h="16783"/>
          <w:pgMar w:top="1440" w:right="1502" w:bottom="1440" w:left="1800" w:header="720" w:footer="720" w:gutter="0"/>
          <w:cols w:space="720" w:num="1"/>
          <w:docGrid w:linePitch="360" w:charSpace="0"/>
        </w:sectPr>
      </w:pPr>
    </w:p>
    <w:p>
      <w:pPr>
        <w:pStyle w:val="2"/>
        <w:rPr>
          <w:rFonts w:cs="Times New Roman"/>
        </w:rPr>
      </w:pPr>
      <w:bookmarkStart w:id="596" w:name="_Toc448396209"/>
      <w:bookmarkStart w:id="597" w:name="_Toc60173824"/>
      <w:bookmarkStart w:id="598" w:name="_Toc60172937"/>
      <w:bookmarkStart w:id="599" w:name="_Toc7748"/>
      <w:bookmarkStart w:id="600" w:name="_Toc15341"/>
      <w:bookmarkStart w:id="601" w:name="_Toc2182"/>
      <w:bookmarkStart w:id="602" w:name="_Toc21653"/>
      <w:bookmarkStart w:id="603" w:name="_Toc47692196"/>
      <w:bookmarkStart w:id="604" w:name="_Toc340513510"/>
      <w:bookmarkStart w:id="605" w:name="_Toc335228796"/>
      <w:bookmarkStart w:id="606" w:name="_Toc303695548"/>
      <w:bookmarkStart w:id="607" w:name="_Toc463446196"/>
      <w:bookmarkStart w:id="608" w:name="_Toc455393095"/>
      <w:r>
        <w:rPr>
          <w:rFonts w:cs="Times New Roman"/>
        </w:rPr>
        <w:t>附录A  矩形顶管分部、分项工程和检验批划分</w:t>
      </w:r>
      <w:bookmarkEnd w:id="596"/>
      <w:r>
        <w:rPr>
          <w:rFonts w:cs="Times New Roman"/>
        </w:rPr>
        <w:t>表</w:t>
      </w:r>
      <w:bookmarkEnd w:id="597"/>
      <w:bookmarkEnd w:id="598"/>
      <w:bookmarkEnd w:id="599"/>
      <w:bookmarkEnd w:id="600"/>
      <w:bookmarkEnd w:id="601"/>
      <w:bookmarkEnd w:id="602"/>
      <w:bookmarkEnd w:id="603"/>
    </w:p>
    <w:p>
      <w:pPr>
        <w:jc w:val="center"/>
        <w:rPr>
          <w:b/>
          <w:sz w:val="21"/>
          <w:szCs w:val="18"/>
        </w:rPr>
      </w:pPr>
      <w:r>
        <w:rPr>
          <w:b/>
          <w:sz w:val="21"/>
          <w:szCs w:val="18"/>
        </w:rPr>
        <w:t>表A  矩形顶管分部、分项工程和检验批划分表</w:t>
      </w:r>
    </w:p>
    <w:tbl>
      <w:tblPr>
        <w:tblStyle w:val="47"/>
        <w:tblW w:w="795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39"/>
        <w:gridCol w:w="2442"/>
        <w:gridCol w:w="2378"/>
        <w:gridCol w:w="17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32" w:hRule="atLeast"/>
          <w:jc w:val="center"/>
        </w:trPr>
        <w:tc>
          <w:tcPr>
            <w:tcW w:w="1339" w:type="dxa"/>
            <w:tcBorders>
              <w:right w:val="single" w:color="auto" w:sz="4" w:space="0"/>
            </w:tcBorders>
            <w:vAlign w:val="center"/>
          </w:tcPr>
          <w:p>
            <w:pPr>
              <w:widowControl/>
              <w:spacing w:line="240" w:lineRule="auto"/>
              <w:jc w:val="center"/>
              <w:rPr>
                <w:sz w:val="21"/>
                <w:szCs w:val="18"/>
              </w:rPr>
            </w:pPr>
            <w:r>
              <w:rPr>
                <w:sz w:val="21"/>
                <w:szCs w:val="18"/>
              </w:rPr>
              <w:t>单位工程</w:t>
            </w:r>
          </w:p>
        </w:tc>
        <w:tc>
          <w:tcPr>
            <w:tcW w:w="2442" w:type="dxa"/>
            <w:tcBorders>
              <w:left w:val="single" w:color="auto" w:sz="4" w:space="0"/>
              <w:right w:val="single" w:color="auto" w:sz="4" w:space="0"/>
            </w:tcBorders>
            <w:vAlign w:val="center"/>
          </w:tcPr>
          <w:p>
            <w:pPr>
              <w:widowControl/>
              <w:spacing w:line="240" w:lineRule="auto"/>
              <w:jc w:val="center"/>
              <w:rPr>
                <w:sz w:val="21"/>
                <w:szCs w:val="18"/>
              </w:rPr>
            </w:pPr>
            <w:r>
              <w:rPr>
                <w:sz w:val="21"/>
                <w:szCs w:val="18"/>
              </w:rPr>
              <w:t>分部工程（子分部工程）</w:t>
            </w:r>
          </w:p>
        </w:tc>
        <w:tc>
          <w:tcPr>
            <w:tcW w:w="2378" w:type="dxa"/>
            <w:tcBorders>
              <w:left w:val="single" w:color="auto" w:sz="4" w:space="0"/>
            </w:tcBorders>
            <w:vAlign w:val="center"/>
          </w:tcPr>
          <w:p>
            <w:pPr>
              <w:spacing w:line="240" w:lineRule="auto"/>
              <w:jc w:val="center"/>
              <w:rPr>
                <w:sz w:val="21"/>
                <w:szCs w:val="18"/>
              </w:rPr>
            </w:pPr>
            <w:r>
              <w:rPr>
                <w:sz w:val="21"/>
                <w:szCs w:val="18"/>
              </w:rPr>
              <w:t>分项工程</w:t>
            </w:r>
          </w:p>
        </w:tc>
        <w:tc>
          <w:tcPr>
            <w:tcW w:w="1798" w:type="dxa"/>
            <w:vAlign w:val="center"/>
          </w:tcPr>
          <w:p>
            <w:pPr>
              <w:spacing w:line="240" w:lineRule="auto"/>
              <w:jc w:val="center"/>
              <w:rPr>
                <w:sz w:val="21"/>
                <w:szCs w:val="18"/>
              </w:rPr>
            </w:pPr>
            <w:r>
              <w:rPr>
                <w:sz w:val="21"/>
                <w:szCs w:val="18"/>
              </w:rPr>
              <w:t>检验批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1339" w:type="dxa"/>
            <w:vMerge w:val="restart"/>
            <w:vAlign w:val="center"/>
          </w:tcPr>
          <w:p>
            <w:pPr>
              <w:spacing w:line="240" w:lineRule="auto"/>
              <w:jc w:val="center"/>
              <w:rPr>
                <w:sz w:val="21"/>
                <w:szCs w:val="18"/>
              </w:rPr>
            </w:pPr>
            <w:r>
              <w:rPr>
                <w:sz w:val="21"/>
                <w:szCs w:val="18"/>
              </w:rPr>
              <w:t>矩形顶管工程</w:t>
            </w:r>
          </w:p>
        </w:tc>
        <w:tc>
          <w:tcPr>
            <w:tcW w:w="2442" w:type="dxa"/>
            <w:vAlign w:val="center"/>
          </w:tcPr>
          <w:p>
            <w:pPr>
              <w:spacing w:line="240" w:lineRule="auto"/>
              <w:jc w:val="center"/>
              <w:rPr>
                <w:sz w:val="21"/>
                <w:szCs w:val="18"/>
              </w:rPr>
            </w:pPr>
            <w:r>
              <w:rPr>
                <w:sz w:val="21"/>
                <w:szCs w:val="18"/>
              </w:rPr>
              <w:t>工作井</w:t>
            </w:r>
          </w:p>
        </w:tc>
        <w:tc>
          <w:tcPr>
            <w:tcW w:w="2378" w:type="dxa"/>
            <w:vAlign w:val="center"/>
          </w:tcPr>
          <w:p>
            <w:pPr>
              <w:spacing w:line="240" w:lineRule="auto"/>
              <w:jc w:val="center"/>
              <w:rPr>
                <w:sz w:val="21"/>
                <w:szCs w:val="18"/>
              </w:rPr>
            </w:pPr>
            <w:r>
              <w:rPr>
                <w:sz w:val="21"/>
                <w:szCs w:val="18"/>
              </w:rPr>
              <w:t>工作井围护结构、工作井</w:t>
            </w:r>
          </w:p>
        </w:tc>
        <w:tc>
          <w:tcPr>
            <w:tcW w:w="1798" w:type="dxa"/>
            <w:vAlign w:val="center"/>
          </w:tcPr>
          <w:p>
            <w:pPr>
              <w:spacing w:line="240" w:lineRule="auto"/>
              <w:jc w:val="center"/>
              <w:rPr>
                <w:sz w:val="21"/>
                <w:szCs w:val="18"/>
              </w:rPr>
            </w:pPr>
            <w:r>
              <w:rPr>
                <w:sz w:val="21"/>
                <w:szCs w:val="18"/>
              </w:rPr>
              <w:t>每座井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1339" w:type="dxa"/>
            <w:vMerge w:val="continue"/>
            <w:vAlign w:val="center"/>
          </w:tcPr>
          <w:p>
            <w:pPr>
              <w:spacing w:line="240" w:lineRule="auto"/>
              <w:jc w:val="center"/>
              <w:rPr>
                <w:sz w:val="21"/>
                <w:szCs w:val="18"/>
              </w:rPr>
            </w:pPr>
          </w:p>
        </w:tc>
        <w:tc>
          <w:tcPr>
            <w:tcW w:w="2442" w:type="dxa"/>
            <w:vAlign w:val="center"/>
          </w:tcPr>
          <w:p>
            <w:pPr>
              <w:spacing w:line="240" w:lineRule="auto"/>
              <w:jc w:val="center"/>
              <w:rPr>
                <w:sz w:val="21"/>
                <w:szCs w:val="18"/>
              </w:rPr>
            </w:pPr>
            <w:r>
              <w:rPr>
                <w:sz w:val="21"/>
                <w:szCs w:val="18"/>
              </w:rPr>
              <w:t>顶管</w:t>
            </w:r>
          </w:p>
        </w:tc>
        <w:tc>
          <w:tcPr>
            <w:tcW w:w="2378" w:type="dxa"/>
            <w:vAlign w:val="center"/>
          </w:tcPr>
          <w:p>
            <w:pPr>
              <w:spacing w:line="240" w:lineRule="auto"/>
              <w:jc w:val="center"/>
              <w:rPr>
                <w:sz w:val="21"/>
                <w:szCs w:val="18"/>
              </w:rPr>
            </w:pPr>
            <w:r>
              <w:rPr>
                <w:sz w:val="21"/>
                <w:szCs w:val="18"/>
              </w:rPr>
              <w:t>管道接口连接、钢筋混凝土管管节</w:t>
            </w:r>
          </w:p>
        </w:tc>
        <w:tc>
          <w:tcPr>
            <w:tcW w:w="1798" w:type="dxa"/>
            <w:vAlign w:val="center"/>
          </w:tcPr>
          <w:p>
            <w:pPr>
              <w:spacing w:line="240" w:lineRule="auto"/>
              <w:jc w:val="center"/>
              <w:rPr>
                <w:sz w:val="21"/>
                <w:szCs w:val="18"/>
              </w:rPr>
            </w:pPr>
            <w:r>
              <w:rPr>
                <w:sz w:val="21"/>
                <w:szCs w:val="18"/>
              </w:rPr>
              <w:t>顶管顶进：每节段；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1339" w:type="dxa"/>
            <w:vMerge w:val="continue"/>
            <w:vAlign w:val="center"/>
          </w:tcPr>
          <w:p>
            <w:pPr>
              <w:spacing w:line="240" w:lineRule="auto"/>
              <w:jc w:val="center"/>
              <w:rPr>
                <w:sz w:val="21"/>
                <w:szCs w:val="18"/>
              </w:rPr>
            </w:pPr>
          </w:p>
        </w:tc>
        <w:tc>
          <w:tcPr>
            <w:tcW w:w="2442" w:type="dxa"/>
            <w:vAlign w:val="center"/>
          </w:tcPr>
          <w:p>
            <w:pPr>
              <w:spacing w:line="240" w:lineRule="auto"/>
              <w:jc w:val="center"/>
              <w:rPr>
                <w:sz w:val="21"/>
                <w:szCs w:val="18"/>
              </w:rPr>
            </w:pPr>
            <w:r>
              <w:rPr>
                <w:sz w:val="21"/>
                <w:szCs w:val="18"/>
              </w:rPr>
              <w:t>混凝土压重工程</w:t>
            </w:r>
          </w:p>
        </w:tc>
        <w:tc>
          <w:tcPr>
            <w:tcW w:w="2378" w:type="dxa"/>
            <w:vAlign w:val="center"/>
          </w:tcPr>
          <w:p>
            <w:pPr>
              <w:spacing w:line="240" w:lineRule="auto"/>
              <w:jc w:val="center"/>
              <w:rPr>
                <w:sz w:val="21"/>
                <w:szCs w:val="18"/>
              </w:rPr>
            </w:pPr>
            <w:r>
              <w:rPr>
                <w:sz w:val="21"/>
                <w:szCs w:val="18"/>
              </w:rPr>
              <w:t>混凝土浇筑</w:t>
            </w:r>
          </w:p>
        </w:tc>
        <w:tc>
          <w:tcPr>
            <w:tcW w:w="1798" w:type="dxa"/>
            <w:vAlign w:val="center"/>
          </w:tcPr>
          <w:p>
            <w:pPr>
              <w:spacing w:line="240" w:lineRule="auto"/>
              <w:jc w:val="center"/>
              <w:rPr>
                <w:sz w:val="21"/>
                <w:szCs w:val="18"/>
              </w:rPr>
            </w:pPr>
            <w:r>
              <w:rPr>
                <w:sz w:val="21"/>
                <w:szCs w:val="18"/>
              </w:rPr>
              <w:t>每一分段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1339" w:type="dxa"/>
            <w:vMerge w:val="continue"/>
            <w:vAlign w:val="center"/>
          </w:tcPr>
          <w:p>
            <w:pPr>
              <w:spacing w:line="240" w:lineRule="auto"/>
              <w:jc w:val="center"/>
              <w:rPr>
                <w:sz w:val="21"/>
                <w:szCs w:val="18"/>
              </w:rPr>
            </w:pPr>
          </w:p>
        </w:tc>
        <w:tc>
          <w:tcPr>
            <w:tcW w:w="2442" w:type="dxa"/>
            <w:vAlign w:val="center"/>
          </w:tcPr>
          <w:p>
            <w:pPr>
              <w:spacing w:line="240" w:lineRule="auto"/>
              <w:jc w:val="center"/>
              <w:rPr>
                <w:sz w:val="21"/>
                <w:szCs w:val="18"/>
              </w:rPr>
            </w:pPr>
            <w:r>
              <w:rPr>
                <w:sz w:val="21"/>
                <w:szCs w:val="18"/>
              </w:rPr>
              <w:t>排水工程</w:t>
            </w:r>
          </w:p>
        </w:tc>
        <w:tc>
          <w:tcPr>
            <w:tcW w:w="2378" w:type="dxa"/>
            <w:vAlign w:val="center"/>
          </w:tcPr>
          <w:p>
            <w:pPr>
              <w:spacing w:line="240" w:lineRule="auto"/>
              <w:jc w:val="center"/>
              <w:rPr>
                <w:sz w:val="21"/>
                <w:szCs w:val="18"/>
              </w:rPr>
            </w:pPr>
            <w:r>
              <w:rPr>
                <w:sz w:val="21"/>
                <w:szCs w:val="18"/>
              </w:rPr>
              <w:t>排水沟渠施工</w:t>
            </w:r>
          </w:p>
        </w:tc>
        <w:tc>
          <w:tcPr>
            <w:tcW w:w="1798" w:type="dxa"/>
            <w:vAlign w:val="center"/>
          </w:tcPr>
          <w:p>
            <w:pPr>
              <w:spacing w:line="240" w:lineRule="auto"/>
              <w:jc w:val="center"/>
              <w:rPr>
                <w:sz w:val="21"/>
                <w:szCs w:val="18"/>
              </w:rPr>
            </w:pPr>
            <w:r>
              <w:rPr>
                <w:sz w:val="21"/>
                <w:szCs w:val="18"/>
              </w:rPr>
              <w:t>每一分段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1339" w:type="dxa"/>
            <w:vMerge w:val="continue"/>
            <w:vAlign w:val="center"/>
          </w:tcPr>
          <w:p>
            <w:pPr>
              <w:spacing w:line="240" w:lineRule="auto"/>
              <w:jc w:val="center"/>
              <w:rPr>
                <w:sz w:val="21"/>
                <w:szCs w:val="18"/>
              </w:rPr>
            </w:pPr>
          </w:p>
        </w:tc>
        <w:tc>
          <w:tcPr>
            <w:tcW w:w="2442" w:type="dxa"/>
            <w:vAlign w:val="center"/>
          </w:tcPr>
          <w:p>
            <w:pPr>
              <w:spacing w:line="240" w:lineRule="auto"/>
              <w:jc w:val="center"/>
              <w:rPr>
                <w:sz w:val="21"/>
                <w:szCs w:val="18"/>
              </w:rPr>
            </w:pPr>
            <w:r>
              <w:rPr>
                <w:sz w:val="21"/>
                <w:szCs w:val="18"/>
              </w:rPr>
              <w:t>沥青路面工程</w:t>
            </w:r>
          </w:p>
        </w:tc>
        <w:tc>
          <w:tcPr>
            <w:tcW w:w="2378" w:type="dxa"/>
            <w:vAlign w:val="center"/>
          </w:tcPr>
          <w:p>
            <w:pPr>
              <w:spacing w:line="240" w:lineRule="auto"/>
              <w:jc w:val="center"/>
              <w:rPr>
                <w:sz w:val="21"/>
                <w:szCs w:val="18"/>
              </w:rPr>
            </w:pPr>
            <w:r>
              <w:rPr>
                <w:sz w:val="21"/>
                <w:szCs w:val="18"/>
              </w:rPr>
              <w:t>沥青路面施工</w:t>
            </w:r>
          </w:p>
        </w:tc>
        <w:tc>
          <w:tcPr>
            <w:tcW w:w="1798" w:type="dxa"/>
            <w:vAlign w:val="center"/>
          </w:tcPr>
          <w:p>
            <w:pPr>
              <w:spacing w:line="240" w:lineRule="auto"/>
              <w:jc w:val="center"/>
              <w:rPr>
                <w:sz w:val="21"/>
                <w:szCs w:val="18"/>
              </w:rPr>
            </w:pPr>
            <w:r>
              <w:rPr>
                <w:sz w:val="21"/>
                <w:szCs w:val="18"/>
              </w:rPr>
              <w:t>每一分段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1339" w:type="dxa"/>
            <w:vMerge w:val="continue"/>
            <w:vAlign w:val="center"/>
          </w:tcPr>
          <w:p>
            <w:pPr>
              <w:spacing w:line="240" w:lineRule="auto"/>
              <w:jc w:val="center"/>
              <w:rPr>
                <w:sz w:val="21"/>
                <w:szCs w:val="18"/>
              </w:rPr>
            </w:pPr>
          </w:p>
        </w:tc>
        <w:tc>
          <w:tcPr>
            <w:tcW w:w="2442" w:type="dxa"/>
            <w:vAlign w:val="center"/>
          </w:tcPr>
          <w:p>
            <w:pPr>
              <w:spacing w:line="240" w:lineRule="auto"/>
              <w:jc w:val="center"/>
              <w:rPr>
                <w:sz w:val="21"/>
                <w:szCs w:val="18"/>
              </w:rPr>
            </w:pPr>
            <w:r>
              <w:rPr>
                <w:sz w:val="21"/>
                <w:szCs w:val="18"/>
              </w:rPr>
              <w:t>装饰工程</w:t>
            </w:r>
          </w:p>
        </w:tc>
        <w:tc>
          <w:tcPr>
            <w:tcW w:w="2378" w:type="dxa"/>
            <w:vAlign w:val="center"/>
          </w:tcPr>
          <w:p>
            <w:pPr>
              <w:spacing w:line="240" w:lineRule="auto"/>
              <w:jc w:val="center"/>
              <w:rPr>
                <w:sz w:val="21"/>
                <w:szCs w:val="18"/>
              </w:rPr>
            </w:pPr>
            <w:r>
              <w:rPr>
                <w:sz w:val="21"/>
                <w:szCs w:val="18"/>
              </w:rPr>
              <w:t>装饰侧墙、顶板施工</w:t>
            </w:r>
          </w:p>
        </w:tc>
        <w:tc>
          <w:tcPr>
            <w:tcW w:w="1798" w:type="dxa"/>
            <w:vAlign w:val="center"/>
          </w:tcPr>
          <w:p>
            <w:pPr>
              <w:spacing w:line="240" w:lineRule="auto"/>
              <w:jc w:val="center"/>
              <w:rPr>
                <w:sz w:val="21"/>
                <w:szCs w:val="18"/>
              </w:rPr>
            </w:pPr>
            <w:r>
              <w:rPr>
                <w:sz w:val="21"/>
                <w:szCs w:val="18"/>
              </w:rPr>
              <w:t>每一分段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jc w:val="center"/>
        </w:trPr>
        <w:tc>
          <w:tcPr>
            <w:tcW w:w="1339" w:type="dxa"/>
            <w:vMerge w:val="continue"/>
            <w:vAlign w:val="center"/>
          </w:tcPr>
          <w:p>
            <w:pPr>
              <w:spacing w:line="240" w:lineRule="auto"/>
              <w:jc w:val="center"/>
              <w:rPr>
                <w:sz w:val="21"/>
                <w:szCs w:val="18"/>
              </w:rPr>
            </w:pPr>
          </w:p>
        </w:tc>
        <w:tc>
          <w:tcPr>
            <w:tcW w:w="2442" w:type="dxa"/>
            <w:vAlign w:val="center"/>
          </w:tcPr>
          <w:p>
            <w:pPr>
              <w:spacing w:line="240" w:lineRule="auto"/>
              <w:jc w:val="center"/>
              <w:rPr>
                <w:sz w:val="21"/>
                <w:szCs w:val="18"/>
              </w:rPr>
            </w:pPr>
            <w:r>
              <w:rPr>
                <w:sz w:val="21"/>
                <w:szCs w:val="18"/>
              </w:rPr>
              <w:t>机电工程</w:t>
            </w:r>
          </w:p>
        </w:tc>
        <w:tc>
          <w:tcPr>
            <w:tcW w:w="2378" w:type="dxa"/>
            <w:vAlign w:val="center"/>
          </w:tcPr>
          <w:p>
            <w:pPr>
              <w:spacing w:line="240" w:lineRule="auto"/>
              <w:jc w:val="center"/>
              <w:rPr>
                <w:sz w:val="21"/>
                <w:szCs w:val="18"/>
              </w:rPr>
            </w:pPr>
            <w:r>
              <w:rPr>
                <w:sz w:val="21"/>
                <w:szCs w:val="18"/>
              </w:rPr>
              <w:t>机电安装</w:t>
            </w:r>
          </w:p>
        </w:tc>
        <w:tc>
          <w:tcPr>
            <w:tcW w:w="1798" w:type="dxa"/>
            <w:vAlign w:val="center"/>
          </w:tcPr>
          <w:p>
            <w:pPr>
              <w:spacing w:line="240" w:lineRule="auto"/>
              <w:jc w:val="center"/>
              <w:rPr>
                <w:sz w:val="21"/>
                <w:szCs w:val="18"/>
              </w:rPr>
            </w:pPr>
            <w:r>
              <w:rPr>
                <w:sz w:val="21"/>
                <w:szCs w:val="18"/>
              </w:rPr>
              <w:t>每一设备或设施</w:t>
            </w:r>
          </w:p>
        </w:tc>
      </w:tr>
    </w:tbl>
    <w:p>
      <w:pPr>
        <w:ind w:left="1237" w:leftChars="183" w:hanging="798" w:hangingChars="380"/>
        <w:rPr>
          <w:sz w:val="21"/>
          <w:szCs w:val="18"/>
        </w:rPr>
      </w:pPr>
      <w:r>
        <w:rPr>
          <w:sz w:val="21"/>
          <w:szCs w:val="18"/>
        </w:rPr>
        <w:t>注：1  地下铁道矩形顶管工程可按现行国家标准《地下铁道工程施工标准》GB 51310的有关规定执行。</w:t>
      </w:r>
    </w:p>
    <w:p>
      <w:pPr>
        <w:ind w:left="1253" w:leftChars="354" w:hanging="403" w:hangingChars="192"/>
        <w:rPr>
          <w:sz w:val="21"/>
          <w:szCs w:val="18"/>
        </w:rPr>
      </w:pPr>
      <w:r>
        <w:rPr>
          <w:sz w:val="21"/>
          <w:szCs w:val="18"/>
        </w:rPr>
        <w:t>2  人行地道矩形顶管工程可按现行行业标准《城镇道路工程施工与质量验收规范》CJJ 1的有关规定执行。</w:t>
      </w:r>
    </w:p>
    <w:p>
      <w:pPr>
        <w:ind w:left="1253" w:leftChars="354" w:hanging="403" w:hangingChars="192"/>
        <w:rPr>
          <w:sz w:val="21"/>
          <w:szCs w:val="18"/>
        </w:rPr>
      </w:pPr>
      <w:r>
        <w:rPr>
          <w:sz w:val="21"/>
          <w:szCs w:val="18"/>
        </w:rPr>
        <w:t>3  车行隧道矩形顶管工程可按现行行业标准《城镇道路工程施工与质量验收规范》CJJ 1的有关规定执行。</w:t>
      </w:r>
    </w:p>
    <w:p/>
    <w:p>
      <w:pPr>
        <w:rPr>
          <w:b/>
        </w:rPr>
      </w:pPr>
      <w:bookmarkStart w:id="609" w:name="_Toc448396210"/>
    </w:p>
    <w:p>
      <w:pPr>
        <w:rPr>
          <w:b/>
        </w:rPr>
      </w:pPr>
    </w:p>
    <w:p>
      <w:pPr>
        <w:rPr>
          <w:b/>
        </w:rPr>
        <w:sectPr>
          <w:pgSz w:w="11850" w:h="16783"/>
          <w:pgMar w:top="1440" w:right="1800" w:bottom="1440" w:left="1800" w:header="720" w:footer="720" w:gutter="0"/>
          <w:cols w:space="720" w:num="1"/>
          <w:docGrid w:linePitch="360" w:charSpace="0"/>
        </w:sectPr>
      </w:pPr>
    </w:p>
    <w:p>
      <w:pPr>
        <w:pStyle w:val="2"/>
        <w:rPr>
          <w:rFonts w:cs="Times New Roman"/>
        </w:rPr>
      </w:pPr>
      <w:bookmarkStart w:id="610" w:name="_Toc47692197"/>
      <w:bookmarkStart w:id="611" w:name="_Toc29162"/>
      <w:bookmarkStart w:id="612" w:name="_Toc60172938"/>
      <w:bookmarkStart w:id="613" w:name="_Toc2132"/>
      <w:bookmarkStart w:id="614" w:name="_Toc16345"/>
      <w:bookmarkStart w:id="615" w:name="_Toc16064"/>
      <w:bookmarkStart w:id="616" w:name="_Toc60173825"/>
      <w:r>
        <w:rPr>
          <w:rFonts w:cs="Times New Roman"/>
        </w:rPr>
        <w:t>附录B  质量验收记录</w:t>
      </w:r>
      <w:bookmarkEnd w:id="609"/>
      <w:bookmarkEnd w:id="610"/>
      <w:bookmarkEnd w:id="611"/>
      <w:bookmarkEnd w:id="612"/>
      <w:bookmarkEnd w:id="613"/>
      <w:bookmarkEnd w:id="614"/>
      <w:bookmarkEnd w:id="615"/>
      <w:bookmarkEnd w:id="616"/>
    </w:p>
    <w:p>
      <w:r>
        <w:rPr>
          <w:b/>
        </w:rPr>
        <w:t xml:space="preserve">B.0.1  </w:t>
      </w:r>
      <w:r>
        <w:t>检验批的质量验收记录</w:t>
      </w:r>
      <w:r>
        <w:rPr>
          <w:rFonts w:hint="eastAsia"/>
        </w:rPr>
        <w:t>应</w:t>
      </w:r>
      <w:r>
        <w:t>由施工项目专业质量检查员填写，检验批应由专业监理工程师或建设项目专业技术负责人组织施工项目专业质量检查员、工长等进行验收，并宜按表B.0.1记录。</w:t>
      </w:r>
    </w:p>
    <w:p>
      <w:pPr>
        <w:jc w:val="center"/>
        <w:rPr>
          <w:b/>
          <w:bCs/>
          <w:sz w:val="21"/>
          <w:szCs w:val="18"/>
        </w:rPr>
      </w:pPr>
      <w:r>
        <w:rPr>
          <w:b/>
          <w:bCs/>
          <w:sz w:val="21"/>
          <w:szCs w:val="18"/>
        </w:rPr>
        <w:t xml:space="preserve">表B.0.1  </w:t>
      </w:r>
      <w:r>
        <w:rPr>
          <w:b/>
          <w:sz w:val="21"/>
          <w:szCs w:val="18"/>
        </w:rPr>
        <w:t>检验批</w:t>
      </w:r>
      <w:r>
        <w:rPr>
          <w:b/>
          <w:bCs/>
          <w:sz w:val="21"/>
          <w:szCs w:val="18"/>
        </w:rPr>
        <w:t>质量验收记录表</w:t>
      </w:r>
    </w:p>
    <w:p>
      <w:pPr>
        <w:spacing w:line="240" w:lineRule="auto"/>
        <w:jc w:val="right"/>
        <w:rPr>
          <w:bCs/>
          <w:sz w:val="21"/>
          <w:szCs w:val="18"/>
        </w:rPr>
      </w:pPr>
      <w:r>
        <w:rPr>
          <w:bCs/>
          <w:sz w:val="21"/>
          <w:szCs w:val="18"/>
        </w:rPr>
        <w:t>编号:__________</w:t>
      </w:r>
    </w:p>
    <w:tbl>
      <w:tblPr>
        <w:tblStyle w:val="47"/>
        <w:tblW w:w="877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5"/>
        <w:gridCol w:w="1167"/>
        <w:gridCol w:w="704"/>
        <w:gridCol w:w="358"/>
        <w:gridCol w:w="358"/>
        <w:gridCol w:w="359"/>
        <w:gridCol w:w="358"/>
        <w:gridCol w:w="358"/>
        <w:gridCol w:w="181"/>
        <w:gridCol w:w="178"/>
        <w:gridCol w:w="358"/>
        <w:gridCol w:w="358"/>
        <w:gridCol w:w="359"/>
        <w:gridCol w:w="270"/>
        <w:gridCol w:w="88"/>
        <w:gridCol w:w="358"/>
        <w:gridCol w:w="359"/>
        <w:gridCol w:w="287"/>
        <w:gridCol w:w="71"/>
        <w:gridCol w:w="359"/>
        <w:gridCol w:w="910"/>
        <w:gridCol w:w="5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592" w:type="dxa"/>
            <w:gridSpan w:val="2"/>
            <w:vAlign w:val="center"/>
          </w:tcPr>
          <w:p>
            <w:pPr>
              <w:spacing w:line="240" w:lineRule="auto"/>
              <w:jc w:val="center"/>
              <w:rPr>
                <w:sz w:val="21"/>
              </w:rPr>
            </w:pPr>
            <w:r>
              <w:rPr>
                <w:sz w:val="21"/>
              </w:rPr>
              <w:t>工程名称</w:t>
            </w:r>
          </w:p>
        </w:tc>
        <w:tc>
          <w:tcPr>
            <w:tcW w:w="2676" w:type="dxa"/>
            <w:gridSpan w:val="7"/>
            <w:vAlign w:val="center"/>
          </w:tcPr>
          <w:p>
            <w:pPr>
              <w:spacing w:line="240" w:lineRule="auto"/>
              <w:jc w:val="center"/>
              <w:rPr>
                <w:sz w:val="21"/>
              </w:rPr>
            </w:pPr>
          </w:p>
        </w:tc>
        <w:tc>
          <w:tcPr>
            <w:tcW w:w="1523" w:type="dxa"/>
            <w:gridSpan w:val="5"/>
            <w:vAlign w:val="center"/>
          </w:tcPr>
          <w:p>
            <w:pPr>
              <w:spacing w:line="240" w:lineRule="auto"/>
              <w:jc w:val="center"/>
              <w:rPr>
                <w:sz w:val="21"/>
              </w:rPr>
            </w:pPr>
            <w:r>
              <w:rPr>
                <w:sz w:val="21"/>
              </w:rPr>
              <w:t>分部工程名称</w:t>
            </w:r>
          </w:p>
        </w:tc>
        <w:tc>
          <w:tcPr>
            <w:tcW w:w="1092" w:type="dxa"/>
            <w:gridSpan w:val="4"/>
            <w:vAlign w:val="center"/>
          </w:tcPr>
          <w:p>
            <w:pPr>
              <w:spacing w:line="240" w:lineRule="auto"/>
              <w:jc w:val="center"/>
              <w:rPr>
                <w:sz w:val="21"/>
              </w:rPr>
            </w:pPr>
          </w:p>
        </w:tc>
        <w:tc>
          <w:tcPr>
            <w:tcW w:w="1340" w:type="dxa"/>
            <w:gridSpan w:val="3"/>
            <w:vAlign w:val="center"/>
          </w:tcPr>
          <w:p>
            <w:pPr>
              <w:spacing w:line="240" w:lineRule="auto"/>
              <w:jc w:val="center"/>
              <w:rPr>
                <w:spacing w:val="-20"/>
                <w:sz w:val="21"/>
              </w:rPr>
            </w:pPr>
            <w:r>
              <w:rPr>
                <w:spacing w:val="-20"/>
                <w:sz w:val="21"/>
              </w:rPr>
              <w:t>分项工程名称</w:t>
            </w:r>
          </w:p>
        </w:tc>
        <w:tc>
          <w:tcPr>
            <w:tcW w:w="551"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592" w:type="dxa"/>
            <w:gridSpan w:val="2"/>
            <w:vAlign w:val="center"/>
          </w:tcPr>
          <w:p>
            <w:pPr>
              <w:spacing w:line="240" w:lineRule="auto"/>
              <w:jc w:val="center"/>
              <w:rPr>
                <w:sz w:val="21"/>
              </w:rPr>
            </w:pPr>
            <w:r>
              <w:rPr>
                <w:sz w:val="21"/>
              </w:rPr>
              <w:t>施工单位</w:t>
            </w:r>
          </w:p>
        </w:tc>
        <w:tc>
          <w:tcPr>
            <w:tcW w:w="2676" w:type="dxa"/>
            <w:gridSpan w:val="7"/>
            <w:vAlign w:val="center"/>
          </w:tcPr>
          <w:p>
            <w:pPr>
              <w:spacing w:line="240" w:lineRule="auto"/>
              <w:jc w:val="center"/>
              <w:rPr>
                <w:sz w:val="21"/>
              </w:rPr>
            </w:pPr>
          </w:p>
        </w:tc>
        <w:tc>
          <w:tcPr>
            <w:tcW w:w="1523" w:type="dxa"/>
            <w:gridSpan w:val="5"/>
            <w:vAlign w:val="center"/>
          </w:tcPr>
          <w:p>
            <w:pPr>
              <w:spacing w:line="240" w:lineRule="auto"/>
              <w:jc w:val="center"/>
              <w:rPr>
                <w:sz w:val="21"/>
              </w:rPr>
            </w:pPr>
            <w:r>
              <w:rPr>
                <w:sz w:val="21"/>
              </w:rPr>
              <w:t>项目经理</w:t>
            </w:r>
          </w:p>
        </w:tc>
        <w:tc>
          <w:tcPr>
            <w:tcW w:w="1092" w:type="dxa"/>
            <w:gridSpan w:val="4"/>
            <w:vAlign w:val="center"/>
          </w:tcPr>
          <w:p>
            <w:pPr>
              <w:spacing w:line="240" w:lineRule="auto"/>
              <w:jc w:val="center"/>
              <w:rPr>
                <w:sz w:val="21"/>
              </w:rPr>
            </w:pPr>
          </w:p>
        </w:tc>
        <w:tc>
          <w:tcPr>
            <w:tcW w:w="1340" w:type="dxa"/>
            <w:gridSpan w:val="3"/>
            <w:vAlign w:val="center"/>
          </w:tcPr>
          <w:p>
            <w:pPr>
              <w:spacing w:line="240" w:lineRule="auto"/>
              <w:jc w:val="center"/>
              <w:rPr>
                <w:sz w:val="21"/>
              </w:rPr>
            </w:pPr>
            <w:r>
              <w:rPr>
                <w:sz w:val="21"/>
              </w:rPr>
              <w:t>专业工长</w:t>
            </w:r>
          </w:p>
        </w:tc>
        <w:tc>
          <w:tcPr>
            <w:tcW w:w="551"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592" w:type="dxa"/>
            <w:gridSpan w:val="2"/>
            <w:vAlign w:val="center"/>
          </w:tcPr>
          <w:p>
            <w:pPr>
              <w:spacing w:line="240" w:lineRule="auto"/>
              <w:jc w:val="center"/>
              <w:rPr>
                <w:spacing w:val="-20"/>
                <w:sz w:val="21"/>
              </w:rPr>
            </w:pPr>
            <w:r>
              <w:rPr>
                <w:spacing w:val="-20"/>
                <w:sz w:val="21"/>
              </w:rPr>
              <w:t>检验批名称、部位</w:t>
            </w:r>
          </w:p>
        </w:tc>
        <w:tc>
          <w:tcPr>
            <w:tcW w:w="7182" w:type="dxa"/>
            <w:gridSpan w:val="20"/>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592" w:type="dxa"/>
            <w:gridSpan w:val="2"/>
            <w:vAlign w:val="center"/>
          </w:tcPr>
          <w:p>
            <w:pPr>
              <w:spacing w:line="240" w:lineRule="auto"/>
              <w:jc w:val="center"/>
              <w:rPr>
                <w:sz w:val="21"/>
              </w:rPr>
            </w:pPr>
            <w:r>
              <w:rPr>
                <w:sz w:val="21"/>
              </w:rPr>
              <w:t>专业分包单位</w:t>
            </w:r>
          </w:p>
        </w:tc>
        <w:tc>
          <w:tcPr>
            <w:tcW w:w="2676" w:type="dxa"/>
            <w:gridSpan w:val="7"/>
            <w:vAlign w:val="center"/>
          </w:tcPr>
          <w:p>
            <w:pPr>
              <w:spacing w:line="240" w:lineRule="auto"/>
              <w:jc w:val="center"/>
              <w:rPr>
                <w:sz w:val="21"/>
              </w:rPr>
            </w:pPr>
          </w:p>
        </w:tc>
        <w:tc>
          <w:tcPr>
            <w:tcW w:w="1523" w:type="dxa"/>
            <w:gridSpan w:val="5"/>
            <w:vAlign w:val="center"/>
          </w:tcPr>
          <w:p>
            <w:pPr>
              <w:spacing w:line="240" w:lineRule="auto"/>
              <w:jc w:val="center"/>
              <w:rPr>
                <w:spacing w:val="-20"/>
                <w:sz w:val="21"/>
              </w:rPr>
            </w:pPr>
            <w:r>
              <w:rPr>
                <w:spacing w:val="-20"/>
                <w:sz w:val="21"/>
              </w:rPr>
              <w:t>专业分包项目经理</w:t>
            </w:r>
          </w:p>
        </w:tc>
        <w:tc>
          <w:tcPr>
            <w:tcW w:w="1092" w:type="dxa"/>
            <w:gridSpan w:val="4"/>
            <w:vAlign w:val="center"/>
          </w:tcPr>
          <w:p>
            <w:pPr>
              <w:spacing w:line="240" w:lineRule="auto"/>
              <w:jc w:val="center"/>
              <w:rPr>
                <w:sz w:val="21"/>
              </w:rPr>
            </w:pPr>
          </w:p>
        </w:tc>
        <w:tc>
          <w:tcPr>
            <w:tcW w:w="1340" w:type="dxa"/>
            <w:gridSpan w:val="3"/>
            <w:vAlign w:val="center"/>
          </w:tcPr>
          <w:p>
            <w:pPr>
              <w:spacing w:line="240" w:lineRule="auto"/>
              <w:jc w:val="center"/>
              <w:rPr>
                <w:sz w:val="21"/>
              </w:rPr>
            </w:pPr>
            <w:r>
              <w:rPr>
                <w:sz w:val="21"/>
              </w:rPr>
              <w:t>施工班组长</w:t>
            </w:r>
          </w:p>
        </w:tc>
        <w:tc>
          <w:tcPr>
            <w:tcW w:w="551"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restart"/>
            <w:vAlign w:val="center"/>
          </w:tcPr>
          <w:p>
            <w:pPr>
              <w:spacing w:line="240" w:lineRule="auto"/>
              <w:rPr>
                <w:sz w:val="21"/>
              </w:rPr>
            </w:pPr>
          </w:p>
          <w:p>
            <w:pPr>
              <w:spacing w:line="240" w:lineRule="auto"/>
              <w:jc w:val="center"/>
              <w:rPr>
                <w:sz w:val="21"/>
              </w:rPr>
            </w:pPr>
            <w:r>
              <w:rPr>
                <w:sz w:val="21"/>
              </w:rPr>
              <w:t>主</w:t>
            </w:r>
          </w:p>
          <w:p>
            <w:pPr>
              <w:spacing w:line="240" w:lineRule="auto"/>
              <w:jc w:val="center"/>
              <w:rPr>
                <w:sz w:val="21"/>
              </w:rPr>
            </w:pPr>
          </w:p>
          <w:p>
            <w:pPr>
              <w:spacing w:line="240" w:lineRule="auto"/>
              <w:jc w:val="center"/>
              <w:rPr>
                <w:sz w:val="21"/>
              </w:rPr>
            </w:pPr>
            <w:r>
              <w:rPr>
                <w:sz w:val="21"/>
              </w:rPr>
              <w:t>控</w:t>
            </w:r>
          </w:p>
          <w:p>
            <w:pPr>
              <w:spacing w:line="240" w:lineRule="auto"/>
              <w:jc w:val="center"/>
              <w:rPr>
                <w:sz w:val="21"/>
              </w:rPr>
            </w:pPr>
          </w:p>
          <w:p>
            <w:pPr>
              <w:spacing w:line="240" w:lineRule="auto"/>
              <w:jc w:val="center"/>
              <w:rPr>
                <w:sz w:val="21"/>
              </w:rPr>
            </w:pPr>
            <w:r>
              <w:rPr>
                <w:sz w:val="21"/>
              </w:rPr>
              <w:t>项</w:t>
            </w:r>
          </w:p>
          <w:p>
            <w:pPr>
              <w:spacing w:line="240" w:lineRule="auto"/>
              <w:jc w:val="center"/>
              <w:rPr>
                <w:sz w:val="21"/>
              </w:rPr>
            </w:pPr>
          </w:p>
          <w:p>
            <w:pPr>
              <w:spacing w:line="240" w:lineRule="auto"/>
              <w:jc w:val="center"/>
              <w:rPr>
                <w:sz w:val="21"/>
              </w:rPr>
            </w:pPr>
            <w:r>
              <w:rPr>
                <w:sz w:val="21"/>
              </w:rPr>
              <w:t>目</w:t>
            </w:r>
          </w:p>
        </w:tc>
        <w:tc>
          <w:tcPr>
            <w:tcW w:w="1871" w:type="dxa"/>
            <w:gridSpan w:val="2"/>
            <w:vAlign w:val="center"/>
          </w:tcPr>
          <w:p>
            <w:pPr>
              <w:spacing w:line="240" w:lineRule="auto"/>
              <w:jc w:val="center"/>
              <w:rPr>
                <w:sz w:val="21"/>
              </w:rPr>
            </w:pPr>
            <w:r>
              <w:rPr>
                <w:sz w:val="21"/>
              </w:rPr>
              <w:t>质量验收规范规定的检查项目及验收标准</w:t>
            </w:r>
          </w:p>
        </w:tc>
        <w:tc>
          <w:tcPr>
            <w:tcW w:w="5017" w:type="dxa"/>
            <w:gridSpan w:val="17"/>
            <w:vAlign w:val="center"/>
          </w:tcPr>
          <w:p>
            <w:pPr>
              <w:spacing w:line="240" w:lineRule="auto"/>
              <w:jc w:val="center"/>
              <w:rPr>
                <w:sz w:val="21"/>
              </w:rPr>
            </w:pPr>
            <w:r>
              <w:rPr>
                <w:sz w:val="21"/>
              </w:rPr>
              <w:t>施工单位检查评定记录</w:t>
            </w:r>
          </w:p>
        </w:tc>
        <w:tc>
          <w:tcPr>
            <w:tcW w:w="1461" w:type="dxa"/>
            <w:gridSpan w:val="2"/>
            <w:vAlign w:val="center"/>
          </w:tcPr>
          <w:p>
            <w:pPr>
              <w:spacing w:line="240" w:lineRule="auto"/>
              <w:jc w:val="center"/>
              <w:rPr>
                <w:sz w:val="21"/>
              </w:rPr>
            </w:pPr>
            <w:r>
              <w:rPr>
                <w:sz w:val="21"/>
              </w:rPr>
              <w:t>监理（建设）</w:t>
            </w:r>
          </w:p>
          <w:p>
            <w:pPr>
              <w:spacing w:line="240" w:lineRule="auto"/>
              <w:jc w:val="center"/>
              <w:rPr>
                <w:sz w:val="21"/>
              </w:rPr>
            </w:pPr>
            <w:r>
              <w:rPr>
                <w:sz w:val="21"/>
              </w:rPr>
              <w:t>单位验收记录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pStyle w:val="86"/>
              <w:spacing w:line="240" w:lineRule="auto"/>
              <w:rPr>
                <w:sz w:val="21"/>
                <w:szCs w:val="21"/>
              </w:rPr>
            </w:pPr>
            <w:r>
              <w:rPr>
                <w:sz w:val="21"/>
                <w:szCs w:val="21"/>
              </w:rPr>
              <w:t>1</w:t>
            </w:r>
          </w:p>
        </w:tc>
        <w:tc>
          <w:tcPr>
            <w:tcW w:w="704" w:type="dxa"/>
            <w:vAlign w:val="center"/>
          </w:tcPr>
          <w:p>
            <w:pPr>
              <w:spacing w:line="240" w:lineRule="auto"/>
              <w:jc w:val="center"/>
              <w:rPr>
                <w:sz w:val="21"/>
              </w:rPr>
            </w:pPr>
          </w:p>
        </w:tc>
        <w:tc>
          <w:tcPr>
            <w:tcW w:w="5017" w:type="dxa"/>
            <w:gridSpan w:val="17"/>
            <w:vAlign w:val="center"/>
          </w:tcPr>
          <w:p>
            <w:pPr>
              <w:spacing w:line="240" w:lineRule="auto"/>
              <w:jc w:val="center"/>
              <w:rPr>
                <w:sz w:val="21"/>
              </w:rPr>
            </w:pPr>
          </w:p>
        </w:tc>
        <w:tc>
          <w:tcPr>
            <w:tcW w:w="1461" w:type="dxa"/>
            <w:gridSpan w:val="2"/>
            <w:vMerge w:val="restart"/>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spacing w:line="240" w:lineRule="auto"/>
              <w:rPr>
                <w:sz w:val="21"/>
              </w:rPr>
            </w:pPr>
            <w:r>
              <w:rPr>
                <w:sz w:val="21"/>
              </w:rPr>
              <w:t>2</w:t>
            </w:r>
          </w:p>
        </w:tc>
        <w:tc>
          <w:tcPr>
            <w:tcW w:w="704" w:type="dxa"/>
            <w:vAlign w:val="center"/>
          </w:tcPr>
          <w:p>
            <w:pPr>
              <w:spacing w:line="240" w:lineRule="auto"/>
              <w:jc w:val="center"/>
              <w:rPr>
                <w:sz w:val="21"/>
              </w:rPr>
            </w:pPr>
          </w:p>
        </w:tc>
        <w:tc>
          <w:tcPr>
            <w:tcW w:w="5017" w:type="dxa"/>
            <w:gridSpan w:val="17"/>
            <w:vAlign w:val="center"/>
          </w:tcPr>
          <w:p>
            <w:pPr>
              <w:spacing w:line="240" w:lineRule="auto"/>
              <w:jc w:val="center"/>
              <w:rPr>
                <w:sz w:val="21"/>
              </w:rPr>
            </w:pPr>
          </w:p>
        </w:tc>
        <w:tc>
          <w:tcPr>
            <w:tcW w:w="1461" w:type="dxa"/>
            <w:gridSpan w:val="2"/>
            <w:vMerge w:val="continue"/>
            <w:vAlign w:val="center"/>
          </w:tcPr>
          <w:p>
            <w:pPr>
              <w:widowControl/>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spacing w:line="240" w:lineRule="auto"/>
              <w:rPr>
                <w:sz w:val="21"/>
              </w:rPr>
            </w:pPr>
            <w:r>
              <w:rPr>
                <w:sz w:val="21"/>
              </w:rPr>
              <w:t>3</w:t>
            </w:r>
          </w:p>
        </w:tc>
        <w:tc>
          <w:tcPr>
            <w:tcW w:w="704" w:type="dxa"/>
            <w:vAlign w:val="center"/>
          </w:tcPr>
          <w:p>
            <w:pPr>
              <w:spacing w:line="240" w:lineRule="auto"/>
              <w:jc w:val="center"/>
              <w:rPr>
                <w:sz w:val="21"/>
              </w:rPr>
            </w:pPr>
          </w:p>
        </w:tc>
        <w:tc>
          <w:tcPr>
            <w:tcW w:w="5017" w:type="dxa"/>
            <w:gridSpan w:val="17"/>
            <w:vAlign w:val="center"/>
          </w:tcPr>
          <w:p>
            <w:pPr>
              <w:spacing w:line="240" w:lineRule="auto"/>
              <w:jc w:val="center"/>
              <w:rPr>
                <w:sz w:val="21"/>
              </w:rPr>
            </w:pPr>
          </w:p>
        </w:tc>
        <w:tc>
          <w:tcPr>
            <w:tcW w:w="1461" w:type="dxa"/>
            <w:gridSpan w:val="2"/>
            <w:vMerge w:val="continue"/>
            <w:vAlign w:val="center"/>
          </w:tcPr>
          <w:p>
            <w:pPr>
              <w:widowControl/>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spacing w:line="240" w:lineRule="auto"/>
              <w:rPr>
                <w:sz w:val="21"/>
              </w:rPr>
            </w:pPr>
            <w:r>
              <w:rPr>
                <w:sz w:val="21"/>
              </w:rPr>
              <w:t>4</w:t>
            </w:r>
          </w:p>
        </w:tc>
        <w:tc>
          <w:tcPr>
            <w:tcW w:w="704" w:type="dxa"/>
            <w:vAlign w:val="center"/>
          </w:tcPr>
          <w:p>
            <w:pPr>
              <w:spacing w:line="240" w:lineRule="auto"/>
              <w:jc w:val="center"/>
              <w:rPr>
                <w:sz w:val="21"/>
              </w:rPr>
            </w:pPr>
          </w:p>
        </w:tc>
        <w:tc>
          <w:tcPr>
            <w:tcW w:w="5017" w:type="dxa"/>
            <w:gridSpan w:val="17"/>
            <w:vAlign w:val="center"/>
          </w:tcPr>
          <w:p>
            <w:pPr>
              <w:spacing w:line="240" w:lineRule="auto"/>
              <w:jc w:val="center"/>
              <w:rPr>
                <w:sz w:val="21"/>
              </w:rPr>
            </w:pPr>
          </w:p>
        </w:tc>
        <w:tc>
          <w:tcPr>
            <w:tcW w:w="1461" w:type="dxa"/>
            <w:gridSpan w:val="2"/>
            <w:vMerge w:val="continue"/>
            <w:vAlign w:val="center"/>
          </w:tcPr>
          <w:p>
            <w:pPr>
              <w:widowControl/>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spacing w:line="240" w:lineRule="auto"/>
              <w:rPr>
                <w:sz w:val="21"/>
              </w:rPr>
            </w:pPr>
            <w:r>
              <w:rPr>
                <w:sz w:val="21"/>
              </w:rPr>
              <w:t>5</w:t>
            </w:r>
          </w:p>
        </w:tc>
        <w:tc>
          <w:tcPr>
            <w:tcW w:w="704"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9" w:type="dxa"/>
            <w:vAlign w:val="center"/>
          </w:tcPr>
          <w:p>
            <w:pPr>
              <w:spacing w:line="240" w:lineRule="auto"/>
              <w:jc w:val="center"/>
              <w:rPr>
                <w:sz w:val="21"/>
              </w:rPr>
            </w:pPr>
          </w:p>
        </w:tc>
        <w:tc>
          <w:tcPr>
            <w:tcW w:w="1461" w:type="dxa"/>
            <w:gridSpan w:val="2"/>
            <w:vAlign w:val="center"/>
          </w:tcPr>
          <w:p>
            <w:pPr>
              <w:widowControl/>
              <w:spacing w:line="240" w:lineRule="auto"/>
              <w:jc w:val="left"/>
              <w:rPr>
                <w:sz w:val="21"/>
              </w:rPr>
            </w:pPr>
            <w:r>
              <w:rPr>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pStyle w:val="86"/>
              <w:spacing w:line="240" w:lineRule="auto"/>
              <w:rPr>
                <w:sz w:val="21"/>
                <w:szCs w:val="21"/>
              </w:rPr>
            </w:pPr>
            <w:r>
              <w:rPr>
                <w:sz w:val="21"/>
                <w:szCs w:val="21"/>
              </w:rPr>
              <w:t>6</w:t>
            </w:r>
          </w:p>
        </w:tc>
        <w:tc>
          <w:tcPr>
            <w:tcW w:w="704"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9" w:type="dxa"/>
            <w:vAlign w:val="center"/>
          </w:tcPr>
          <w:p>
            <w:pPr>
              <w:spacing w:line="240" w:lineRule="auto"/>
              <w:jc w:val="center"/>
              <w:rPr>
                <w:sz w:val="21"/>
              </w:rPr>
            </w:pPr>
          </w:p>
        </w:tc>
        <w:tc>
          <w:tcPr>
            <w:tcW w:w="1461" w:type="dxa"/>
            <w:gridSpan w:val="2"/>
            <w:vAlign w:val="center"/>
          </w:tcPr>
          <w:p>
            <w:pPr>
              <w:widowControl/>
              <w:spacing w:line="240" w:lineRule="auto"/>
              <w:jc w:val="left"/>
              <w:rPr>
                <w:sz w:val="21"/>
              </w:rPr>
            </w:pPr>
            <w:r>
              <w:rPr>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restart"/>
            <w:vAlign w:val="center"/>
          </w:tcPr>
          <w:p>
            <w:pPr>
              <w:spacing w:line="240" w:lineRule="auto"/>
              <w:jc w:val="center"/>
              <w:rPr>
                <w:sz w:val="21"/>
              </w:rPr>
            </w:pPr>
          </w:p>
          <w:p>
            <w:pPr>
              <w:spacing w:line="240" w:lineRule="auto"/>
              <w:jc w:val="center"/>
              <w:rPr>
                <w:sz w:val="21"/>
              </w:rPr>
            </w:pPr>
            <w:r>
              <w:rPr>
                <w:sz w:val="21"/>
              </w:rPr>
              <w:t>一</w:t>
            </w:r>
          </w:p>
          <w:p>
            <w:pPr>
              <w:spacing w:line="240" w:lineRule="auto"/>
              <w:jc w:val="center"/>
              <w:rPr>
                <w:sz w:val="21"/>
              </w:rPr>
            </w:pPr>
          </w:p>
          <w:p>
            <w:pPr>
              <w:spacing w:line="240" w:lineRule="auto"/>
              <w:jc w:val="center"/>
              <w:rPr>
                <w:sz w:val="21"/>
              </w:rPr>
            </w:pPr>
            <w:r>
              <w:rPr>
                <w:sz w:val="21"/>
              </w:rPr>
              <w:t>般</w:t>
            </w:r>
          </w:p>
          <w:p>
            <w:pPr>
              <w:spacing w:line="240" w:lineRule="auto"/>
              <w:jc w:val="center"/>
              <w:rPr>
                <w:sz w:val="21"/>
              </w:rPr>
            </w:pPr>
          </w:p>
          <w:p>
            <w:pPr>
              <w:spacing w:line="240" w:lineRule="auto"/>
              <w:jc w:val="center"/>
              <w:rPr>
                <w:sz w:val="21"/>
              </w:rPr>
            </w:pPr>
            <w:r>
              <w:rPr>
                <w:sz w:val="21"/>
              </w:rPr>
              <w:t>项</w:t>
            </w:r>
          </w:p>
          <w:p>
            <w:pPr>
              <w:spacing w:line="240" w:lineRule="auto"/>
              <w:jc w:val="center"/>
              <w:rPr>
                <w:sz w:val="21"/>
              </w:rPr>
            </w:pPr>
          </w:p>
          <w:p>
            <w:pPr>
              <w:spacing w:line="240" w:lineRule="auto"/>
              <w:jc w:val="center"/>
              <w:rPr>
                <w:sz w:val="21"/>
              </w:rPr>
            </w:pPr>
            <w:r>
              <w:rPr>
                <w:sz w:val="21"/>
              </w:rPr>
              <w:t>目</w:t>
            </w:r>
          </w:p>
        </w:tc>
        <w:tc>
          <w:tcPr>
            <w:tcW w:w="1167" w:type="dxa"/>
            <w:vAlign w:val="center"/>
          </w:tcPr>
          <w:p>
            <w:pPr>
              <w:spacing w:line="240" w:lineRule="auto"/>
              <w:rPr>
                <w:sz w:val="21"/>
              </w:rPr>
            </w:pPr>
            <w:r>
              <w:rPr>
                <w:sz w:val="21"/>
              </w:rPr>
              <w:t>1</w:t>
            </w:r>
          </w:p>
        </w:tc>
        <w:tc>
          <w:tcPr>
            <w:tcW w:w="704" w:type="dxa"/>
            <w:vAlign w:val="center"/>
          </w:tcPr>
          <w:p>
            <w:pPr>
              <w:spacing w:line="240" w:lineRule="auto"/>
              <w:jc w:val="center"/>
              <w:rPr>
                <w:sz w:val="21"/>
              </w:rPr>
            </w:pPr>
          </w:p>
        </w:tc>
        <w:tc>
          <w:tcPr>
            <w:tcW w:w="5017" w:type="dxa"/>
            <w:gridSpan w:val="17"/>
            <w:vAlign w:val="center"/>
          </w:tcPr>
          <w:p>
            <w:pPr>
              <w:spacing w:line="240" w:lineRule="auto"/>
              <w:jc w:val="center"/>
              <w:rPr>
                <w:sz w:val="21"/>
              </w:rPr>
            </w:pPr>
          </w:p>
        </w:tc>
        <w:tc>
          <w:tcPr>
            <w:tcW w:w="1461" w:type="dxa"/>
            <w:gridSpan w:val="2"/>
            <w:vMerge w:val="restart"/>
            <w:vAlign w:val="center"/>
          </w:tcPr>
          <w:p>
            <w:pPr>
              <w:widowControl/>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pStyle w:val="86"/>
              <w:spacing w:line="240" w:lineRule="auto"/>
              <w:rPr>
                <w:sz w:val="21"/>
                <w:szCs w:val="21"/>
              </w:rPr>
            </w:pPr>
            <w:r>
              <w:rPr>
                <w:sz w:val="21"/>
                <w:szCs w:val="21"/>
              </w:rPr>
              <w:t>2</w:t>
            </w:r>
          </w:p>
        </w:tc>
        <w:tc>
          <w:tcPr>
            <w:tcW w:w="704" w:type="dxa"/>
            <w:vAlign w:val="center"/>
          </w:tcPr>
          <w:p>
            <w:pPr>
              <w:spacing w:line="240" w:lineRule="auto"/>
              <w:jc w:val="center"/>
              <w:rPr>
                <w:sz w:val="21"/>
              </w:rPr>
            </w:pPr>
          </w:p>
        </w:tc>
        <w:tc>
          <w:tcPr>
            <w:tcW w:w="5017" w:type="dxa"/>
            <w:gridSpan w:val="17"/>
            <w:vAlign w:val="center"/>
          </w:tcPr>
          <w:p>
            <w:pPr>
              <w:spacing w:line="240" w:lineRule="auto"/>
              <w:jc w:val="center"/>
              <w:rPr>
                <w:sz w:val="21"/>
              </w:rPr>
            </w:pPr>
          </w:p>
        </w:tc>
        <w:tc>
          <w:tcPr>
            <w:tcW w:w="1461" w:type="dxa"/>
            <w:gridSpan w:val="2"/>
            <w:vMerge w:val="continue"/>
            <w:vAlign w:val="center"/>
          </w:tcPr>
          <w:p>
            <w:pPr>
              <w:widowControl/>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spacing w:line="240" w:lineRule="auto"/>
              <w:rPr>
                <w:sz w:val="21"/>
              </w:rPr>
            </w:pPr>
            <w:r>
              <w:rPr>
                <w:sz w:val="21"/>
              </w:rPr>
              <w:t>3</w:t>
            </w:r>
          </w:p>
        </w:tc>
        <w:tc>
          <w:tcPr>
            <w:tcW w:w="704" w:type="dxa"/>
            <w:vAlign w:val="center"/>
          </w:tcPr>
          <w:p>
            <w:pPr>
              <w:spacing w:line="240" w:lineRule="auto"/>
              <w:jc w:val="center"/>
              <w:rPr>
                <w:sz w:val="21"/>
              </w:rPr>
            </w:pPr>
          </w:p>
        </w:tc>
        <w:tc>
          <w:tcPr>
            <w:tcW w:w="5017" w:type="dxa"/>
            <w:gridSpan w:val="17"/>
            <w:vAlign w:val="center"/>
          </w:tcPr>
          <w:p>
            <w:pPr>
              <w:spacing w:line="240" w:lineRule="auto"/>
              <w:jc w:val="center"/>
              <w:rPr>
                <w:sz w:val="21"/>
              </w:rPr>
            </w:pPr>
          </w:p>
        </w:tc>
        <w:tc>
          <w:tcPr>
            <w:tcW w:w="1461" w:type="dxa"/>
            <w:gridSpan w:val="2"/>
            <w:vMerge w:val="continue"/>
            <w:vAlign w:val="center"/>
          </w:tcPr>
          <w:p>
            <w:pPr>
              <w:widowControl/>
              <w:spacing w:line="240" w:lineRule="auto"/>
              <w:jc w:val="left"/>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spacing w:line="240" w:lineRule="auto"/>
              <w:rPr>
                <w:sz w:val="21"/>
              </w:rPr>
            </w:pPr>
            <w:r>
              <w:rPr>
                <w:sz w:val="21"/>
              </w:rPr>
              <w:t>4</w:t>
            </w:r>
          </w:p>
        </w:tc>
        <w:tc>
          <w:tcPr>
            <w:tcW w:w="704"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9" w:type="dxa"/>
            <w:vAlign w:val="center"/>
          </w:tcPr>
          <w:p>
            <w:pPr>
              <w:spacing w:line="240" w:lineRule="auto"/>
              <w:jc w:val="center"/>
              <w:rPr>
                <w:sz w:val="21"/>
              </w:rPr>
            </w:pPr>
          </w:p>
        </w:tc>
        <w:tc>
          <w:tcPr>
            <w:tcW w:w="1461" w:type="dxa"/>
            <w:gridSpan w:val="2"/>
            <w:vAlign w:val="center"/>
          </w:tcPr>
          <w:p>
            <w:pPr>
              <w:widowControl/>
              <w:spacing w:line="240" w:lineRule="auto"/>
              <w:rPr>
                <w:sz w:val="21"/>
              </w:rPr>
            </w:pPr>
            <w:r>
              <w:rPr>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spacing w:line="240" w:lineRule="auto"/>
              <w:rPr>
                <w:sz w:val="21"/>
              </w:rPr>
            </w:pPr>
            <w:r>
              <w:rPr>
                <w:sz w:val="21"/>
              </w:rPr>
              <w:t>5</w:t>
            </w:r>
          </w:p>
        </w:tc>
        <w:tc>
          <w:tcPr>
            <w:tcW w:w="704"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9" w:type="dxa"/>
            <w:vAlign w:val="center"/>
          </w:tcPr>
          <w:p>
            <w:pPr>
              <w:spacing w:line="240" w:lineRule="auto"/>
              <w:jc w:val="center"/>
              <w:rPr>
                <w:sz w:val="21"/>
              </w:rPr>
            </w:pPr>
          </w:p>
        </w:tc>
        <w:tc>
          <w:tcPr>
            <w:tcW w:w="1461" w:type="dxa"/>
            <w:gridSpan w:val="2"/>
            <w:vAlign w:val="center"/>
          </w:tcPr>
          <w:p>
            <w:pPr>
              <w:widowControl/>
              <w:spacing w:line="240" w:lineRule="auto"/>
              <w:rPr>
                <w:sz w:val="21"/>
              </w:rPr>
            </w:pPr>
            <w:r>
              <w:rPr>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5" w:type="dxa"/>
            <w:vMerge w:val="continue"/>
            <w:vAlign w:val="center"/>
          </w:tcPr>
          <w:p>
            <w:pPr>
              <w:widowControl/>
              <w:spacing w:line="240" w:lineRule="auto"/>
              <w:jc w:val="left"/>
              <w:rPr>
                <w:sz w:val="21"/>
              </w:rPr>
            </w:pPr>
          </w:p>
        </w:tc>
        <w:tc>
          <w:tcPr>
            <w:tcW w:w="1167" w:type="dxa"/>
            <w:vAlign w:val="center"/>
          </w:tcPr>
          <w:p>
            <w:pPr>
              <w:spacing w:line="240" w:lineRule="auto"/>
              <w:rPr>
                <w:sz w:val="21"/>
              </w:rPr>
            </w:pPr>
            <w:r>
              <w:rPr>
                <w:sz w:val="21"/>
              </w:rPr>
              <w:t>6</w:t>
            </w:r>
          </w:p>
        </w:tc>
        <w:tc>
          <w:tcPr>
            <w:tcW w:w="704"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8" w:type="dxa"/>
            <w:vAlign w:val="center"/>
          </w:tcPr>
          <w:p>
            <w:pPr>
              <w:spacing w:line="240" w:lineRule="auto"/>
              <w:jc w:val="center"/>
              <w:rPr>
                <w:sz w:val="21"/>
              </w:rPr>
            </w:pPr>
          </w:p>
        </w:tc>
        <w:tc>
          <w:tcPr>
            <w:tcW w:w="359" w:type="dxa"/>
            <w:vAlign w:val="center"/>
          </w:tcPr>
          <w:p>
            <w:pPr>
              <w:spacing w:line="240" w:lineRule="auto"/>
              <w:jc w:val="center"/>
              <w:rPr>
                <w:sz w:val="21"/>
              </w:rPr>
            </w:pPr>
          </w:p>
        </w:tc>
        <w:tc>
          <w:tcPr>
            <w:tcW w:w="358" w:type="dxa"/>
            <w:gridSpan w:val="2"/>
            <w:vAlign w:val="center"/>
          </w:tcPr>
          <w:p>
            <w:pPr>
              <w:spacing w:line="240" w:lineRule="auto"/>
              <w:jc w:val="center"/>
              <w:rPr>
                <w:sz w:val="21"/>
              </w:rPr>
            </w:pPr>
          </w:p>
        </w:tc>
        <w:tc>
          <w:tcPr>
            <w:tcW w:w="359" w:type="dxa"/>
            <w:vAlign w:val="center"/>
          </w:tcPr>
          <w:p>
            <w:pPr>
              <w:spacing w:line="240" w:lineRule="auto"/>
              <w:jc w:val="center"/>
              <w:rPr>
                <w:sz w:val="21"/>
              </w:rPr>
            </w:pPr>
          </w:p>
        </w:tc>
        <w:tc>
          <w:tcPr>
            <w:tcW w:w="1461" w:type="dxa"/>
            <w:gridSpan w:val="2"/>
            <w:vAlign w:val="center"/>
          </w:tcPr>
          <w:p>
            <w:pPr>
              <w:spacing w:line="240" w:lineRule="auto"/>
              <w:rPr>
                <w:sz w:val="21"/>
              </w:rPr>
            </w:pPr>
            <w:r>
              <w:rPr>
                <w:sz w:val="21"/>
              </w:rPr>
              <w:t>合格率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592" w:type="dxa"/>
            <w:gridSpan w:val="2"/>
            <w:vAlign w:val="center"/>
          </w:tcPr>
          <w:p>
            <w:pPr>
              <w:spacing w:line="240" w:lineRule="auto"/>
              <w:rPr>
                <w:sz w:val="21"/>
              </w:rPr>
            </w:pPr>
          </w:p>
          <w:p>
            <w:pPr>
              <w:spacing w:line="240" w:lineRule="auto"/>
              <w:jc w:val="center"/>
              <w:rPr>
                <w:sz w:val="21"/>
              </w:rPr>
            </w:pPr>
            <w:r>
              <w:rPr>
                <w:sz w:val="21"/>
              </w:rPr>
              <w:t>施工单位</w:t>
            </w:r>
          </w:p>
          <w:p>
            <w:pPr>
              <w:spacing w:line="240" w:lineRule="auto"/>
              <w:jc w:val="center"/>
              <w:rPr>
                <w:sz w:val="21"/>
              </w:rPr>
            </w:pPr>
            <w:r>
              <w:rPr>
                <w:sz w:val="21"/>
              </w:rPr>
              <w:t>检查评定</w:t>
            </w:r>
          </w:p>
          <w:p>
            <w:pPr>
              <w:spacing w:line="240" w:lineRule="auto"/>
              <w:jc w:val="center"/>
              <w:rPr>
                <w:sz w:val="21"/>
              </w:rPr>
            </w:pPr>
            <w:r>
              <w:rPr>
                <w:sz w:val="21"/>
              </w:rPr>
              <w:t>结果</w:t>
            </w:r>
          </w:p>
          <w:p>
            <w:pPr>
              <w:spacing w:line="240" w:lineRule="auto"/>
              <w:rPr>
                <w:sz w:val="21"/>
              </w:rPr>
            </w:pPr>
          </w:p>
        </w:tc>
        <w:tc>
          <w:tcPr>
            <w:tcW w:w="7182" w:type="dxa"/>
            <w:gridSpan w:val="20"/>
            <w:vAlign w:val="center"/>
          </w:tcPr>
          <w:p>
            <w:pPr>
              <w:spacing w:line="240" w:lineRule="auto"/>
              <w:jc w:val="center"/>
              <w:rPr>
                <w:sz w:val="21"/>
              </w:rPr>
            </w:pPr>
          </w:p>
          <w:p>
            <w:pPr>
              <w:spacing w:line="240" w:lineRule="auto"/>
              <w:jc w:val="center"/>
              <w:rPr>
                <w:sz w:val="21"/>
              </w:rPr>
            </w:pPr>
          </w:p>
          <w:p>
            <w:pPr>
              <w:spacing w:line="240" w:lineRule="auto"/>
              <w:jc w:val="center"/>
              <w:rPr>
                <w:sz w:val="21"/>
              </w:rPr>
            </w:pPr>
          </w:p>
          <w:p>
            <w:pPr>
              <w:spacing w:line="240" w:lineRule="auto"/>
              <w:jc w:val="center"/>
              <w:rPr>
                <w:sz w:val="21"/>
              </w:rPr>
            </w:pPr>
          </w:p>
          <w:p>
            <w:pPr>
              <w:spacing w:line="240" w:lineRule="auto"/>
              <w:ind w:firstLine="420" w:firstLineChars="200"/>
              <w:rPr>
                <w:sz w:val="21"/>
              </w:rPr>
            </w:pPr>
            <w:r>
              <w:rPr>
                <w:sz w:val="21"/>
              </w:rPr>
              <w:t>工长（施工员）：</w:t>
            </w:r>
          </w:p>
          <w:p>
            <w:pPr>
              <w:spacing w:line="240" w:lineRule="auto"/>
              <w:ind w:firstLine="420" w:firstLineChars="200"/>
              <w:rPr>
                <w:sz w:val="21"/>
              </w:rPr>
            </w:pPr>
            <w:r>
              <w:rPr>
                <w:sz w:val="21"/>
              </w:rPr>
              <w:t>项目专业质量检查员：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592" w:type="dxa"/>
            <w:gridSpan w:val="2"/>
            <w:vAlign w:val="center"/>
          </w:tcPr>
          <w:p>
            <w:pPr>
              <w:spacing w:line="240" w:lineRule="auto"/>
              <w:rPr>
                <w:sz w:val="21"/>
              </w:rPr>
            </w:pPr>
          </w:p>
          <w:p>
            <w:pPr>
              <w:spacing w:line="240" w:lineRule="auto"/>
              <w:jc w:val="center"/>
              <w:rPr>
                <w:sz w:val="21"/>
              </w:rPr>
            </w:pPr>
            <w:r>
              <w:rPr>
                <w:sz w:val="21"/>
              </w:rPr>
              <w:t>监理（建设）</w:t>
            </w:r>
          </w:p>
          <w:p>
            <w:pPr>
              <w:spacing w:line="240" w:lineRule="auto"/>
              <w:jc w:val="center"/>
              <w:rPr>
                <w:sz w:val="21"/>
              </w:rPr>
            </w:pPr>
            <w:r>
              <w:rPr>
                <w:sz w:val="21"/>
              </w:rPr>
              <w:t>单位验收</w:t>
            </w:r>
          </w:p>
          <w:p>
            <w:pPr>
              <w:spacing w:line="240" w:lineRule="auto"/>
              <w:jc w:val="center"/>
              <w:rPr>
                <w:sz w:val="21"/>
              </w:rPr>
            </w:pPr>
            <w:r>
              <w:rPr>
                <w:sz w:val="21"/>
              </w:rPr>
              <w:t>结论</w:t>
            </w:r>
          </w:p>
          <w:p>
            <w:pPr>
              <w:spacing w:line="240" w:lineRule="auto"/>
              <w:rPr>
                <w:sz w:val="21"/>
              </w:rPr>
            </w:pPr>
          </w:p>
        </w:tc>
        <w:tc>
          <w:tcPr>
            <w:tcW w:w="7182" w:type="dxa"/>
            <w:gridSpan w:val="20"/>
            <w:vAlign w:val="center"/>
          </w:tcPr>
          <w:p>
            <w:pPr>
              <w:spacing w:line="240" w:lineRule="auto"/>
              <w:jc w:val="center"/>
              <w:rPr>
                <w:sz w:val="21"/>
              </w:rPr>
            </w:pPr>
          </w:p>
          <w:p>
            <w:pPr>
              <w:spacing w:line="240" w:lineRule="auto"/>
              <w:jc w:val="center"/>
              <w:rPr>
                <w:sz w:val="21"/>
              </w:rPr>
            </w:pPr>
          </w:p>
          <w:p>
            <w:pPr>
              <w:spacing w:line="240" w:lineRule="auto"/>
              <w:rPr>
                <w:sz w:val="21"/>
              </w:rPr>
            </w:pPr>
          </w:p>
          <w:p>
            <w:pPr>
              <w:spacing w:line="240" w:lineRule="auto"/>
              <w:ind w:firstLine="1260" w:firstLineChars="600"/>
              <w:rPr>
                <w:sz w:val="21"/>
              </w:rPr>
            </w:pPr>
            <w:r>
              <w:rPr>
                <w:sz w:val="21"/>
              </w:rPr>
              <w:t>专业监理工程师</w:t>
            </w:r>
          </w:p>
          <w:p>
            <w:pPr>
              <w:spacing w:line="240" w:lineRule="auto"/>
              <w:ind w:firstLine="210" w:firstLineChars="100"/>
              <w:rPr>
                <w:sz w:val="21"/>
              </w:rPr>
            </w:pPr>
            <w:r>
              <w:rPr>
                <w:sz w:val="21"/>
              </w:rPr>
              <w:t>（建设单位项目专业技术负责人）　　　　　　　年　　　月　　日</w:t>
            </w:r>
          </w:p>
        </w:tc>
      </w:tr>
    </w:tbl>
    <w:p>
      <w:pPr>
        <w:rPr>
          <w:b/>
          <w:bCs/>
        </w:rPr>
      </w:pPr>
    </w:p>
    <w:p>
      <w:r>
        <w:rPr>
          <w:b/>
          <w:bCs/>
        </w:rPr>
        <w:t xml:space="preserve">B.0.2  </w:t>
      </w:r>
      <w:r>
        <w:t>分项工程质量应由专业监理工程师或建设项目专业技术负责人组织施工项目专业技术负责人等进行验收，并</w:t>
      </w:r>
      <w:r>
        <w:rPr>
          <w:rFonts w:hint="eastAsia"/>
        </w:rPr>
        <w:t>宜</w:t>
      </w:r>
      <w:r>
        <w:t>按表B.0.2记录。</w:t>
      </w:r>
    </w:p>
    <w:p>
      <w:pPr>
        <w:jc w:val="center"/>
        <w:rPr>
          <w:b/>
          <w:sz w:val="21"/>
          <w:szCs w:val="18"/>
        </w:rPr>
      </w:pPr>
      <w:r>
        <w:rPr>
          <w:b/>
          <w:sz w:val="21"/>
          <w:szCs w:val="18"/>
        </w:rPr>
        <w:t>表B.0.2  分项工程质量验收记录表</w:t>
      </w:r>
    </w:p>
    <w:p>
      <w:pPr>
        <w:tabs>
          <w:tab w:val="left" w:pos="8460"/>
        </w:tabs>
        <w:spacing w:line="240" w:lineRule="auto"/>
        <w:ind w:right="168" w:rightChars="70"/>
        <w:jc w:val="right"/>
      </w:pPr>
      <w:r>
        <w:rPr>
          <w:bCs/>
          <w:sz w:val="21"/>
          <w:szCs w:val="18"/>
        </w:rPr>
        <w:t>编号：__________</w:t>
      </w:r>
    </w:p>
    <w:tbl>
      <w:tblPr>
        <w:tblStyle w:val="47"/>
        <w:tblW w:w="8412" w:type="dxa"/>
        <w:tblInd w:w="22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6"/>
        <w:gridCol w:w="980"/>
        <w:gridCol w:w="1327"/>
        <w:gridCol w:w="1513"/>
        <w:gridCol w:w="652"/>
        <w:gridCol w:w="570"/>
        <w:gridCol w:w="1407"/>
        <w:gridCol w:w="13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76" w:type="dxa"/>
            <w:gridSpan w:val="2"/>
            <w:vAlign w:val="center"/>
          </w:tcPr>
          <w:p>
            <w:pPr>
              <w:spacing w:line="240" w:lineRule="auto"/>
              <w:jc w:val="center"/>
              <w:rPr>
                <w:sz w:val="21"/>
              </w:rPr>
            </w:pPr>
            <w:r>
              <w:rPr>
                <w:sz w:val="21"/>
              </w:rPr>
              <w:t>工程名称</w:t>
            </w:r>
          </w:p>
        </w:tc>
        <w:tc>
          <w:tcPr>
            <w:tcW w:w="1327" w:type="dxa"/>
            <w:vAlign w:val="center"/>
          </w:tcPr>
          <w:p>
            <w:pPr>
              <w:spacing w:line="240" w:lineRule="auto"/>
              <w:jc w:val="center"/>
              <w:rPr>
                <w:sz w:val="21"/>
              </w:rPr>
            </w:pPr>
          </w:p>
        </w:tc>
        <w:tc>
          <w:tcPr>
            <w:tcW w:w="1513" w:type="dxa"/>
            <w:vAlign w:val="center"/>
          </w:tcPr>
          <w:p>
            <w:pPr>
              <w:spacing w:line="240" w:lineRule="auto"/>
              <w:jc w:val="center"/>
              <w:rPr>
                <w:sz w:val="21"/>
              </w:rPr>
            </w:pPr>
            <w:r>
              <w:rPr>
                <w:sz w:val="21"/>
              </w:rPr>
              <w:t>分项工程名称</w:t>
            </w:r>
          </w:p>
        </w:tc>
        <w:tc>
          <w:tcPr>
            <w:tcW w:w="1222" w:type="dxa"/>
            <w:gridSpan w:val="2"/>
            <w:vAlign w:val="center"/>
          </w:tcPr>
          <w:p>
            <w:pPr>
              <w:spacing w:line="240" w:lineRule="auto"/>
              <w:jc w:val="center"/>
              <w:rPr>
                <w:sz w:val="21"/>
              </w:rPr>
            </w:pPr>
          </w:p>
        </w:tc>
        <w:tc>
          <w:tcPr>
            <w:tcW w:w="1407" w:type="dxa"/>
            <w:vAlign w:val="center"/>
          </w:tcPr>
          <w:p>
            <w:pPr>
              <w:spacing w:line="240" w:lineRule="auto"/>
              <w:jc w:val="center"/>
              <w:rPr>
                <w:sz w:val="21"/>
              </w:rPr>
            </w:pPr>
            <w:r>
              <w:rPr>
                <w:sz w:val="21"/>
              </w:rPr>
              <w:t>检验批数</w:t>
            </w:r>
          </w:p>
        </w:tc>
        <w:tc>
          <w:tcPr>
            <w:tcW w:w="1367"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76" w:type="dxa"/>
            <w:gridSpan w:val="2"/>
            <w:vAlign w:val="center"/>
          </w:tcPr>
          <w:p>
            <w:pPr>
              <w:spacing w:line="240" w:lineRule="auto"/>
              <w:jc w:val="center"/>
              <w:rPr>
                <w:sz w:val="21"/>
              </w:rPr>
            </w:pPr>
            <w:r>
              <w:rPr>
                <w:sz w:val="21"/>
              </w:rPr>
              <w:t>施工单位</w:t>
            </w:r>
          </w:p>
        </w:tc>
        <w:tc>
          <w:tcPr>
            <w:tcW w:w="1327" w:type="dxa"/>
            <w:vAlign w:val="center"/>
          </w:tcPr>
          <w:p>
            <w:pPr>
              <w:spacing w:line="240" w:lineRule="auto"/>
              <w:jc w:val="center"/>
              <w:rPr>
                <w:sz w:val="21"/>
              </w:rPr>
            </w:pPr>
          </w:p>
        </w:tc>
        <w:tc>
          <w:tcPr>
            <w:tcW w:w="1513" w:type="dxa"/>
            <w:vAlign w:val="center"/>
          </w:tcPr>
          <w:p>
            <w:pPr>
              <w:spacing w:line="240" w:lineRule="auto"/>
              <w:jc w:val="center"/>
              <w:rPr>
                <w:sz w:val="21"/>
              </w:rPr>
            </w:pPr>
            <w:r>
              <w:rPr>
                <w:sz w:val="21"/>
              </w:rPr>
              <w:t>项目经理</w:t>
            </w:r>
          </w:p>
        </w:tc>
        <w:tc>
          <w:tcPr>
            <w:tcW w:w="1222" w:type="dxa"/>
            <w:gridSpan w:val="2"/>
            <w:vAlign w:val="center"/>
          </w:tcPr>
          <w:p>
            <w:pPr>
              <w:spacing w:line="240" w:lineRule="auto"/>
              <w:jc w:val="center"/>
              <w:rPr>
                <w:sz w:val="21"/>
              </w:rPr>
            </w:pPr>
          </w:p>
        </w:tc>
        <w:tc>
          <w:tcPr>
            <w:tcW w:w="1407" w:type="dxa"/>
            <w:vAlign w:val="center"/>
          </w:tcPr>
          <w:p>
            <w:pPr>
              <w:spacing w:line="240" w:lineRule="auto"/>
              <w:jc w:val="center"/>
              <w:rPr>
                <w:spacing w:val="-20"/>
                <w:sz w:val="21"/>
              </w:rPr>
            </w:pPr>
            <w:r>
              <w:rPr>
                <w:spacing w:val="-20"/>
                <w:sz w:val="21"/>
              </w:rPr>
              <w:t>项目技术负责人</w:t>
            </w:r>
          </w:p>
        </w:tc>
        <w:tc>
          <w:tcPr>
            <w:tcW w:w="1367"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1576" w:type="dxa"/>
            <w:gridSpan w:val="2"/>
            <w:vAlign w:val="center"/>
          </w:tcPr>
          <w:p>
            <w:pPr>
              <w:spacing w:line="240" w:lineRule="auto"/>
              <w:jc w:val="center"/>
              <w:rPr>
                <w:sz w:val="21"/>
              </w:rPr>
            </w:pPr>
            <w:r>
              <w:rPr>
                <w:sz w:val="21"/>
              </w:rPr>
              <w:t>专业分包单位</w:t>
            </w:r>
          </w:p>
        </w:tc>
        <w:tc>
          <w:tcPr>
            <w:tcW w:w="1327" w:type="dxa"/>
            <w:vAlign w:val="center"/>
          </w:tcPr>
          <w:p>
            <w:pPr>
              <w:spacing w:line="240" w:lineRule="auto"/>
              <w:jc w:val="center"/>
              <w:rPr>
                <w:sz w:val="21"/>
              </w:rPr>
            </w:pPr>
          </w:p>
        </w:tc>
        <w:tc>
          <w:tcPr>
            <w:tcW w:w="1513" w:type="dxa"/>
            <w:vAlign w:val="center"/>
          </w:tcPr>
          <w:p>
            <w:pPr>
              <w:pStyle w:val="26"/>
              <w:pBdr>
                <w:bottom w:val="none" w:color="auto" w:sz="0" w:space="0"/>
              </w:pBdr>
              <w:tabs>
                <w:tab w:val="clear" w:pos="4153"/>
                <w:tab w:val="clear" w:pos="8306"/>
              </w:tabs>
              <w:snapToGrid/>
              <w:spacing w:line="240" w:lineRule="auto"/>
              <w:rPr>
                <w:spacing w:val="-20"/>
                <w:sz w:val="21"/>
                <w:szCs w:val="21"/>
              </w:rPr>
            </w:pPr>
            <w:r>
              <w:rPr>
                <w:spacing w:val="-20"/>
                <w:sz w:val="21"/>
                <w:szCs w:val="21"/>
              </w:rPr>
              <w:t>专业分包单位负责人</w:t>
            </w:r>
          </w:p>
        </w:tc>
        <w:tc>
          <w:tcPr>
            <w:tcW w:w="1222" w:type="dxa"/>
            <w:gridSpan w:val="2"/>
            <w:vAlign w:val="center"/>
          </w:tcPr>
          <w:p>
            <w:pPr>
              <w:spacing w:line="240" w:lineRule="auto"/>
              <w:jc w:val="center"/>
              <w:rPr>
                <w:sz w:val="21"/>
              </w:rPr>
            </w:pPr>
          </w:p>
        </w:tc>
        <w:tc>
          <w:tcPr>
            <w:tcW w:w="1407" w:type="dxa"/>
            <w:vAlign w:val="center"/>
          </w:tcPr>
          <w:p>
            <w:pPr>
              <w:spacing w:line="240" w:lineRule="auto"/>
              <w:jc w:val="center"/>
              <w:rPr>
                <w:sz w:val="21"/>
              </w:rPr>
            </w:pPr>
            <w:r>
              <w:rPr>
                <w:sz w:val="21"/>
              </w:rPr>
              <w:t>施工班组长</w:t>
            </w:r>
          </w:p>
        </w:tc>
        <w:tc>
          <w:tcPr>
            <w:tcW w:w="1367"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序号</w:t>
            </w:r>
          </w:p>
        </w:tc>
        <w:tc>
          <w:tcPr>
            <w:tcW w:w="980" w:type="dxa"/>
            <w:vAlign w:val="center"/>
          </w:tcPr>
          <w:p>
            <w:pPr>
              <w:spacing w:line="240" w:lineRule="auto"/>
              <w:jc w:val="center"/>
              <w:rPr>
                <w:sz w:val="21"/>
              </w:rPr>
            </w:pPr>
            <w:r>
              <w:rPr>
                <w:sz w:val="21"/>
              </w:rPr>
              <w:t>检验批名称、部位</w:t>
            </w:r>
          </w:p>
        </w:tc>
        <w:tc>
          <w:tcPr>
            <w:tcW w:w="2840" w:type="dxa"/>
            <w:gridSpan w:val="2"/>
            <w:vAlign w:val="center"/>
          </w:tcPr>
          <w:p>
            <w:pPr>
              <w:spacing w:line="240" w:lineRule="auto"/>
              <w:jc w:val="center"/>
              <w:rPr>
                <w:sz w:val="21"/>
              </w:rPr>
            </w:pPr>
            <w:r>
              <w:rPr>
                <w:sz w:val="21"/>
              </w:rPr>
              <w:t>施工单位检查</w:t>
            </w:r>
          </w:p>
          <w:p>
            <w:pPr>
              <w:spacing w:line="240" w:lineRule="auto"/>
              <w:jc w:val="center"/>
              <w:rPr>
                <w:sz w:val="21"/>
              </w:rPr>
            </w:pPr>
            <w:r>
              <w:rPr>
                <w:sz w:val="21"/>
              </w:rPr>
              <w:t>评定结果</w:t>
            </w:r>
          </w:p>
        </w:tc>
        <w:tc>
          <w:tcPr>
            <w:tcW w:w="3996" w:type="dxa"/>
            <w:gridSpan w:val="4"/>
            <w:vAlign w:val="center"/>
          </w:tcPr>
          <w:p>
            <w:pPr>
              <w:spacing w:line="240" w:lineRule="auto"/>
              <w:jc w:val="center"/>
              <w:rPr>
                <w:sz w:val="21"/>
              </w:rPr>
            </w:pPr>
            <w:r>
              <w:rPr>
                <w:sz w:val="21"/>
              </w:rPr>
              <w:t>监理（建设）单位验收结论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pStyle w:val="86"/>
              <w:spacing w:line="240" w:lineRule="auto"/>
              <w:jc w:val="center"/>
              <w:rPr>
                <w:sz w:val="21"/>
                <w:szCs w:val="21"/>
              </w:rPr>
            </w:pPr>
            <w:r>
              <w:rPr>
                <w:sz w:val="21"/>
                <w:szCs w:val="21"/>
              </w:rPr>
              <w:t>1</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2</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3</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4</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5</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6</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7</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8</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9</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10</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11</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12</w:t>
            </w:r>
          </w:p>
        </w:tc>
        <w:tc>
          <w:tcPr>
            <w:tcW w:w="980" w:type="dxa"/>
            <w:vAlign w:val="center"/>
          </w:tcPr>
          <w:p>
            <w:pPr>
              <w:spacing w:line="240" w:lineRule="auto"/>
              <w:jc w:val="center"/>
              <w:rPr>
                <w:sz w:val="21"/>
              </w:rPr>
            </w:pPr>
          </w:p>
        </w:tc>
        <w:tc>
          <w:tcPr>
            <w:tcW w:w="2840" w:type="dxa"/>
            <w:gridSpan w:val="2"/>
            <w:vAlign w:val="center"/>
          </w:tcPr>
          <w:p>
            <w:pPr>
              <w:spacing w:line="240" w:lineRule="auto"/>
              <w:jc w:val="center"/>
              <w:rPr>
                <w:sz w:val="21"/>
              </w:rPr>
            </w:pPr>
          </w:p>
        </w:tc>
        <w:tc>
          <w:tcPr>
            <w:tcW w:w="3996" w:type="dxa"/>
            <w:gridSpan w:val="4"/>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p>
        </w:tc>
        <w:tc>
          <w:tcPr>
            <w:tcW w:w="980" w:type="dxa"/>
            <w:vAlign w:val="center"/>
          </w:tcPr>
          <w:p>
            <w:pPr>
              <w:spacing w:line="240" w:lineRule="auto"/>
              <w:ind w:firstLine="420" w:firstLineChars="200"/>
              <w:jc w:val="center"/>
              <w:rPr>
                <w:sz w:val="21"/>
              </w:rPr>
            </w:pPr>
          </w:p>
        </w:tc>
        <w:tc>
          <w:tcPr>
            <w:tcW w:w="2840" w:type="dxa"/>
            <w:gridSpan w:val="2"/>
            <w:vAlign w:val="center"/>
          </w:tcPr>
          <w:p>
            <w:pPr>
              <w:spacing w:line="240" w:lineRule="auto"/>
              <w:ind w:firstLine="420" w:firstLineChars="200"/>
              <w:jc w:val="center"/>
              <w:rPr>
                <w:sz w:val="21"/>
              </w:rPr>
            </w:pPr>
          </w:p>
        </w:tc>
        <w:tc>
          <w:tcPr>
            <w:tcW w:w="3996" w:type="dxa"/>
            <w:gridSpan w:val="4"/>
            <w:vAlign w:val="center"/>
          </w:tcPr>
          <w:p>
            <w:pPr>
              <w:spacing w:line="240" w:lineRule="auto"/>
              <w:ind w:firstLine="420" w:firstLineChars="20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p>
        </w:tc>
        <w:tc>
          <w:tcPr>
            <w:tcW w:w="980" w:type="dxa"/>
            <w:vAlign w:val="center"/>
          </w:tcPr>
          <w:p>
            <w:pPr>
              <w:spacing w:line="240" w:lineRule="auto"/>
              <w:ind w:firstLine="420" w:firstLineChars="200"/>
              <w:jc w:val="center"/>
              <w:rPr>
                <w:sz w:val="21"/>
              </w:rPr>
            </w:pPr>
          </w:p>
        </w:tc>
        <w:tc>
          <w:tcPr>
            <w:tcW w:w="2840" w:type="dxa"/>
            <w:gridSpan w:val="2"/>
            <w:vAlign w:val="center"/>
          </w:tcPr>
          <w:p>
            <w:pPr>
              <w:spacing w:line="240" w:lineRule="auto"/>
              <w:ind w:firstLine="420" w:firstLineChars="200"/>
              <w:jc w:val="center"/>
              <w:rPr>
                <w:sz w:val="21"/>
              </w:rPr>
            </w:pPr>
          </w:p>
        </w:tc>
        <w:tc>
          <w:tcPr>
            <w:tcW w:w="3996" w:type="dxa"/>
            <w:gridSpan w:val="4"/>
            <w:vAlign w:val="center"/>
          </w:tcPr>
          <w:p>
            <w:pPr>
              <w:spacing w:line="240" w:lineRule="auto"/>
              <w:ind w:firstLine="420" w:firstLineChars="20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rPr>
        <w:tc>
          <w:tcPr>
            <w:tcW w:w="596" w:type="dxa"/>
            <w:vAlign w:val="center"/>
          </w:tcPr>
          <w:p>
            <w:pPr>
              <w:spacing w:line="240" w:lineRule="auto"/>
              <w:jc w:val="center"/>
              <w:rPr>
                <w:sz w:val="21"/>
              </w:rPr>
            </w:pPr>
            <w:r>
              <w:rPr>
                <w:sz w:val="21"/>
              </w:rPr>
              <w:t>检</w:t>
            </w:r>
          </w:p>
          <w:p>
            <w:pPr>
              <w:spacing w:line="240" w:lineRule="auto"/>
              <w:jc w:val="center"/>
              <w:rPr>
                <w:sz w:val="21"/>
              </w:rPr>
            </w:pPr>
            <w:r>
              <w:rPr>
                <w:sz w:val="21"/>
              </w:rPr>
              <w:t>查</w:t>
            </w:r>
          </w:p>
          <w:p>
            <w:pPr>
              <w:spacing w:line="240" w:lineRule="auto"/>
              <w:jc w:val="center"/>
              <w:rPr>
                <w:sz w:val="21"/>
              </w:rPr>
            </w:pPr>
            <w:r>
              <w:rPr>
                <w:sz w:val="21"/>
              </w:rPr>
              <w:t>结</w:t>
            </w:r>
          </w:p>
          <w:p>
            <w:pPr>
              <w:spacing w:line="240" w:lineRule="auto"/>
              <w:jc w:val="center"/>
              <w:rPr>
                <w:sz w:val="21"/>
              </w:rPr>
            </w:pPr>
            <w:r>
              <w:rPr>
                <w:sz w:val="21"/>
              </w:rPr>
              <w:t>论</w:t>
            </w:r>
          </w:p>
        </w:tc>
        <w:tc>
          <w:tcPr>
            <w:tcW w:w="3820" w:type="dxa"/>
            <w:gridSpan w:val="3"/>
            <w:vAlign w:val="center"/>
          </w:tcPr>
          <w:p>
            <w:pPr>
              <w:spacing w:line="240" w:lineRule="auto"/>
              <w:ind w:left="-122" w:leftChars="-51"/>
              <w:jc w:val="center"/>
              <w:rPr>
                <w:sz w:val="21"/>
              </w:rPr>
            </w:pPr>
          </w:p>
          <w:p>
            <w:pPr>
              <w:spacing w:line="240" w:lineRule="auto"/>
              <w:ind w:left="-122" w:leftChars="-51"/>
              <w:jc w:val="center"/>
              <w:rPr>
                <w:sz w:val="21"/>
              </w:rPr>
            </w:pPr>
          </w:p>
          <w:p>
            <w:pPr>
              <w:spacing w:line="240" w:lineRule="auto"/>
              <w:ind w:left="-122" w:leftChars="-51"/>
              <w:jc w:val="center"/>
              <w:rPr>
                <w:sz w:val="21"/>
              </w:rPr>
            </w:pPr>
          </w:p>
          <w:p>
            <w:pPr>
              <w:spacing w:line="240" w:lineRule="auto"/>
              <w:ind w:left="-122" w:leftChars="-51"/>
              <w:jc w:val="center"/>
              <w:rPr>
                <w:sz w:val="21"/>
              </w:rPr>
            </w:pPr>
          </w:p>
          <w:p>
            <w:pPr>
              <w:spacing w:line="240" w:lineRule="auto"/>
              <w:ind w:left="-121" w:leftChars="-51" w:hanging="1"/>
              <w:jc w:val="center"/>
              <w:rPr>
                <w:sz w:val="21"/>
              </w:rPr>
            </w:pPr>
          </w:p>
          <w:p>
            <w:pPr>
              <w:spacing w:line="240" w:lineRule="auto"/>
              <w:ind w:left="-121" w:leftChars="-51" w:hanging="1"/>
              <w:jc w:val="center"/>
              <w:rPr>
                <w:sz w:val="21"/>
              </w:rPr>
            </w:pPr>
          </w:p>
          <w:p>
            <w:pPr>
              <w:spacing w:line="240" w:lineRule="auto"/>
              <w:ind w:left="-121" w:leftChars="-51" w:hanging="1"/>
              <w:jc w:val="center"/>
              <w:rPr>
                <w:sz w:val="21"/>
              </w:rPr>
            </w:pPr>
          </w:p>
          <w:p>
            <w:pPr>
              <w:spacing w:line="240" w:lineRule="auto"/>
              <w:ind w:left="-122" w:leftChars="-51"/>
              <w:jc w:val="center"/>
              <w:rPr>
                <w:sz w:val="21"/>
              </w:rPr>
            </w:pPr>
          </w:p>
          <w:p>
            <w:pPr>
              <w:spacing w:line="240" w:lineRule="auto"/>
              <w:ind w:firstLine="210" w:firstLineChars="100"/>
              <w:jc w:val="center"/>
              <w:rPr>
                <w:sz w:val="21"/>
              </w:rPr>
            </w:pPr>
            <w:r>
              <w:rPr>
                <w:sz w:val="21"/>
              </w:rPr>
              <w:t>施工员：</w:t>
            </w:r>
          </w:p>
          <w:p>
            <w:pPr>
              <w:spacing w:line="240" w:lineRule="auto"/>
              <w:ind w:firstLine="210" w:firstLineChars="100"/>
              <w:jc w:val="center"/>
              <w:rPr>
                <w:sz w:val="21"/>
              </w:rPr>
            </w:pPr>
            <w:r>
              <w:rPr>
                <w:sz w:val="21"/>
              </w:rPr>
              <w:t>项目专业质量员：</w:t>
            </w:r>
          </w:p>
          <w:p>
            <w:pPr>
              <w:spacing w:line="240" w:lineRule="auto"/>
              <w:jc w:val="center"/>
              <w:rPr>
                <w:sz w:val="21"/>
              </w:rPr>
            </w:pPr>
            <w:r>
              <w:rPr>
                <w:sz w:val="21"/>
              </w:rPr>
              <w:t>年　  月　  日</w:t>
            </w:r>
          </w:p>
        </w:tc>
        <w:tc>
          <w:tcPr>
            <w:tcW w:w="652" w:type="dxa"/>
            <w:vAlign w:val="center"/>
          </w:tcPr>
          <w:p>
            <w:pPr>
              <w:spacing w:line="240" w:lineRule="auto"/>
              <w:jc w:val="center"/>
              <w:rPr>
                <w:sz w:val="21"/>
              </w:rPr>
            </w:pPr>
            <w:r>
              <w:rPr>
                <w:sz w:val="21"/>
              </w:rPr>
              <w:t>验</w:t>
            </w:r>
          </w:p>
          <w:p>
            <w:pPr>
              <w:spacing w:line="240" w:lineRule="auto"/>
              <w:jc w:val="center"/>
              <w:rPr>
                <w:sz w:val="21"/>
              </w:rPr>
            </w:pPr>
            <w:r>
              <w:rPr>
                <w:sz w:val="21"/>
              </w:rPr>
              <w:t>收</w:t>
            </w:r>
          </w:p>
          <w:p>
            <w:pPr>
              <w:spacing w:line="240" w:lineRule="auto"/>
              <w:jc w:val="center"/>
              <w:rPr>
                <w:sz w:val="21"/>
              </w:rPr>
            </w:pPr>
            <w:r>
              <w:rPr>
                <w:sz w:val="21"/>
              </w:rPr>
              <w:t>结</w:t>
            </w:r>
          </w:p>
          <w:p>
            <w:pPr>
              <w:spacing w:line="240" w:lineRule="auto"/>
              <w:jc w:val="center"/>
              <w:rPr>
                <w:sz w:val="21"/>
              </w:rPr>
            </w:pPr>
            <w:r>
              <w:rPr>
                <w:sz w:val="21"/>
              </w:rPr>
              <w:t>论</w:t>
            </w:r>
          </w:p>
        </w:tc>
        <w:tc>
          <w:tcPr>
            <w:tcW w:w="3344" w:type="dxa"/>
            <w:gridSpan w:val="3"/>
            <w:vAlign w:val="center"/>
          </w:tcPr>
          <w:p>
            <w:pPr>
              <w:spacing w:line="240" w:lineRule="auto"/>
              <w:jc w:val="center"/>
              <w:rPr>
                <w:sz w:val="21"/>
              </w:rPr>
            </w:pPr>
          </w:p>
          <w:p>
            <w:pPr>
              <w:spacing w:line="240" w:lineRule="auto"/>
              <w:jc w:val="center"/>
              <w:rPr>
                <w:sz w:val="21"/>
              </w:rPr>
            </w:pPr>
          </w:p>
          <w:p>
            <w:pPr>
              <w:spacing w:line="240" w:lineRule="auto"/>
              <w:jc w:val="center"/>
              <w:rPr>
                <w:sz w:val="21"/>
              </w:rPr>
            </w:pPr>
          </w:p>
          <w:p>
            <w:pPr>
              <w:spacing w:line="240" w:lineRule="auto"/>
              <w:jc w:val="center"/>
              <w:rPr>
                <w:sz w:val="21"/>
              </w:rPr>
            </w:pPr>
          </w:p>
          <w:p>
            <w:pPr>
              <w:spacing w:line="240" w:lineRule="auto"/>
              <w:jc w:val="center"/>
              <w:rPr>
                <w:sz w:val="21"/>
              </w:rPr>
            </w:pPr>
          </w:p>
          <w:p>
            <w:pPr>
              <w:spacing w:line="240" w:lineRule="auto"/>
              <w:jc w:val="center"/>
              <w:rPr>
                <w:sz w:val="21"/>
              </w:rPr>
            </w:pPr>
          </w:p>
          <w:p>
            <w:pPr>
              <w:spacing w:line="240" w:lineRule="auto"/>
              <w:jc w:val="center"/>
              <w:rPr>
                <w:sz w:val="21"/>
              </w:rPr>
            </w:pPr>
          </w:p>
          <w:p>
            <w:pPr>
              <w:spacing w:line="240" w:lineRule="auto"/>
              <w:jc w:val="center"/>
              <w:rPr>
                <w:sz w:val="21"/>
              </w:rPr>
            </w:pPr>
          </w:p>
          <w:p>
            <w:pPr>
              <w:spacing w:line="240" w:lineRule="auto"/>
              <w:ind w:firstLine="1260" w:firstLineChars="600"/>
              <w:jc w:val="center"/>
              <w:rPr>
                <w:sz w:val="21"/>
              </w:rPr>
            </w:pPr>
            <w:r>
              <w:rPr>
                <w:sz w:val="21"/>
              </w:rPr>
              <w:t>专业监理工程师</w:t>
            </w:r>
          </w:p>
          <w:p>
            <w:pPr>
              <w:spacing w:line="240" w:lineRule="auto"/>
              <w:ind w:firstLine="210" w:firstLineChars="100"/>
              <w:jc w:val="center"/>
              <w:rPr>
                <w:sz w:val="21"/>
              </w:rPr>
            </w:pPr>
            <w:r>
              <w:rPr>
                <w:sz w:val="21"/>
              </w:rPr>
              <w:t xml:space="preserve">        （建设项目专业技术负责人）</w:t>
            </w:r>
          </w:p>
          <w:p>
            <w:pPr>
              <w:spacing w:line="240" w:lineRule="auto"/>
              <w:ind w:left="3540" w:leftChars="600" w:hanging="2100" w:hangingChars="1000"/>
              <w:jc w:val="center"/>
              <w:rPr>
                <w:sz w:val="21"/>
              </w:rPr>
            </w:pPr>
            <w:r>
              <w:rPr>
                <w:sz w:val="21"/>
              </w:rPr>
              <w:t>年　　月　　日</w:t>
            </w:r>
          </w:p>
        </w:tc>
      </w:tr>
    </w:tbl>
    <w:p>
      <w:pPr>
        <w:rPr>
          <w:b/>
          <w:bCs/>
        </w:rPr>
      </w:pPr>
    </w:p>
    <w:p>
      <w:pPr>
        <w:widowControl/>
        <w:spacing w:line="240" w:lineRule="auto"/>
        <w:jc w:val="left"/>
        <w:rPr>
          <w:b/>
          <w:bCs/>
        </w:rPr>
      </w:pPr>
      <w:r>
        <w:rPr>
          <w:b/>
          <w:bCs/>
        </w:rPr>
        <w:br w:type="page"/>
      </w:r>
    </w:p>
    <w:p>
      <w:pPr>
        <w:rPr>
          <w:b/>
          <w:bCs/>
        </w:rPr>
      </w:pPr>
    </w:p>
    <w:p>
      <w:r>
        <w:rPr>
          <w:b/>
          <w:bCs/>
        </w:rPr>
        <w:t xml:space="preserve">B.0.3  </w:t>
      </w:r>
      <w:r>
        <w:t>分部（子分部）工程质量应由总监理工程师组织施工单位项目负责人和项目技术负责人以及有关单位的项目负责人进行验收，并</w:t>
      </w:r>
      <w:r>
        <w:rPr>
          <w:rFonts w:hint="eastAsia"/>
        </w:rPr>
        <w:t>宜</w:t>
      </w:r>
      <w:r>
        <w:t>按表B.0.3记录。</w:t>
      </w:r>
    </w:p>
    <w:p>
      <w:pPr>
        <w:jc w:val="center"/>
        <w:rPr>
          <w:bCs/>
          <w:sz w:val="21"/>
          <w:szCs w:val="18"/>
        </w:rPr>
      </w:pPr>
      <w:r>
        <w:rPr>
          <w:b/>
          <w:sz w:val="21"/>
          <w:szCs w:val="18"/>
        </w:rPr>
        <w:t>表B.0.3  分部（子分部）工程质量验收记录表</w:t>
      </w:r>
    </w:p>
    <w:p>
      <w:pPr>
        <w:wordWrap w:val="0"/>
        <w:ind w:firstLine="6435"/>
        <w:jc w:val="right"/>
        <w:rPr>
          <w:bCs/>
          <w:sz w:val="21"/>
          <w:szCs w:val="18"/>
        </w:rPr>
      </w:pPr>
      <w:r>
        <w:rPr>
          <w:bCs/>
          <w:sz w:val="21"/>
          <w:szCs w:val="18"/>
        </w:rPr>
        <w:t>编号: __________</w:t>
      </w:r>
    </w:p>
    <w:tbl>
      <w:tblPr>
        <w:tblStyle w:val="47"/>
        <w:tblW w:w="831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7"/>
        <w:gridCol w:w="531"/>
        <w:gridCol w:w="999"/>
        <w:gridCol w:w="1487"/>
        <w:gridCol w:w="1553"/>
        <w:gridCol w:w="1752"/>
        <w:gridCol w:w="13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08" w:type="dxa"/>
            <w:gridSpan w:val="2"/>
            <w:vAlign w:val="center"/>
          </w:tcPr>
          <w:p>
            <w:pPr>
              <w:spacing w:line="240" w:lineRule="auto"/>
              <w:jc w:val="center"/>
              <w:rPr>
                <w:sz w:val="21"/>
              </w:rPr>
            </w:pPr>
            <w:r>
              <w:rPr>
                <w:sz w:val="21"/>
              </w:rPr>
              <w:t>工程名称</w:t>
            </w:r>
          </w:p>
        </w:tc>
        <w:tc>
          <w:tcPr>
            <w:tcW w:w="4039" w:type="dxa"/>
            <w:gridSpan w:val="3"/>
            <w:vAlign w:val="center"/>
          </w:tcPr>
          <w:p>
            <w:pPr>
              <w:spacing w:line="240" w:lineRule="auto"/>
              <w:jc w:val="center"/>
              <w:rPr>
                <w:sz w:val="21"/>
              </w:rPr>
            </w:pPr>
          </w:p>
        </w:tc>
        <w:tc>
          <w:tcPr>
            <w:tcW w:w="1752" w:type="dxa"/>
            <w:vAlign w:val="center"/>
          </w:tcPr>
          <w:p>
            <w:pPr>
              <w:spacing w:line="240" w:lineRule="auto"/>
              <w:jc w:val="center"/>
              <w:rPr>
                <w:sz w:val="21"/>
              </w:rPr>
            </w:pPr>
            <w:r>
              <w:rPr>
                <w:sz w:val="21"/>
              </w:rPr>
              <w:t>分部工程名称</w:t>
            </w:r>
          </w:p>
        </w:tc>
        <w:tc>
          <w:tcPr>
            <w:tcW w:w="1315"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08" w:type="dxa"/>
            <w:gridSpan w:val="2"/>
            <w:vAlign w:val="center"/>
          </w:tcPr>
          <w:p>
            <w:pPr>
              <w:spacing w:line="240" w:lineRule="auto"/>
              <w:jc w:val="center"/>
              <w:rPr>
                <w:sz w:val="21"/>
              </w:rPr>
            </w:pPr>
            <w:r>
              <w:rPr>
                <w:sz w:val="21"/>
              </w:rPr>
              <w:t>施工单位</w:t>
            </w:r>
          </w:p>
        </w:tc>
        <w:tc>
          <w:tcPr>
            <w:tcW w:w="999" w:type="dxa"/>
            <w:vAlign w:val="center"/>
          </w:tcPr>
          <w:p>
            <w:pPr>
              <w:spacing w:line="240" w:lineRule="auto"/>
              <w:jc w:val="center"/>
              <w:rPr>
                <w:sz w:val="21"/>
              </w:rPr>
            </w:pPr>
          </w:p>
        </w:tc>
        <w:tc>
          <w:tcPr>
            <w:tcW w:w="1487" w:type="dxa"/>
            <w:vAlign w:val="center"/>
          </w:tcPr>
          <w:p>
            <w:pPr>
              <w:pStyle w:val="26"/>
              <w:pBdr>
                <w:bottom w:val="none" w:color="auto" w:sz="0" w:space="0"/>
              </w:pBdr>
              <w:tabs>
                <w:tab w:val="clear" w:pos="4153"/>
                <w:tab w:val="clear" w:pos="8306"/>
              </w:tabs>
              <w:snapToGrid/>
              <w:spacing w:line="240" w:lineRule="auto"/>
              <w:rPr>
                <w:spacing w:val="-20"/>
                <w:sz w:val="21"/>
                <w:szCs w:val="21"/>
              </w:rPr>
            </w:pPr>
            <w:r>
              <w:rPr>
                <w:spacing w:val="-20"/>
                <w:sz w:val="21"/>
                <w:szCs w:val="21"/>
              </w:rPr>
              <w:t>技术部门负责人</w:t>
            </w:r>
          </w:p>
        </w:tc>
        <w:tc>
          <w:tcPr>
            <w:tcW w:w="1553" w:type="dxa"/>
            <w:vAlign w:val="center"/>
          </w:tcPr>
          <w:p>
            <w:pPr>
              <w:spacing w:line="240" w:lineRule="auto"/>
              <w:jc w:val="center"/>
              <w:rPr>
                <w:sz w:val="21"/>
              </w:rPr>
            </w:pPr>
          </w:p>
        </w:tc>
        <w:tc>
          <w:tcPr>
            <w:tcW w:w="1752" w:type="dxa"/>
            <w:vAlign w:val="center"/>
          </w:tcPr>
          <w:p>
            <w:pPr>
              <w:spacing w:line="240" w:lineRule="auto"/>
              <w:jc w:val="center"/>
              <w:rPr>
                <w:spacing w:val="-20"/>
                <w:sz w:val="21"/>
              </w:rPr>
            </w:pPr>
            <w:r>
              <w:rPr>
                <w:spacing w:val="-20"/>
                <w:sz w:val="21"/>
              </w:rPr>
              <w:t>质量部门负责人</w:t>
            </w:r>
          </w:p>
        </w:tc>
        <w:tc>
          <w:tcPr>
            <w:tcW w:w="1315"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08" w:type="dxa"/>
            <w:gridSpan w:val="2"/>
            <w:vAlign w:val="center"/>
          </w:tcPr>
          <w:p>
            <w:pPr>
              <w:spacing w:line="240" w:lineRule="auto"/>
              <w:jc w:val="center"/>
              <w:rPr>
                <w:sz w:val="21"/>
              </w:rPr>
            </w:pPr>
            <w:r>
              <w:rPr>
                <w:sz w:val="21"/>
              </w:rPr>
              <w:t>分包单位</w:t>
            </w:r>
          </w:p>
        </w:tc>
        <w:tc>
          <w:tcPr>
            <w:tcW w:w="999" w:type="dxa"/>
            <w:vAlign w:val="center"/>
          </w:tcPr>
          <w:p>
            <w:pPr>
              <w:spacing w:line="240" w:lineRule="auto"/>
              <w:jc w:val="center"/>
              <w:rPr>
                <w:sz w:val="21"/>
              </w:rPr>
            </w:pPr>
          </w:p>
        </w:tc>
        <w:tc>
          <w:tcPr>
            <w:tcW w:w="1487" w:type="dxa"/>
            <w:vAlign w:val="center"/>
          </w:tcPr>
          <w:p>
            <w:pPr>
              <w:spacing w:line="240" w:lineRule="auto"/>
              <w:jc w:val="center"/>
              <w:rPr>
                <w:spacing w:val="-20"/>
                <w:sz w:val="21"/>
              </w:rPr>
            </w:pPr>
            <w:r>
              <w:rPr>
                <w:spacing w:val="-20"/>
                <w:sz w:val="21"/>
              </w:rPr>
              <w:t>分包单位负责人</w:t>
            </w:r>
          </w:p>
        </w:tc>
        <w:tc>
          <w:tcPr>
            <w:tcW w:w="1553" w:type="dxa"/>
            <w:vAlign w:val="center"/>
          </w:tcPr>
          <w:p>
            <w:pPr>
              <w:spacing w:line="240" w:lineRule="auto"/>
              <w:jc w:val="center"/>
              <w:rPr>
                <w:sz w:val="21"/>
              </w:rPr>
            </w:pPr>
          </w:p>
        </w:tc>
        <w:tc>
          <w:tcPr>
            <w:tcW w:w="1752" w:type="dxa"/>
            <w:vAlign w:val="center"/>
          </w:tcPr>
          <w:p>
            <w:pPr>
              <w:spacing w:line="240" w:lineRule="auto"/>
              <w:jc w:val="center"/>
              <w:rPr>
                <w:spacing w:val="-20"/>
                <w:sz w:val="21"/>
              </w:rPr>
            </w:pPr>
            <w:r>
              <w:rPr>
                <w:spacing w:val="-20"/>
                <w:sz w:val="21"/>
              </w:rPr>
              <w:t>分包技术负责人</w:t>
            </w:r>
          </w:p>
        </w:tc>
        <w:tc>
          <w:tcPr>
            <w:tcW w:w="1315" w:type="dxa"/>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7" w:type="dxa"/>
            <w:vAlign w:val="center"/>
          </w:tcPr>
          <w:p>
            <w:pPr>
              <w:spacing w:line="240" w:lineRule="auto"/>
              <w:jc w:val="center"/>
              <w:rPr>
                <w:sz w:val="21"/>
              </w:rPr>
            </w:pPr>
            <w:r>
              <w:rPr>
                <w:sz w:val="21"/>
              </w:rPr>
              <w:t>序号</w:t>
            </w:r>
          </w:p>
        </w:tc>
        <w:tc>
          <w:tcPr>
            <w:tcW w:w="1530" w:type="dxa"/>
            <w:gridSpan w:val="2"/>
            <w:vAlign w:val="center"/>
          </w:tcPr>
          <w:p>
            <w:pPr>
              <w:spacing w:line="240" w:lineRule="auto"/>
              <w:jc w:val="center"/>
              <w:rPr>
                <w:sz w:val="21"/>
              </w:rPr>
            </w:pPr>
            <w:r>
              <w:rPr>
                <w:sz w:val="21"/>
              </w:rPr>
              <w:t>分项工程名称</w:t>
            </w:r>
          </w:p>
        </w:tc>
        <w:tc>
          <w:tcPr>
            <w:tcW w:w="1487" w:type="dxa"/>
            <w:vAlign w:val="center"/>
          </w:tcPr>
          <w:p>
            <w:pPr>
              <w:spacing w:line="240" w:lineRule="auto"/>
              <w:jc w:val="center"/>
              <w:rPr>
                <w:sz w:val="21"/>
              </w:rPr>
            </w:pPr>
            <w:r>
              <w:rPr>
                <w:sz w:val="21"/>
              </w:rPr>
              <w:t>检验批数</w:t>
            </w:r>
          </w:p>
        </w:tc>
        <w:tc>
          <w:tcPr>
            <w:tcW w:w="1553" w:type="dxa"/>
            <w:vAlign w:val="center"/>
          </w:tcPr>
          <w:p>
            <w:pPr>
              <w:spacing w:line="240" w:lineRule="auto"/>
              <w:jc w:val="center"/>
              <w:rPr>
                <w:sz w:val="21"/>
              </w:rPr>
            </w:pPr>
            <w:r>
              <w:rPr>
                <w:sz w:val="21"/>
              </w:rPr>
              <w:t>施工单位检查评定</w:t>
            </w:r>
          </w:p>
        </w:tc>
        <w:tc>
          <w:tcPr>
            <w:tcW w:w="3067" w:type="dxa"/>
            <w:gridSpan w:val="2"/>
            <w:vAlign w:val="center"/>
          </w:tcPr>
          <w:p>
            <w:pPr>
              <w:spacing w:line="240" w:lineRule="auto"/>
              <w:jc w:val="center"/>
              <w:rPr>
                <w:sz w:val="21"/>
              </w:rPr>
            </w:pPr>
            <w:r>
              <w:rPr>
                <w:sz w:val="21"/>
              </w:rPr>
              <w:t>验　收　意　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7" w:type="dxa"/>
            <w:vAlign w:val="center"/>
          </w:tcPr>
          <w:p>
            <w:pPr>
              <w:pStyle w:val="86"/>
              <w:spacing w:line="240" w:lineRule="auto"/>
              <w:jc w:val="center"/>
              <w:rPr>
                <w:sz w:val="21"/>
                <w:szCs w:val="21"/>
              </w:rPr>
            </w:pPr>
            <w:r>
              <w:rPr>
                <w:sz w:val="21"/>
                <w:szCs w:val="21"/>
              </w:rPr>
              <w:t>1</w:t>
            </w:r>
          </w:p>
        </w:tc>
        <w:tc>
          <w:tcPr>
            <w:tcW w:w="1530" w:type="dxa"/>
            <w:gridSpan w:val="2"/>
            <w:vAlign w:val="center"/>
          </w:tcPr>
          <w:p>
            <w:pPr>
              <w:spacing w:line="240" w:lineRule="auto"/>
              <w:jc w:val="center"/>
              <w:rPr>
                <w:sz w:val="21"/>
              </w:rPr>
            </w:pPr>
          </w:p>
        </w:tc>
        <w:tc>
          <w:tcPr>
            <w:tcW w:w="1487" w:type="dxa"/>
            <w:vAlign w:val="center"/>
          </w:tcPr>
          <w:p>
            <w:pPr>
              <w:pStyle w:val="26"/>
              <w:pBdr>
                <w:bottom w:val="none" w:color="auto" w:sz="0" w:space="0"/>
              </w:pBdr>
              <w:tabs>
                <w:tab w:val="clear" w:pos="4153"/>
                <w:tab w:val="clear" w:pos="8306"/>
              </w:tabs>
              <w:snapToGrid/>
              <w:spacing w:line="240" w:lineRule="auto"/>
              <w:rPr>
                <w:sz w:val="21"/>
                <w:szCs w:val="21"/>
              </w:rPr>
            </w:pPr>
          </w:p>
        </w:tc>
        <w:tc>
          <w:tcPr>
            <w:tcW w:w="1553" w:type="dxa"/>
            <w:vAlign w:val="center"/>
          </w:tcPr>
          <w:p>
            <w:pPr>
              <w:spacing w:line="240" w:lineRule="auto"/>
              <w:jc w:val="center"/>
              <w:rPr>
                <w:sz w:val="21"/>
              </w:rPr>
            </w:pPr>
          </w:p>
        </w:tc>
        <w:tc>
          <w:tcPr>
            <w:tcW w:w="3067" w:type="dxa"/>
            <w:gridSpan w:val="2"/>
            <w:vMerge w:val="restart"/>
            <w:vAlign w:val="center"/>
          </w:tcPr>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7" w:type="dxa"/>
            <w:vAlign w:val="center"/>
          </w:tcPr>
          <w:p>
            <w:pPr>
              <w:spacing w:line="240" w:lineRule="auto"/>
              <w:jc w:val="center"/>
              <w:rPr>
                <w:sz w:val="21"/>
              </w:rPr>
            </w:pPr>
            <w:r>
              <w:rPr>
                <w:sz w:val="21"/>
              </w:rPr>
              <w:t>2</w:t>
            </w:r>
          </w:p>
        </w:tc>
        <w:tc>
          <w:tcPr>
            <w:tcW w:w="1530" w:type="dxa"/>
            <w:gridSpan w:val="2"/>
            <w:vAlign w:val="center"/>
          </w:tcPr>
          <w:p>
            <w:pPr>
              <w:spacing w:line="240" w:lineRule="auto"/>
              <w:jc w:val="center"/>
              <w:rPr>
                <w:sz w:val="21"/>
              </w:rPr>
            </w:pPr>
          </w:p>
        </w:tc>
        <w:tc>
          <w:tcPr>
            <w:tcW w:w="1487" w:type="dxa"/>
            <w:vAlign w:val="center"/>
          </w:tcPr>
          <w:p>
            <w:pPr>
              <w:spacing w:line="240" w:lineRule="auto"/>
              <w:jc w:val="center"/>
              <w:rPr>
                <w:sz w:val="21"/>
              </w:rPr>
            </w:pPr>
          </w:p>
        </w:tc>
        <w:tc>
          <w:tcPr>
            <w:tcW w:w="1553" w:type="dxa"/>
            <w:vAlign w:val="center"/>
          </w:tcPr>
          <w:p>
            <w:pPr>
              <w:spacing w:line="240" w:lineRule="auto"/>
              <w:jc w:val="center"/>
              <w:rPr>
                <w:sz w:val="21"/>
              </w:rPr>
            </w:pPr>
          </w:p>
        </w:tc>
        <w:tc>
          <w:tcPr>
            <w:tcW w:w="3067" w:type="dxa"/>
            <w:gridSpan w:val="2"/>
            <w:vMerge w:val="continue"/>
            <w:vAlign w:val="center"/>
          </w:tcPr>
          <w:p>
            <w:pPr>
              <w:widowControl/>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7" w:type="dxa"/>
            <w:vAlign w:val="center"/>
          </w:tcPr>
          <w:p>
            <w:pPr>
              <w:spacing w:line="240" w:lineRule="auto"/>
              <w:jc w:val="center"/>
              <w:rPr>
                <w:sz w:val="21"/>
              </w:rPr>
            </w:pPr>
            <w:r>
              <w:rPr>
                <w:sz w:val="21"/>
              </w:rPr>
              <w:t>3</w:t>
            </w:r>
          </w:p>
        </w:tc>
        <w:tc>
          <w:tcPr>
            <w:tcW w:w="1530" w:type="dxa"/>
            <w:gridSpan w:val="2"/>
            <w:vAlign w:val="center"/>
          </w:tcPr>
          <w:p>
            <w:pPr>
              <w:spacing w:line="240" w:lineRule="auto"/>
              <w:jc w:val="center"/>
              <w:rPr>
                <w:sz w:val="21"/>
              </w:rPr>
            </w:pPr>
          </w:p>
        </w:tc>
        <w:tc>
          <w:tcPr>
            <w:tcW w:w="1487" w:type="dxa"/>
            <w:vAlign w:val="center"/>
          </w:tcPr>
          <w:p>
            <w:pPr>
              <w:spacing w:line="240" w:lineRule="auto"/>
              <w:jc w:val="center"/>
              <w:rPr>
                <w:sz w:val="21"/>
              </w:rPr>
            </w:pPr>
          </w:p>
        </w:tc>
        <w:tc>
          <w:tcPr>
            <w:tcW w:w="1553" w:type="dxa"/>
            <w:vAlign w:val="center"/>
          </w:tcPr>
          <w:p>
            <w:pPr>
              <w:spacing w:line="240" w:lineRule="auto"/>
              <w:jc w:val="center"/>
              <w:rPr>
                <w:sz w:val="21"/>
              </w:rPr>
            </w:pPr>
          </w:p>
        </w:tc>
        <w:tc>
          <w:tcPr>
            <w:tcW w:w="3067" w:type="dxa"/>
            <w:gridSpan w:val="2"/>
            <w:vMerge w:val="continue"/>
            <w:vAlign w:val="center"/>
          </w:tcPr>
          <w:p>
            <w:pPr>
              <w:widowControl/>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7" w:type="dxa"/>
            <w:vAlign w:val="center"/>
          </w:tcPr>
          <w:p>
            <w:pPr>
              <w:spacing w:line="240" w:lineRule="auto"/>
              <w:jc w:val="center"/>
              <w:rPr>
                <w:sz w:val="21"/>
              </w:rPr>
            </w:pPr>
            <w:r>
              <w:rPr>
                <w:sz w:val="21"/>
              </w:rPr>
              <w:t>4</w:t>
            </w:r>
          </w:p>
        </w:tc>
        <w:tc>
          <w:tcPr>
            <w:tcW w:w="1530" w:type="dxa"/>
            <w:gridSpan w:val="2"/>
            <w:vAlign w:val="center"/>
          </w:tcPr>
          <w:p>
            <w:pPr>
              <w:spacing w:line="240" w:lineRule="auto"/>
              <w:jc w:val="center"/>
              <w:rPr>
                <w:sz w:val="21"/>
              </w:rPr>
            </w:pPr>
          </w:p>
        </w:tc>
        <w:tc>
          <w:tcPr>
            <w:tcW w:w="1487" w:type="dxa"/>
            <w:vAlign w:val="center"/>
          </w:tcPr>
          <w:p>
            <w:pPr>
              <w:spacing w:line="240" w:lineRule="auto"/>
              <w:jc w:val="center"/>
              <w:rPr>
                <w:sz w:val="21"/>
              </w:rPr>
            </w:pPr>
          </w:p>
        </w:tc>
        <w:tc>
          <w:tcPr>
            <w:tcW w:w="1553" w:type="dxa"/>
            <w:vAlign w:val="center"/>
          </w:tcPr>
          <w:p>
            <w:pPr>
              <w:spacing w:line="240" w:lineRule="auto"/>
              <w:jc w:val="center"/>
              <w:rPr>
                <w:sz w:val="21"/>
              </w:rPr>
            </w:pPr>
          </w:p>
        </w:tc>
        <w:tc>
          <w:tcPr>
            <w:tcW w:w="3067" w:type="dxa"/>
            <w:gridSpan w:val="2"/>
            <w:vMerge w:val="continue"/>
            <w:vAlign w:val="center"/>
          </w:tcPr>
          <w:p>
            <w:pPr>
              <w:widowControl/>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77" w:type="dxa"/>
            <w:vAlign w:val="center"/>
          </w:tcPr>
          <w:p>
            <w:pPr>
              <w:spacing w:line="240" w:lineRule="auto"/>
              <w:jc w:val="center"/>
              <w:rPr>
                <w:sz w:val="21"/>
              </w:rPr>
            </w:pPr>
            <w:r>
              <w:rPr>
                <w:sz w:val="21"/>
              </w:rPr>
              <w:t>5</w:t>
            </w:r>
          </w:p>
        </w:tc>
        <w:tc>
          <w:tcPr>
            <w:tcW w:w="1530" w:type="dxa"/>
            <w:gridSpan w:val="2"/>
            <w:vAlign w:val="center"/>
          </w:tcPr>
          <w:p>
            <w:pPr>
              <w:spacing w:line="240" w:lineRule="auto"/>
              <w:jc w:val="center"/>
              <w:rPr>
                <w:sz w:val="21"/>
              </w:rPr>
            </w:pPr>
          </w:p>
        </w:tc>
        <w:tc>
          <w:tcPr>
            <w:tcW w:w="1487" w:type="dxa"/>
            <w:vAlign w:val="center"/>
          </w:tcPr>
          <w:p>
            <w:pPr>
              <w:spacing w:line="240" w:lineRule="auto"/>
              <w:jc w:val="center"/>
              <w:rPr>
                <w:sz w:val="21"/>
              </w:rPr>
            </w:pPr>
          </w:p>
        </w:tc>
        <w:tc>
          <w:tcPr>
            <w:tcW w:w="1553" w:type="dxa"/>
            <w:vAlign w:val="center"/>
          </w:tcPr>
          <w:p>
            <w:pPr>
              <w:spacing w:line="240" w:lineRule="auto"/>
              <w:jc w:val="center"/>
              <w:rPr>
                <w:sz w:val="21"/>
              </w:rPr>
            </w:pPr>
          </w:p>
        </w:tc>
        <w:tc>
          <w:tcPr>
            <w:tcW w:w="3067" w:type="dxa"/>
            <w:gridSpan w:val="2"/>
            <w:vMerge w:val="continue"/>
            <w:vAlign w:val="center"/>
          </w:tcPr>
          <w:p>
            <w:pPr>
              <w:widowControl/>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07" w:type="dxa"/>
            <w:gridSpan w:val="3"/>
            <w:vAlign w:val="center"/>
          </w:tcPr>
          <w:p>
            <w:pPr>
              <w:spacing w:line="240" w:lineRule="auto"/>
              <w:jc w:val="center"/>
              <w:rPr>
                <w:sz w:val="21"/>
              </w:rPr>
            </w:pPr>
            <w:r>
              <w:rPr>
                <w:sz w:val="21"/>
              </w:rPr>
              <w:t>质量控制资料</w:t>
            </w:r>
          </w:p>
        </w:tc>
        <w:tc>
          <w:tcPr>
            <w:tcW w:w="3040" w:type="dxa"/>
            <w:gridSpan w:val="2"/>
            <w:vAlign w:val="center"/>
          </w:tcPr>
          <w:p>
            <w:pPr>
              <w:spacing w:line="240" w:lineRule="auto"/>
              <w:jc w:val="center"/>
              <w:rPr>
                <w:sz w:val="21"/>
              </w:rPr>
            </w:pPr>
          </w:p>
          <w:p>
            <w:pPr>
              <w:spacing w:line="240" w:lineRule="auto"/>
              <w:jc w:val="center"/>
              <w:rPr>
                <w:sz w:val="21"/>
              </w:rPr>
            </w:pPr>
          </w:p>
        </w:tc>
        <w:tc>
          <w:tcPr>
            <w:tcW w:w="3067" w:type="dxa"/>
            <w:gridSpan w:val="2"/>
            <w:vAlign w:val="center"/>
          </w:tcPr>
          <w:p>
            <w:pPr>
              <w:spacing w:line="240" w:lineRule="auto"/>
              <w:jc w:val="center"/>
              <w:rPr>
                <w:sz w:val="21"/>
              </w:rPr>
            </w:pPr>
          </w:p>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07" w:type="dxa"/>
            <w:gridSpan w:val="3"/>
            <w:vAlign w:val="center"/>
          </w:tcPr>
          <w:p>
            <w:pPr>
              <w:spacing w:line="240" w:lineRule="auto"/>
              <w:jc w:val="center"/>
              <w:rPr>
                <w:sz w:val="21"/>
              </w:rPr>
            </w:pPr>
            <w:r>
              <w:rPr>
                <w:sz w:val="21"/>
              </w:rPr>
              <w:t>安全和功能检验</w:t>
            </w:r>
          </w:p>
          <w:p>
            <w:pPr>
              <w:spacing w:line="240" w:lineRule="auto"/>
              <w:jc w:val="center"/>
              <w:rPr>
                <w:sz w:val="21"/>
              </w:rPr>
            </w:pPr>
            <w:r>
              <w:rPr>
                <w:sz w:val="21"/>
              </w:rPr>
              <w:t>（检测）报告</w:t>
            </w:r>
          </w:p>
        </w:tc>
        <w:tc>
          <w:tcPr>
            <w:tcW w:w="3040" w:type="dxa"/>
            <w:gridSpan w:val="2"/>
            <w:vAlign w:val="center"/>
          </w:tcPr>
          <w:p>
            <w:pPr>
              <w:spacing w:line="240" w:lineRule="auto"/>
              <w:jc w:val="center"/>
              <w:rPr>
                <w:sz w:val="21"/>
              </w:rPr>
            </w:pPr>
          </w:p>
          <w:p>
            <w:pPr>
              <w:spacing w:line="240" w:lineRule="auto"/>
              <w:jc w:val="center"/>
              <w:rPr>
                <w:sz w:val="21"/>
              </w:rPr>
            </w:pPr>
          </w:p>
        </w:tc>
        <w:tc>
          <w:tcPr>
            <w:tcW w:w="3067" w:type="dxa"/>
            <w:gridSpan w:val="2"/>
            <w:vAlign w:val="center"/>
          </w:tcPr>
          <w:p>
            <w:pPr>
              <w:spacing w:line="240" w:lineRule="auto"/>
              <w:jc w:val="center"/>
              <w:rPr>
                <w:sz w:val="21"/>
              </w:rPr>
            </w:pPr>
          </w:p>
          <w:p>
            <w:pPr>
              <w:spacing w:line="240" w:lineRule="auto"/>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07" w:type="dxa"/>
            <w:gridSpan w:val="3"/>
            <w:vAlign w:val="center"/>
          </w:tcPr>
          <w:p>
            <w:pPr>
              <w:spacing w:line="240" w:lineRule="auto"/>
              <w:jc w:val="center"/>
              <w:rPr>
                <w:sz w:val="21"/>
              </w:rPr>
            </w:pPr>
            <w:r>
              <w:rPr>
                <w:sz w:val="21"/>
              </w:rPr>
              <w:t>观感质量验收</w:t>
            </w:r>
          </w:p>
        </w:tc>
        <w:tc>
          <w:tcPr>
            <w:tcW w:w="3040" w:type="dxa"/>
            <w:gridSpan w:val="2"/>
            <w:vAlign w:val="center"/>
          </w:tcPr>
          <w:p>
            <w:pPr>
              <w:spacing w:line="240" w:lineRule="auto"/>
              <w:jc w:val="center"/>
              <w:rPr>
                <w:sz w:val="21"/>
              </w:rPr>
            </w:pPr>
          </w:p>
          <w:p>
            <w:pPr>
              <w:spacing w:line="240" w:lineRule="auto"/>
              <w:jc w:val="center"/>
              <w:rPr>
                <w:sz w:val="21"/>
              </w:rPr>
            </w:pPr>
          </w:p>
        </w:tc>
        <w:tc>
          <w:tcPr>
            <w:tcW w:w="3067" w:type="dxa"/>
            <w:gridSpan w:val="2"/>
            <w:vAlign w:val="center"/>
          </w:tcPr>
          <w:p>
            <w:pPr>
              <w:pStyle w:val="86"/>
              <w:spacing w:line="240" w:lineRule="auto"/>
              <w:jc w:val="center"/>
              <w:rPr>
                <w:sz w:val="21"/>
                <w:szCs w:val="21"/>
              </w:rPr>
            </w:pPr>
          </w:p>
          <w:p>
            <w:pPr>
              <w:pStyle w:val="86"/>
              <w:spacing w:line="240" w:lineRule="auto"/>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677" w:type="dxa"/>
            <w:vMerge w:val="restart"/>
            <w:vAlign w:val="center"/>
          </w:tcPr>
          <w:p>
            <w:pPr>
              <w:spacing w:line="240" w:lineRule="auto"/>
              <w:jc w:val="center"/>
              <w:rPr>
                <w:sz w:val="21"/>
              </w:rPr>
            </w:pPr>
            <w:r>
              <w:rPr>
                <w:sz w:val="21"/>
              </w:rPr>
              <w:t>验</w:t>
            </w:r>
          </w:p>
          <w:p>
            <w:pPr>
              <w:spacing w:line="240" w:lineRule="auto"/>
              <w:jc w:val="center"/>
              <w:rPr>
                <w:sz w:val="21"/>
              </w:rPr>
            </w:pPr>
            <w:r>
              <w:rPr>
                <w:sz w:val="21"/>
              </w:rPr>
              <w:t>收</w:t>
            </w:r>
          </w:p>
          <w:p>
            <w:pPr>
              <w:spacing w:line="240" w:lineRule="auto"/>
              <w:jc w:val="center"/>
              <w:rPr>
                <w:sz w:val="21"/>
              </w:rPr>
            </w:pPr>
            <w:r>
              <w:rPr>
                <w:sz w:val="21"/>
              </w:rPr>
              <w:t>单</w:t>
            </w:r>
          </w:p>
          <w:p>
            <w:pPr>
              <w:spacing w:line="240" w:lineRule="auto"/>
              <w:jc w:val="center"/>
              <w:rPr>
                <w:sz w:val="21"/>
              </w:rPr>
            </w:pPr>
            <w:r>
              <w:rPr>
                <w:sz w:val="21"/>
              </w:rPr>
              <w:t>位</w:t>
            </w:r>
          </w:p>
        </w:tc>
        <w:tc>
          <w:tcPr>
            <w:tcW w:w="1530" w:type="dxa"/>
            <w:gridSpan w:val="2"/>
            <w:vAlign w:val="center"/>
          </w:tcPr>
          <w:p>
            <w:pPr>
              <w:spacing w:line="240" w:lineRule="auto"/>
              <w:jc w:val="center"/>
              <w:rPr>
                <w:sz w:val="21"/>
              </w:rPr>
            </w:pPr>
            <w:r>
              <w:rPr>
                <w:sz w:val="21"/>
              </w:rPr>
              <w:t>分包单位</w:t>
            </w:r>
          </w:p>
        </w:tc>
        <w:tc>
          <w:tcPr>
            <w:tcW w:w="6107" w:type="dxa"/>
            <w:gridSpan w:val="4"/>
            <w:vAlign w:val="center"/>
          </w:tcPr>
          <w:p>
            <w:pPr>
              <w:spacing w:line="240" w:lineRule="auto"/>
              <w:jc w:val="center"/>
              <w:rPr>
                <w:sz w:val="21"/>
              </w:rPr>
            </w:pPr>
            <w:r>
              <w:rPr>
                <w:sz w:val="21"/>
              </w:rPr>
              <w:t>项目经理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677" w:type="dxa"/>
            <w:vMerge w:val="continue"/>
            <w:vAlign w:val="center"/>
          </w:tcPr>
          <w:p>
            <w:pPr>
              <w:widowControl/>
              <w:spacing w:line="240" w:lineRule="auto"/>
              <w:jc w:val="center"/>
              <w:rPr>
                <w:sz w:val="21"/>
              </w:rPr>
            </w:pPr>
          </w:p>
        </w:tc>
        <w:tc>
          <w:tcPr>
            <w:tcW w:w="1530" w:type="dxa"/>
            <w:gridSpan w:val="2"/>
            <w:vAlign w:val="center"/>
          </w:tcPr>
          <w:p>
            <w:pPr>
              <w:spacing w:line="240" w:lineRule="auto"/>
              <w:jc w:val="center"/>
              <w:rPr>
                <w:sz w:val="21"/>
              </w:rPr>
            </w:pPr>
            <w:r>
              <w:rPr>
                <w:sz w:val="21"/>
              </w:rPr>
              <w:t>施工单位</w:t>
            </w:r>
          </w:p>
        </w:tc>
        <w:tc>
          <w:tcPr>
            <w:tcW w:w="6107" w:type="dxa"/>
            <w:gridSpan w:val="4"/>
            <w:vAlign w:val="center"/>
          </w:tcPr>
          <w:p>
            <w:pPr>
              <w:spacing w:line="240" w:lineRule="auto"/>
              <w:jc w:val="center"/>
              <w:rPr>
                <w:sz w:val="21"/>
              </w:rPr>
            </w:pPr>
            <w:r>
              <w:rPr>
                <w:sz w:val="21"/>
              </w:rPr>
              <w:t>项目经理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677" w:type="dxa"/>
            <w:vMerge w:val="continue"/>
            <w:vAlign w:val="center"/>
          </w:tcPr>
          <w:p>
            <w:pPr>
              <w:widowControl/>
              <w:spacing w:line="240" w:lineRule="auto"/>
              <w:jc w:val="center"/>
              <w:rPr>
                <w:sz w:val="21"/>
              </w:rPr>
            </w:pPr>
          </w:p>
        </w:tc>
        <w:tc>
          <w:tcPr>
            <w:tcW w:w="1530" w:type="dxa"/>
            <w:gridSpan w:val="2"/>
            <w:vAlign w:val="center"/>
          </w:tcPr>
          <w:p>
            <w:pPr>
              <w:spacing w:line="240" w:lineRule="auto"/>
              <w:jc w:val="center"/>
              <w:rPr>
                <w:sz w:val="21"/>
              </w:rPr>
            </w:pPr>
            <w:r>
              <w:rPr>
                <w:sz w:val="21"/>
              </w:rPr>
              <w:t>设计单位</w:t>
            </w:r>
          </w:p>
        </w:tc>
        <w:tc>
          <w:tcPr>
            <w:tcW w:w="6107" w:type="dxa"/>
            <w:gridSpan w:val="4"/>
            <w:vAlign w:val="center"/>
          </w:tcPr>
          <w:p>
            <w:pPr>
              <w:spacing w:line="240" w:lineRule="auto"/>
              <w:jc w:val="center"/>
              <w:rPr>
                <w:sz w:val="21"/>
              </w:rPr>
            </w:pPr>
            <w:r>
              <w:rPr>
                <w:sz w:val="21"/>
              </w:rPr>
              <w:t>项目负责人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677" w:type="dxa"/>
            <w:vMerge w:val="continue"/>
            <w:vAlign w:val="center"/>
          </w:tcPr>
          <w:p>
            <w:pPr>
              <w:widowControl/>
              <w:spacing w:line="240" w:lineRule="auto"/>
              <w:jc w:val="center"/>
              <w:rPr>
                <w:sz w:val="21"/>
              </w:rPr>
            </w:pPr>
          </w:p>
        </w:tc>
        <w:tc>
          <w:tcPr>
            <w:tcW w:w="1530" w:type="dxa"/>
            <w:gridSpan w:val="2"/>
            <w:vAlign w:val="center"/>
          </w:tcPr>
          <w:p>
            <w:pPr>
              <w:spacing w:line="240" w:lineRule="auto"/>
              <w:jc w:val="center"/>
              <w:rPr>
                <w:sz w:val="21"/>
              </w:rPr>
            </w:pPr>
            <w:r>
              <w:rPr>
                <w:sz w:val="21"/>
              </w:rPr>
              <w:t>勘察单位</w:t>
            </w:r>
          </w:p>
        </w:tc>
        <w:tc>
          <w:tcPr>
            <w:tcW w:w="6107" w:type="dxa"/>
            <w:gridSpan w:val="4"/>
            <w:vAlign w:val="center"/>
          </w:tcPr>
          <w:p>
            <w:pPr>
              <w:spacing w:line="240" w:lineRule="auto"/>
              <w:jc w:val="center"/>
              <w:rPr>
                <w:sz w:val="21"/>
              </w:rPr>
            </w:pPr>
            <w:r>
              <w:rPr>
                <w:sz w:val="21"/>
              </w:rPr>
              <w:t>项目负责人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677" w:type="dxa"/>
            <w:vMerge w:val="continue"/>
            <w:vAlign w:val="center"/>
          </w:tcPr>
          <w:p>
            <w:pPr>
              <w:widowControl/>
              <w:spacing w:line="240" w:lineRule="auto"/>
              <w:jc w:val="center"/>
              <w:rPr>
                <w:sz w:val="21"/>
              </w:rPr>
            </w:pPr>
          </w:p>
        </w:tc>
        <w:tc>
          <w:tcPr>
            <w:tcW w:w="1530" w:type="dxa"/>
            <w:gridSpan w:val="2"/>
            <w:vAlign w:val="center"/>
          </w:tcPr>
          <w:p>
            <w:pPr>
              <w:spacing w:line="240" w:lineRule="auto"/>
              <w:jc w:val="center"/>
              <w:rPr>
                <w:sz w:val="21"/>
              </w:rPr>
            </w:pPr>
            <w:r>
              <w:rPr>
                <w:sz w:val="21"/>
              </w:rPr>
              <w:t>监理（建设）单位</w:t>
            </w:r>
          </w:p>
        </w:tc>
        <w:tc>
          <w:tcPr>
            <w:tcW w:w="6107" w:type="dxa"/>
            <w:gridSpan w:val="4"/>
            <w:vAlign w:val="center"/>
          </w:tcPr>
          <w:p>
            <w:pPr>
              <w:spacing w:line="240" w:lineRule="auto"/>
              <w:ind w:left="4189" w:hanging="4189" w:hangingChars="1995"/>
              <w:jc w:val="left"/>
              <w:rPr>
                <w:sz w:val="21"/>
              </w:rPr>
            </w:pPr>
            <w:r>
              <w:rPr>
                <w:sz w:val="21"/>
              </w:rPr>
              <w:t>总监理工程师（项目负责人专业技术负责人）</w:t>
            </w:r>
          </w:p>
          <w:p>
            <w:pPr>
              <w:spacing w:line="240" w:lineRule="auto"/>
              <w:ind w:left="5040" w:hanging="5040" w:hangingChars="2400"/>
              <w:jc w:val="right"/>
              <w:rPr>
                <w:sz w:val="21"/>
              </w:rPr>
            </w:pPr>
            <w:r>
              <w:rPr>
                <w:sz w:val="21"/>
              </w:rPr>
              <w:t>年　　月　　日</w:t>
            </w:r>
          </w:p>
        </w:tc>
      </w:tr>
    </w:tbl>
    <w:p>
      <w:pPr>
        <w:jc w:val="center"/>
        <w:sectPr>
          <w:pgSz w:w="11850" w:h="16783"/>
          <w:pgMar w:top="1440" w:right="1800" w:bottom="1440" w:left="1800" w:header="720" w:footer="720" w:gutter="0"/>
          <w:cols w:space="720" w:num="1"/>
          <w:docGrid w:linePitch="360" w:charSpace="0"/>
        </w:sectPr>
      </w:pPr>
    </w:p>
    <w:p>
      <w:pPr>
        <w:keepNext/>
        <w:keepLines/>
        <w:spacing w:before="340" w:after="330"/>
        <w:jc w:val="center"/>
        <w:outlineLvl w:val="0"/>
        <w:rPr>
          <w:rFonts w:eastAsia="Times New Roman"/>
          <w:b/>
          <w:bCs/>
          <w:kern w:val="44"/>
          <w:sz w:val="32"/>
          <w:szCs w:val="44"/>
        </w:rPr>
      </w:pPr>
      <w:bookmarkStart w:id="617" w:name="_Toc60172939"/>
      <w:bookmarkStart w:id="618" w:name="_Toc60173826"/>
      <w:bookmarkStart w:id="619" w:name="_Toc47692198"/>
      <w:bookmarkStart w:id="620" w:name="_Toc501"/>
      <w:bookmarkStart w:id="621" w:name="_Toc8547"/>
      <w:bookmarkStart w:id="622" w:name="_Toc26731"/>
      <w:bookmarkStart w:id="623" w:name="_Toc8804"/>
      <w:bookmarkStart w:id="624" w:name="_Toc32627"/>
      <w:bookmarkStart w:id="625" w:name="_Toc7454"/>
      <w:bookmarkStart w:id="626" w:name="_Toc18057083"/>
      <w:bookmarkStart w:id="627" w:name="_Toc22484"/>
      <w:r>
        <w:rPr>
          <w:b/>
          <w:bCs/>
          <w:kern w:val="44"/>
          <w:sz w:val="32"/>
          <w:szCs w:val="44"/>
        </w:rPr>
        <w:t>本规程用词说明</w:t>
      </w:r>
      <w:bookmarkEnd w:id="604"/>
      <w:bookmarkEnd w:id="605"/>
      <w:bookmarkEnd w:id="606"/>
      <w:bookmarkEnd w:id="607"/>
      <w:bookmarkEnd w:id="608"/>
      <w:bookmarkEnd w:id="617"/>
      <w:bookmarkEnd w:id="618"/>
      <w:bookmarkEnd w:id="619"/>
      <w:bookmarkEnd w:id="620"/>
      <w:bookmarkEnd w:id="621"/>
      <w:bookmarkEnd w:id="622"/>
      <w:bookmarkEnd w:id="623"/>
      <w:bookmarkEnd w:id="624"/>
      <w:bookmarkEnd w:id="625"/>
      <w:bookmarkEnd w:id="626"/>
      <w:bookmarkEnd w:id="627"/>
    </w:p>
    <w:p>
      <w:pPr>
        <w:snapToGrid w:val="0"/>
        <w:ind w:firstLine="482" w:firstLineChars="200"/>
        <w:rPr>
          <w:szCs w:val="22"/>
        </w:rPr>
      </w:pPr>
      <w:r>
        <w:rPr>
          <w:b/>
          <w:szCs w:val="22"/>
        </w:rPr>
        <w:t xml:space="preserve">1  </w:t>
      </w:r>
      <w:r>
        <w:rPr>
          <w:szCs w:val="22"/>
        </w:rPr>
        <w:t>为便于在执行本规程条文时区别对待，对要求严格程度不同的用词说明如下：</w:t>
      </w:r>
    </w:p>
    <w:p>
      <w:pPr>
        <w:snapToGrid w:val="0"/>
        <w:ind w:firstLine="723" w:firstLineChars="300"/>
        <w:rPr>
          <w:szCs w:val="22"/>
        </w:rPr>
      </w:pPr>
      <w:r>
        <w:rPr>
          <w:b/>
          <w:szCs w:val="22"/>
        </w:rPr>
        <w:t>1</w:t>
      </w:r>
      <w:r>
        <w:rPr>
          <w:szCs w:val="22"/>
        </w:rPr>
        <w:t>）表示很严格，非这样做不可的：</w:t>
      </w:r>
    </w:p>
    <w:p>
      <w:pPr>
        <w:snapToGrid w:val="0"/>
        <w:ind w:left="720" w:firstLine="360" w:firstLineChars="150"/>
        <w:rPr>
          <w:szCs w:val="22"/>
        </w:rPr>
      </w:pPr>
      <w:r>
        <w:rPr>
          <w:szCs w:val="22"/>
        </w:rPr>
        <w:t>正面词采用“必须”，反面词采用“严禁”；</w:t>
      </w:r>
    </w:p>
    <w:p>
      <w:pPr>
        <w:snapToGrid w:val="0"/>
        <w:ind w:firstLine="723" w:firstLineChars="300"/>
        <w:rPr>
          <w:szCs w:val="22"/>
        </w:rPr>
      </w:pPr>
      <w:r>
        <w:rPr>
          <w:b/>
          <w:szCs w:val="22"/>
        </w:rPr>
        <w:t>2</w:t>
      </w:r>
      <w:r>
        <w:rPr>
          <w:szCs w:val="22"/>
        </w:rPr>
        <w:t>）表示严格，在正常情况下均应这样做的：</w:t>
      </w:r>
    </w:p>
    <w:p>
      <w:pPr>
        <w:snapToGrid w:val="0"/>
        <w:ind w:left="720" w:firstLine="360" w:firstLineChars="150"/>
        <w:rPr>
          <w:szCs w:val="22"/>
        </w:rPr>
      </w:pPr>
      <w:r>
        <w:rPr>
          <w:szCs w:val="22"/>
        </w:rPr>
        <w:t>正面词采用“应”，反面词采用“不应”或“不得”；</w:t>
      </w:r>
    </w:p>
    <w:p>
      <w:pPr>
        <w:snapToGrid w:val="0"/>
        <w:ind w:firstLine="723" w:firstLineChars="300"/>
        <w:rPr>
          <w:szCs w:val="22"/>
        </w:rPr>
      </w:pPr>
      <w:r>
        <w:rPr>
          <w:b/>
          <w:szCs w:val="22"/>
        </w:rPr>
        <w:t>3</w:t>
      </w:r>
      <w:r>
        <w:rPr>
          <w:szCs w:val="22"/>
        </w:rPr>
        <w:t>）表示允许稍有选择，在条件许可时首先应这样做的：</w:t>
      </w:r>
    </w:p>
    <w:p>
      <w:pPr>
        <w:snapToGrid w:val="0"/>
        <w:ind w:left="720" w:firstLine="360" w:firstLineChars="150"/>
        <w:rPr>
          <w:szCs w:val="22"/>
        </w:rPr>
      </w:pPr>
      <w:r>
        <w:rPr>
          <w:szCs w:val="22"/>
        </w:rPr>
        <w:t>正面词采用“宜”，反面词采用“不宜”；</w:t>
      </w:r>
    </w:p>
    <w:p>
      <w:pPr>
        <w:snapToGrid w:val="0"/>
        <w:ind w:firstLine="723" w:firstLineChars="300"/>
        <w:rPr>
          <w:szCs w:val="22"/>
        </w:rPr>
      </w:pPr>
      <w:r>
        <w:rPr>
          <w:b/>
          <w:szCs w:val="22"/>
        </w:rPr>
        <w:t>4</w:t>
      </w:r>
      <w:r>
        <w:rPr>
          <w:szCs w:val="22"/>
        </w:rPr>
        <w:t>）表示有选择，在一定条件下可以这样做的，采用“可”。</w:t>
      </w:r>
    </w:p>
    <w:p>
      <w:pPr>
        <w:snapToGrid w:val="0"/>
        <w:ind w:firstLine="419" w:firstLineChars="174"/>
        <w:rPr>
          <w:szCs w:val="22"/>
        </w:rPr>
      </w:pPr>
      <w:r>
        <w:rPr>
          <w:b/>
          <w:szCs w:val="22"/>
        </w:rPr>
        <w:t xml:space="preserve">2  </w:t>
      </w:r>
      <w:r>
        <w:rPr>
          <w:szCs w:val="22"/>
        </w:rPr>
        <w:t>条文中指明应按其他有关标准执行的写法为：“应符合……的规定”或“应按……执行”。</w:t>
      </w:r>
    </w:p>
    <w:p>
      <w:pPr>
        <w:snapToGrid w:val="0"/>
        <w:ind w:firstLine="417" w:firstLineChars="174"/>
        <w:rPr>
          <w:szCs w:val="22"/>
        </w:rPr>
      </w:pPr>
    </w:p>
    <w:p>
      <w:pPr>
        <w:widowControl/>
        <w:jc w:val="left"/>
        <w:rPr>
          <w:b/>
          <w:szCs w:val="22"/>
        </w:rPr>
        <w:sectPr>
          <w:pgSz w:w="11850" w:h="16783"/>
          <w:pgMar w:top="1440" w:right="1800" w:bottom="1440" w:left="1800" w:header="720" w:footer="720" w:gutter="0"/>
          <w:cols w:space="720" w:num="1"/>
          <w:docGrid w:linePitch="360" w:charSpace="0"/>
        </w:sectPr>
      </w:pPr>
    </w:p>
    <w:p>
      <w:pPr>
        <w:keepNext/>
        <w:keepLines/>
        <w:spacing w:before="340" w:after="330"/>
        <w:jc w:val="center"/>
        <w:outlineLvl w:val="0"/>
        <w:rPr>
          <w:rFonts w:eastAsia="Times New Roman"/>
          <w:b/>
          <w:bCs/>
          <w:kern w:val="44"/>
          <w:sz w:val="32"/>
          <w:szCs w:val="44"/>
        </w:rPr>
      </w:pPr>
      <w:bookmarkStart w:id="628" w:name="_Toc455393096"/>
      <w:bookmarkStart w:id="629" w:name="_Toc6930"/>
      <w:bookmarkStart w:id="630" w:name="_Toc30067"/>
      <w:bookmarkStart w:id="631" w:name="_Toc47692199"/>
      <w:bookmarkStart w:id="632" w:name="_Toc60172940"/>
      <w:bookmarkStart w:id="633" w:name="_Toc19825"/>
      <w:bookmarkStart w:id="634" w:name="_Toc8586"/>
      <w:bookmarkStart w:id="635" w:name="_Toc18275"/>
      <w:bookmarkStart w:id="636" w:name="_Toc60173827"/>
      <w:bookmarkStart w:id="637" w:name="_Toc7860"/>
      <w:bookmarkStart w:id="638" w:name="_Toc463446197"/>
      <w:bookmarkStart w:id="639" w:name="_Toc1351"/>
      <w:bookmarkStart w:id="640" w:name="_Toc18057084"/>
      <w:r>
        <w:rPr>
          <w:b/>
          <w:bCs/>
          <w:kern w:val="44"/>
          <w:sz w:val="32"/>
          <w:szCs w:val="44"/>
        </w:rPr>
        <w:t>引用标准名录</w:t>
      </w:r>
      <w:bookmarkEnd w:id="628"/>
      <w:bookmarkEnd w:id="629"/>
      <w:bookmarkEnd w:id="630"/>
      <w:bookmarkEnd w:id="631"/>
      <w:bookmarkEnd w:id="632"/>
      <w:bookmarkEnd w:id="633"/>
      <w:bookmarkEnd w:id="634"/>
      <w:bookmarkEnd w:id="635"/>
      <w:bookmarkEnd w:id="636"/>
      <w:bookmarkEnd w:id="637"/>
      <w:bookmarkEnd w:id="638"/>
      <w:bookmarkEnd w:id="639"/>
      <w:bookmarkEnd w:id="640"/>
    </w:p>
    <w:p>
      <w:pPr>
        <w:numPr>
          <w:ilvl w:val="0"/>
          <w:numId w:val="4"/>
        </w:numPr>
      </w:pPr>
      <w:r>
        <w:t>《混凝土结构设计规范》GB 50010</w:t>
      </w:r>
    </w:p>
    <w:p>
      <w:pPr>
        <w:numPr>
          <w:ilvl w:val="0"/>
          <w:numId w:val="4"/>
        </w:numPr>
      </w:pPr>
      <w:r>
        <w:t>《岩土工程勘察设计规范》GB 50021</w:t>
      </w:r>
    </w:p>
    <w:p>
      <w:pPr>
        <w:numPr>
          <w:ilvl w:val="0"/>
          <w:numId w:val="4"/>
        </w:numPr>
      </w:pPr>
      <w:r>
        <w:t>《工程测量规范》GB 50026</w:t>
      </w:r>
    </w:p>
    <w:p>
      <w:pPr>
        <w:numPr>
          <w:ilvl w:val="0"/>
          <w:numId w:val="4"/>
        </w:numPr>
      </w:pPr>
      <w:r>
        <w:t>《混凝土物理力学性能试验方法标准》GB/T 50081</w:t>
      </w:r>
    </w:p>
    <w:p>
      <w:pPr>
        <w:numPr>
          <w:ilvl w:val="0"/>
          <w:numId w:val="4"/>
        </w:numPr>
      </w:pPr>
      <w:r>
        <w:t>《普通混凝土长期性能和耐久性能试验方法标准》GB/T 50082</w:t>
      </w:r>
    </w:p>
    <w:p>
      <w:pPr>
        <w:numPr>
          <w:ilvl w:val="0"/>
          <w:numId w:val="4"/>
        </w:numPr>
      </w:pPr>
      <w:r>
        <w:t>《混凝土强度检验评定标准》GB/T 50107</w:t>
      </w:r>
    </w:p>
    <w:p>
      <w:pPr>
        <w:numPr>
          <w:ilvl w:val="0"/>
          <w:numId w:val="4"/>
        </w:numPr>
      </w:pPr>
      <w:r>
        <w:t>《地下工程防水技术规范》GB 50108</w:t>
      </w:r>
    </w:p>
    <w:p>
      <w:pPr>
        <w:numPr>
          <w:ilvl w:val="0"/>
          <w:numId w:val="4"/>
        </w:numPr>
      </w:pPr>
      <w:r>
        <w:t>《给水排水构筑物工程施工及验收规范》GB 50141</w:t>
      </w:r>
    </w:p>
    <w:p>
      <w:pPr>
        <w:numPr>
          <w:ilvl w:val="0"/>
          <w:numId w:val="4"/>
        </w:numPr>
      </w:pPr>
      <w:r>
        <w:t>《粉煤灰混凝土应用技术规范》GB/T 50146</w:t>
      </w:r>
    </w:p>
    <w:p>
      <w:pPr>
        <w:numPr>
          <w:ilvl w:val="0"/>
          <w:numId w:val="4"/>
        </w:numPr>
      </w:pPr>
      <w:r>
        <w:rPr>
          <w:rFonts w:hint="eastAsia"/>
        </w:rPr>
        <w:t>《工程结构可靠性设计统一标准》GB 50153</w:t>
      </w:r>
    </w:p>
    <w:p>
      <w:pPr>
        <w:numPr>
          <w:ilvl w:val="0"/>
          <w:numId w:val="4"/>
        </w:numPr>
      </w:pPr>
      <w:r>
        <w:t>《地铁设计规范》GB 50157</w:t>
      </w:r>
    </w:p>
    <w:p>
      <w:pPr>
        <w:numPr>
          <w:ilvl w:val="0"/>
          <w:numId w:val="4"/>
        </w:numPr>
        <w:rPr>
          <w:bCs/>
        </w:rPr>
      </w:pPr>
      <w:r>
        <w:rPr>
          <w:bCs/>
        </w:rPr>
        <w:t>《建筑地基基础工程施工质量验收规范》GB 50202</w:t>
      </w:r>
    </w:p>
    <w:p>
      <w:pPr>
        <w:numPr>
          <w:ilvl w:val="0"/>
          <w:numId w:val="4"/>
        </w:numPr>
      </w:pPr>
      <w:r>
        <w:t>《混凝土结构工程施工质量验收规范》GB 50204</w:t>
      </w:r>
    </w:p>
    <w:p>
      <w:pPr>
        <w:numPr>
          <w:ilvl w:val="0"/>
          <w:numId w:val="4"/>
        </w:numPr>
        <w:rPr>
          <w:bCs/>
        </w:rPr>
      </w:pPr>
      <w:r>
        <w:rPr>
          <w:bCs/>
        </w:rPr>
        <w:t>《地下防水工程质量验收规范》GB 50208</w:t>
      </w:r>
    </w:p>
    <w:p>
      <w:pPr>
        <w:numPr>
          <w:ilvl w:val="0"/>
          <w:numId w:val="4"/>
        </w:numPr>
      </w:pPr>
      <w:r>
        <w:t>《给水排水工程管道结构设计规范》GB 50332</w:t>
      </w:r>
    </w:p>
    <w:p>
      <w:pPr>
        <w:numPr>
          <w:ilvl w:val="0"/>
          <w:numId w:val="4"/>
        </w:numPr>
        <w:rPr>
          <w:rFonts w:eastAsiaTheme="minorEastAsia"/>
        </w:rPr>
      </w:pPr>
      <w:r>
        <w:rPr>
          <w:rFonts w:eastAsiaTheme="minorEastAsia"/>
        </w:rPr>
        <w:t>《</w:t>
      </w:r>
      <w:r>
        <w:fldChar w:fldCharType="begin"/>
      </w:r>
      <w:r>
        <w:instrText xml:space="preserve"> HYPERLINK "http://www.so.com/link?m=aMge5bd5I4Bsmv6REof8XZZ%2FC4CTK6I7fqx0%2FkBd%2BAswjJlpG5QxTweMSSRaECgqZ%2B2IYEBnHSz4CbPe5tvpG4B54eay2bicEkUlKR0%2F39yhkhA7PGaRAbeRgim6cHLjSYJXWjGodpiJeXG1mfgCjs1xCwfPwM49F9taWHA%3D%3D" \t "_blank" </w:instrText>
      </w:r>
      <w:r>
        <w:fldChar w:fldCharType="separate"/>
      </w:r>
      <w:r>
        <w:rPr>
          <w:rFonts w:eastAsiaTheme="minorEastAsia"/>
        </w:rPr>
        <w:t>建筑基坑工程监测技术规范》GB 50497</w:t>
      </w:r>
      <w:r>
        <w:rPr>
          <w:rFonts w:eastAsiaTheme="minorEastAsia"/>
        </w:rPr>
        <w:fldChar w:fldCharType="end"/>
      </w:r>
    </w:p>
    <w:p>
      <w:pPr>
        <w:numPr>
          <w:ilvl w:val="0"/>
          <w:numId w:val="4"/>
        </w:numPr>
      </w:pPr>
      <w:r>
        <w:t>《</w:t>
      </w:r>
      <w:r>
        <w:fldChar w:fldCharType="begin"/>
      </w:r>
      <w:r>
        <w:instrText xml:space="preserve"> HYPERLINK "http://www.doc88.com/p-5806372025918.html" \t "_blank" </w:instrText>
      </w:r>
      <w:r>
        <w:fldChar w:fldCharType="separate"/>
      </w:r>
      <w:r>
        <w:t>城市轨道交通工程监测技术规范》GB 50911</w:t>
      </w:r>
      <w:r>
        <w:fldChar w:fldCharType="end"/>
      </w:r>
    </w:p>
    <w:p>
      <w:pPr>
        <w:numPr>
          <w:ilvl w:val="0"/>
          <w:numId w:val="4"/>
        </w:numPr>
      </w:pPr>
      <w:r>
        <w:t>《沉井与气压沉箱施工规范》GB/T 51130</w:t>
      </w:r>
    </w:p>
    <w:p>
      <w:pPr>
        <w:numPr>
          <w:ilvl w:val="0"/>
          <w:numId w:val="4"/>
        </w:numPr>
      </w:pPr>
      <w:r>
        <w:t>《地下铁道工程施工标准》GB 51310</w:t>
      </w:r>
    </w:p>
    <w:p>
      <w:pPr>
        <w:numPr>
          <w:ilvl w:val="0"/>
          <w:numId w:val="4"/>
        </w:numPr>
      </w:pPr>
      <w:r>
        <w:t>《通用硅酸盐水泥》GB 175</w:t>
      </w:r>
    </w:p>
    <w:p>
      <w:pPr>
        <w:numPr>
          <w:ilvl w:val="0"/>
          <w:numId w:val="4"/>
        </w:numPr>
      </w:pPr>
      <w:r>
        <w:t>《硫化橡胶或热塑性橡胶撕裂强度的测定（裤形、直角形和新月形试样）》GB/T 529</w:t>
      </w:r>
    </w:p>
    <w:p>
      <w:pPr>
        <w:numPr>
          <w:ilvl w:val="0"/>
          <w:numId w:val="4"/>
        </w:numPr>
      </w:pPr>
      <w:r>
        <w:t>《抗硫酸盐硅酸盐水泥》GB 748</w:t>
      </w:r>
    </w:p>
    <w:p>
      <w:pPr>
        <w:numPr>
          <w:ilvl w:val="0"/>
          <w:numId w:val="4"/>
        </w:numPr>
      </w:pPr>
      <w:r>
        <w:t>《钢筋混凝土用钢  第1部分：热轧光圆钢筋》GB/T 1499.1</w:t>
      </w:r>
    </w:p>
    <w:p>
      <w:pPr>
        <w:numPr>
          <w:ilvl w:val="0"/>
          <w:numId w:val="4"/>
        </w:numPr>
      </w:pPr>
      <w:r>
        <w:t>《钢筋混凝土用钢  第2部分：热轧带肋钢筋》GB/T 1499.2</w:t>
      </w:r>
    </w:p>
    <w:p>
      <w:pPr>
        <w:numPr>
          <w:ilvl w:val="0"/>
          <w:numId w:val="4"/>
        </w:numPr>
      </w:pPr>
      <w:r>
        <w:t>《用于水泥和混凝土中的粉煤灰》GB/T 1596</w:t>
      </w:r>
    </w:p>
    <w:p>
      <w:pPr>
        <w:numPr>
          <w:ilvl w:val="0"/>
          <w:numId w:val="4"/>
        </w:numPr>
      </w:pPr>
      <w:r>
        <w:t>《硫化橡胶或热塑性橡胶  压缩永久变形的测定  第1部分：在常温及高温条件下》GB/T 7759.1</w:t>
      </w:r>
    </w:p>
    <w:p>
      <w:pPr>
        <w:numPr>
          <w:ilvl w:val="0"/>
          <w:numId w:val="4"/>
        </w:numPr>
      </w:pPr>
      <w:r>
        <w:t>《硫化橡胶或热塑性橡胶  耐臭氧龟裂  静态拉伸试验》GB/T 7762</w:t>
      </w:r>
    </w:p>
    <w:p>
      <w:pPr>
        <w:numPr>
          <w:ilvl w:val="0"/>
          <w:numId w:val="4"/>
        </w:numPr>
      </w:pPr>
      <w:r>
        <w:t>《混凝土外加剂》GB 8076</w:t>
      </w:r>
    </w:p>
    <w:p>
      <w:pPr>
        <w:numPr>
          <w:ilvl w:val="0"/>
          <w:numId w:val="4"/>
        </w:numPr>
      </w:pPr>
      <w:bookmarkStart w:id="641" w:name="_Hlk17384638"/>
      <w:r>
        <w:t>《混凝土和钢筋混凝土排水管》GB/T 11836</w:t>
      </w:r>
      <w:bookmarkEnd w:id="641"/>
    </w:p>
    <w:p>
      <w:pPr>
        <w:numPr>
          <w:ilvl w:val="0"/>
          <w:numId w:val="4"/>
        </w:numPr>
      </w:pPr>
      <w:r>
        <w:t>《冷轧带肋钢筋》GB/T 13788</w:t>
      </w:r>
    </w:p>
    <w:p>
      <w:pPr>
        <w:numPr>
          <w:ilvl w:val="0"/>
          <w:numId w:val="4"/>
        </w:numPr>
      </w:pPr>
      <w:r>
        <w:t>《建设用砂》GB/T 14684</w:t>
      </w:r>
    </w:p>
    <w:p>
      <w:pPr>
        <w:numPr>
          <w:ilvl w:val="0"/>
          <w:numId w:val="4"/>
        </w:numPr>
      </w:pPr>
      <w:r>
        <w:t>《建设用碎石、卵石》GB/T 14685</w:t>
      </w:r>
    </w:p>
    <w:p>
      <w:pPr>
        <w:numPr>
          <w:ilvl w:val="0"/>
          <w:numId w:val="4"/>
        </w:numPr>
      </w:pPr>
      <w:r>
        <w:t>《硫化橡胶或热塑性橡胶  低温脆性的测定（多试样法）》GB/T 15256</w:t>
      </w:r>
    </w:p>
    <w:p>
      <w:pPr>
        <w:numPr>
          <w:ilvl w:val="0"/>
          <w:numId w:val="4"/>
        </w:numPr>
      </w:pPr>
      <w:r>
        <w:t>《不饱和橡胶中饱和橡胶的鉴定》GB/T 16583</w:t>
      </w:r>
    </w:p>
    <w:p>
      <w:pPr>
        <w:numPr>
          <w:ilvl w:val="0"/>
          <w:numId w:val="4"/>
        </w:numPr>
      </w:pPr>
      <w:r>
        <w:t>《用于水泥、砂浆和混凝土中的粒化高炉矿渣粉》GB/T 18046</w:t>
      </w:r>
    </w:p>
    <w:p>
      <w:pPr>
        <w:numPr>
          <w:ilvl w:val="0"/>
          <w:numId w:val="4"/>
        </w:numPr>
      </w:pPr>
      <w:r>
        <w:t>《高分子防水材料  第3部分：遇水膨胀橡胶》GB/T 18173.3</w:t>
      </w:r>
    </w:p>
    <w:p>
      <w:pPr>
        <w:numPr>
          <w:ilvl w:val="0"/>
          <w:numId w:val="4"/>
        </w:numPr>
      </w:pPr>
      <w:r>
        <w:t>《硫铝酸盐水泥》GB 20472</w:t>
      </w:r>
    </w:p>
    <w:p>
      <w:pPr>
        <w:numPr>
          <w:ilvl w:val="0"/>
          <w:numId w:val="4"/>
        </w:numPr>
      </w:pPr>
      <w:r>
        <w:t>《橡胶密封件  给、排水管及污水管道用接口密封圈  材料规范》GB/T 21873</w:t>
      </w:r>
    </w:p>
    <w:p>
      <w:pPr>
        <w:numPr>
          <w:ilvl w:val="0"/>
          <w:numId w:val="4"/>
        </w:numPr>
      </w:pPr>
      <w:r>
        <w:t>《全断面隧道掘进机  土压平衡盾构机》GB/T 34651</w:t>
      </w:r>
    </w:p>
    <w:p>
      <w:pPr>
        <w:numPr>
          <w:ilvl w:val="0"/>
          <w:numId w:val="4"/>
        </w:numPr>
      </w:pPr>
      <w:r>
        <w:t>《城镇道路工程施工与质量验收规范》CJJ 1</w:t>
      </w:r>
    </w:p>
    <w:p>
      <w:pPr>
        <w:numPr>
          <w:ilvl w:val="0"/>
          <w:numId w:val="4"/>
        </w:numPr>
      </w:pPr>
      <w:r>
        <w:t>《城市道路工程设计规范》CJJ 37</w:t>
      </w:r>
    </w:p>
    <w:p>
      <w:pPr>
        <w:numPr>
          <w:ilvl w:val="0"/>
          <w:numId w:val="4"/>
        </w:numPr>
      </w:pPr>
      <w:r>
        <w:t>《城市地下道路工程设计规范》CJJ 221</w:t>
      </w:r>
    </w:p>
    <w:p>
      <w:pPr>
        <w:numPr>
          <w:ilvl w:val="0"/>
          <w:numId w:val="4"/>
        </w:numPr>
      </w:pPr>
      <w:r>
        <w:t>《建筑变形测量规范》JGJ 8</w:t>
      </w:r>
    </w:p>
    <w:p>
      <w:pPr>
        <w:numPr>
          <w:ilvl w:val="0"/>
          <w:numId w:val="4"/>
        </w:numPr>
      </w:pPr>
      <w:r>
        <w:t>《混凝土用水标准》JGJ 63</w:t>
      </w:r>
    </w:p>
    <w:p>
      <w:pPr>
        <w:numPr>
          <w:ilvl w:val="0"/>
          <w:numId w:val="4"/>
        </w:numPr>
      </w:pPr>
      <w:r>
        <w:rPr>
          <w:rFonts w:hint="eastAsia"/>
        </w:rPr>
        <w:t>《建筑地基处理技术规范》JGJ 79</w:t>
      </w:r>
    </w:p>
    <w:p>
      <w:pPr>
        <w:numPr>
          <w:ilvl w:val="0"/>
          <w:numId w:val="4"/>
        </w:numPr>
      </w:pPr>
      <w:r>
        <w:t>《建筑基坑支护技术规程》JGJ 120</w:t>
      </w:r>
    </w:p>
    <w:p>
      <w:pPr>
        <w:numPr>
          <w:ilvl w:val="0"/>
          <w:numId w:val="4"/>
        </w:numPr>
      </w:pPr>
      <w:r>
        <w:t>《混凝土耐久性检验评定标准》JGJ/T 193</w:t>
      </w:r>
    </w:p>
    <w:p>
      <w:pPr>
        <w:numPr>
          <w:ilvl w:val="0"/>
          <w:numId w:val="4"/>
        </w:numPr>
      </w:pPr>
      <w:r>
        <w:t>《型钢水泥土搅拌墙技术规程》JGJ/T 199</w:t>
      </w:r>
    </w:p>
    <w:p>
      <w:pPr>
        <w:numPr>
          <w:ilvl w:val="0"/>
          <w:numId w:val="4"/>
        </w:numPr>
      </w:pPr>
      <w:r>
        <w:t>《聚氨酯建筑密封胶》JC/T 482</w:t>
      </w:r>
    </w:p>
    <w:p>
      <w:pPr>
        <w:numPr>
          <w:ilvl w:val="0"/>
          <w:numId w:val="4"/>
        </w:numPr>
      </w:pPr>
      <w:r>
        <w:t>《混凝土制品用冷拔低碳钢丝》JC/T 540</w:t>
      </w:r>
    </w:p>
    <w:p>
      <w:pPr>
        <w:numPr>
          <w:ilvl w:val="0"/>
          <w:numId w:val="4"/>
        </w:numPr>
      </w:pPr>
      <w:r>
        <w:t>《预制混凝土箱涵》JC∕T 2456</w:t>
      </w:r>
    </w:p>
    <w:p>
      <w:pPr>
        <w:numPr>
          <w:ilvl w:val="0"/>
          <w:numId w:val="4"/>
        </w:numPr>
      </w:pPr>
      <w:r>
        <w:t>《公路隧道设计规范  第一册  土建工程》JTG 3370.1</w:t>
      </w:r>
    </w:p>
    <w:p>
      <w:pPr>
        <w:numPr>
          <w:ilvl w:val="0"/>
          <w:numId w:val="4"/>
        </w:numPr>
      </w:pPr>
      <w:r>
        <w:t>《铁路桥涵设计规范》TB 10002</w:t>
      </w:r>
    </w:p>
    <w:p>
      <w:pPr>
        <w:numPr>
          <w:ilvl w:val="0"/>
          <w:numId w:val="4"/>
        </w:numPr>
      </w:pPr>
      <w:r>
        <w:t>《铁路隧道设计规范》TB 10003</w:t>
      </w:r>
    </w:p>
    <w:p>
      <w:pPr>
        <w:widowControl/>
        <w:numPr>
          <w:ilvl w:val="0"/>
          <w:numId w:val="4"/>
        </w:numPr>
        <w:spacing w:line="240" w:lineRule="auto"/>
        <w:jc w:val="left"/>
        <w:sectPr>
          <w:pgSz w:w="11850" w:h="16783"/>
          <w:pgMar w:top="1440" w:right="1077" w:bottom="1440" w:left="1800" w:header="720" w:footer="720" w:gutter="0"/>
          <w:cols w:space="720" w:num="1"/>
          <w:docGrid w:linePitch="360" w:charSpace="0"/>
        </w:sectPr>
      </w:pPr>
      <w:r>
        <w:t>《给水排水工程钢筋混凝土沉井结构设计规程》CECS 137</w:t>
      </w:r>
    </w:p>
    <w:p/>
    <w:p/>
    <w:p>
      <w:pPr>
        <w:jc w:val="center"/>
        <w:rPr>
          <w:rFonts w:eastAsiaTheme="minorEastAsia"/>
          <w:b/>
          <w:sz w:val="36"/>
          <w:szCs w:val="36"/>
        </w:rPr>
      </w:pPr>
    </w:p>
    <w:p>
      <w:pPr>
        <w:jc w:val="center"/>
        <w:rPr>
          <w:rFonts w:eastAsiaTheme="minorEastAsia"/>
          <w:b/>
          <w:sz w:val="32"/>
          <w:szCs w:val="30"/>
        </w:rPr>
      </w:pPr>
      <w:r>
        <w:rPr>
          <w:rFonts w:hint="eastAsia" w:eastAsiaTheme="minorEastAsia"/>
          <w:b/>
          <w:sz w:val="32"/>
          <w:szCs w:val="30"/>
        </w:rPr>
        <w:t>广东省地方</w:t>
      </w:r>
      <w:r>
        <w:rPr>
          <w:rFonts w:eastAsiaTheme="minorEastAsia"/>
          <w:b/>
          <w:sz w:val="32"/>
          <w:szCs w:val="30"/>
        </w:rPr>
        <w:t>标准</w:t>
      </w:r>
    </w:p>
    <w:p>
      <w:pPr>
        <w:jc w:val="center"/>
        <w:rPr>
          <w:rFonts w:eastAsiaTheme="minorEastAsia"/>
          <w:b/>
          <w:sz w:val="30"/>
          <w:szCs w:val="30"/>
        </w:rPr>
      </w:pPr>
    </w:p>
    <w:p>
      <w:pPr>
        <w:jc w:val="center"/>
        <w:rPr>
          <w:rFonts w:eastAsiaTheme="minorEastAsia"/>
          <w:b/>
          <w:sz w:val="52"/>
          <w:szCs w:val="36"/>
        </w:rPr>
      </w:pPr>
      <w:r>
        <w:rPr>
          <w:rFonts w:eastAsiaTheme="minorEastAsia"/>
          <w:b/>
          <w:sz w:val="52"/>
          <w:szCs w:val="36"/>
        </w:rPr>
        <w:t>矩形顶管工程技术规程</w:t>
      </w:r>
    </w:p>
    <w:p>
      <w:pPr>
        <w:adjustRightInd w:val="0"/>
        <w:snapToGrid w:val="0"/>
        <w:jc w:val="center"/>
        <w:rPr>
          <w:rFonts w:eastAsiaTheme="minorEastAsia"/>
          <w:sz w:val="32"/>
          <w:szCs w:val="32"/>
        </w:rPr>
      </w:pPr>
    </w:p>
    <w:p>
      <w:pPr>
        <w:adjustRightInd w:val="0"/>
        <w:snapToGrid w:val="0"/>
        <w:jc w:val="center"/>
        <w:rPr>
          <w:rFonts w:eastAsiaTheme="minorEastAsia"/>
          <w:sz w:val="28"/>
          <w:szCs w:val="28"/>
        </w:rPr>
      </w:pPr>
      <w:r>
        <w:rPr>
          <w:b/>
          <w:sz w:val="30"/>
          <w:szCs w:val="30"/>
        </w:rPr>
        <w:t>DBJ XXX—202*</w:t>
      </w: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adjustRightInd w:val="0"/>
        <w:snapToGrid w:val="0"/>
        <w:jc w:val="center"/>
        <w:rPr>
          <w:rFonts w:eastAsiaTheme="minorEastAsia"/>
          <w:sz w:val="28"/>
          <w:szCs w:val="28"/>
        </w:rPr>
      </w:pPr>
    </w:p>
    <w:p>
      <w:pPr>
        <w:pStyle w:val="2"/>
        <w:ind w:right="3005" w:rightChars="1252" w:firstLine="2973" w:firstLineChars="673"/>
        <w:jc w:val="distribute"/>
        <w:rPr>
          <w:rFonts w:cs="Times New Roman"/>
          <w:sz w:val="44"/>
        </w:rPr>
      </w:pPr>
      <w:bookmarkStart w:id="642" w:name="_Toc11809"/>
      <w:bookmarkStart w:id="643" w:name="_Toc8584"/>
      <w:bookmarkStart w:id="644" w:name="_Toc60173301"/>
      <w:bookmarkStart w:id="645" w:name="_Toc60173828"/>
      <w:bookmarkStart w:id="646" w:name="_Toc20070"/>
      <w:bookmarkStart w:id="647" w:name="_Toc16390"/>
      <w:bookmarkStart w:id="648" w:name="_Toc60172941"/>
      <w:bookmarkStart w:id="649" w:name="_Toc7533"/>
      <w:bookmarkStart w:id="650" w:name="_Toc47692200"/>
      <w:r>
        <w:rPr>
          <w:rFonts w:cs="Times New Roman"/>
          <w:sz w:val="44"/>
        </w:rPr>
        <w:t>条文说明</w:t>
      </w:r>
      <w:bookmarkEnd w:id="642"/>
      <w:bookmarkEnd w:id="643"/>
      <w:bookmarkEnd w:id="644"/>
      <w:bookmarkEnd w:id="645"/>
      <w:bookmarkEnd w:id="646"/>
      <w:bookmarkEnd w:id="647"/>
      <w:bookmarkEnd w:id="648"/>
      <w:bookmarkEnd w:id="649"/>
      <w:bookmarkEnd w:id="650"/>
    </w:p>
    <w:p>
      <w:pPr>
        <w:adjustRightInd w:val="0"/>
        <w:snapToGrid w:val="0"/>
        <w:jc w:val="center"/>
        <w:rPr>
          <w:rFonts w:eastAsiaTheme="minorEastAsia"/>
          <w:sz w:val="28"/>
          <w:szCs w:val="28"/>
        </w:rPr>
      </w:pPr>
    </w:p>
    <w:p>
      <w:pPr>
        <w:widowControl/>
        <w:spacing w:line="240" w:lineRule="auto"/>
        <w:jc w:val="left"/>
        <w:rPr>
          <w:rFonts w:eastAsiaTheme="minorEastAsia"/>
          <w:szCs w:val="22"/>
        </w:rPr>
      </w:pPr>
      <w:r>
        <w:rPr>
          <w:rFonts w:eastAsiaTheme="minorEastAsia"/>
          <w:szCs w:val="22"/>
        </w:rPr>
        <w:br w:type="page"/>
      </w:r>
    </w:p>
    <w:p>
      <w:pPr>
        <w:jc w:val="center"/>
        <w:rPr>
          <w:rFonts w:eastAsia="仿宋"/>
          <w:b/>
          <w:bCs/>
          <w:sz w:val="28"/>
          <w:szCs w:val="24"/>
        </w:rPr>
      </w:pPr>
      <w:r>
        <w:rPr>
          <w:rFonts w:eastAsia="仿宋"/>
          <w:b/>
          <w:bCs/>
          <w:sz w:val="28"/>
          <w:szCs w:val="24"/>
        </w:rPr>
        <w:t>目  次</w:t>
      </w:r>
    </w:p>
    <w:p>
      <w:pPr>
        <w:pStyle w:val="27"/>
        <w:tabs>
          <w:tab w:val="right" w:leader="dot" w:pos="8240"/>
        </w:tabs>
        <w:rPr>
          <w:rFonts w:ascii="Times New Roman" w:hAnsi="Times New Roman" w:cs="Times New Roman" w:eastAsiaTheme="minorEastAsia"/>
          <w:b w:val="0"/>
          <w:bCs w:val="0"/>
          <w:caps w:val="0"/>
          <w:sz w:val="21"/>
          <w:szCs w:val="22"/>
        </w:rPr>
      </w:pPr>
      <w:r>
        <w:rPr>
          <w:rFonts w:ascii="Times New Roman" w:hAnsi="Times New Roman" w:cs="Times New Roman"/>
          <w:szCs w:val="24"/>
        </w:rPr>
        <w:fldChar w:fldCharType="begin"/>
      </w:r>
      <w:r>
        <w:rPr>
          <w:rFonts w:ascii="Times New Roman" w:hAnsi="Times New Roman" w:cs="Times New Roman"/>
          <w:szCs w:val="24"/>
        </w:rPr>
        <w:instrText xml:space="preserve"> TOC \o "1-2" \h \z \u </w:instrText>
      </w:r>
      <w:r>
        <w:rPr>
          <w:rFonts w:ascii="Times New Roman" w:hAnsi="Times New Roman" w:cs="Times New Roman"/>
          <w:szCs w:val="24"/>
        </w:rPr>
        <w:fldChar w:fldCharType="separate"/>
      </w:r>
    </w:p>
    <w:p>
      <w:pPr>
        <w:pStyle w:val="27"/>
        <w:tabs>
          <w:tab w:val="right" w:leader="dot" w:pos="8240"/>
        </w:tabs>
        <w:rPr>
          <w:rFonts w:ascii="Times New Roman" w:hAnsi="Times New Roman" w:cs="Times New Roman" w:eastAsiaTheme="minorEastAsia"/>
          <w:b w:val="0"/>
          <w:bCs w:val="0"/>
          <w:caps w:val="0"/>
          <w:sz w:val="21"/>
          <w:szCs w:val="22"/>
        </w:rPr>
      </w:pPr>
      <w:r>
        <w:fldChar w:fldCharType="begin"/>
      </w:r>
      <w:r>
        <w:instrText xml:space="preserve"> HYPERLINK \l "_Toc60172942" </w:instrText>
      </w:r>
      <w:r>
        <w:fldChar w:fldCharType="separate"/>
      </w:r>
      <w:r>
        <w:rPr>
          <w:rStyle w:val="41"/>
          <w:rFonts w:ascii="Times New Roman" w:hAnsi="Times New Roman" w:cs="Times New Roman"/>
        </w:rPr>
        <w:t>1  总    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_Toc60172942 \h </w:instrText>
      </w:r>
      <w:r>
        <w:rPr>
          <w:rFonts w:ascii="Times New Roman" w:hAnsi="Times New Roman" w:cs="Times New Roman"/>
        </w:rPr>
        <w:fldChar w:fldCharType="separate"/>
      </w:r>
      <w:r>
        <w:rPr>
          <w:rFonts w:ascii="Times New Roman" w:hAnsi="Times New Roman" w:cs="Times New Roman"/>
        </w:rPr>
        <w:t>85</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40"/>
        </w:tabs>
        <w:rPr>
          <w:rFonts w:ascii="Times New Roman" w:hAnsi="Times New Roman" w:cs="Times New Roman" w:eastAsiaTheme="minorEastAsia"/>
          <w:b w:val="0"/>
          <w:bCs w:val="0"/>
          <w:caps w:val="0"/>
          <w:sz w:val="21"/>
          <w:szCs w:val="22"/>
        </w:rPr>
      </w:pPr>
      <w:r>
        <w:fldChar w:fldCharType="begin"/>
      </w:r>
      <w:r>
        <w:instrText xml:space="preserve"> HYPERLINK \l "_Toc60172943" </w:instrText>
      </w:r>
      <w:r>
        <w:fldChar w:fldCharType="separate"/>
      </w:r>
      <w:r>
        <w:rPr>
          <w:rStyle w:val="41"/>
          <w:rFonts w:ascii="Times New Roman" w:hAnsi="Times New Roman" w:cs="Times New Roman"/>
        </w:rPr>
        <w:t>3  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_Toc60172943 \h </w:instrText>
      </w:r>
      <w:r>
        <w:rPr>
          <w:rFonts w:ascii="Times New Roman" w:hAnsi="Times New Roman" w:cs="Times New Roman"/>
        </w:rPr>
        <w:fldChar w:fldCharType="separate"/>
      </w:r>
      <w:r>
        <w:rPr>
          <w:rFonts w:ascii="Times New Roman" w:hAnsi="Times New Roman" w:cs="Times New Roman"/>
        </w:rPr>
        <w:t>88</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40"/>
        </w:tabs>
        <w:rPr>
          <w:rFonts w:ascii="Times New Roman" w:hAnsi="Times New Roman" w:cs="Times New Roman" w:eastAsiaTheme="minorEastAsia"/>
          <w:b w:val="0"/>
          <w:bCs w:val="0"/>
          <w:caps w:val="0"/>
          <w:sz w:val="21"/>
          <w:szCs w:val="22"/>
        </w:rPr>
      </w:pPr>
      <w:r>
        <w:fldChar w:fldCharType="begin"/>
      </w:r>
      <w:r>
        <w:instrText xml:space="preserve"> HYPERLINK \l "_Toc60172944" </w:instrText>
      </w:r>
      <w:r>
        <w:fldChar w:fldCharType="separate"/>
      </w:r>
      <w:r>
        <w:rPr>
          <w:rStyle w:val="41"/>
          <w:rFonts w:ascii="Times New Roman" w:hAnsi="Times New Roman" w:cs="Times New Roman"/>
        </w:rPr>
        <w:t>4  工程勘察</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_Toc60172944 \h </w:instrText>
      </w:r>
      <w:r>
        <w:rPr>
          <w:rFonts w:ascii="Times New Roman" w:hAnsi="Times New Roman" w:cs="Times New Roman"/>
        </w:rPr>
        <w:fldChar w:fldCharType="separate"/>
      </w:r>
      <w:r>
        <w:rPr>
          <w:rFonts w:ascii="Times New Roman" w:hAnsi="Times New Roman" w:cs="Times New Roman"/>
        </w:rPr>
        <w:t>89</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"_Toc60172945" </w:instrText>
      </w:r>
      <w:r>
        <w:fldChar w:fldCharType="separate"/>
      </w:r>
      <w:r>
        <w:rPr>
          <w:rStyle w:val="41"/>
          <w:rFonts w:ascii="Times New Roman" w:hAnsi="Times New Roman" w:eastAsia="黑体" w:cs="Times New Roman"/>
        </w:rPr>
        <w:t>4.1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_Toc60172945 \h </w:instrText>
      </w:r>
      <w:r>
        <w:rPr>
          <w:rFonts w:ascii="Times New Roman" w:hAnsi="Times New Roman" w:cs="Times New Roman"/>
        </w:rPr>
        <w:fldChar w:fldCharType="separate"/>
      </w:r>
      <w:r>
        <w:rPr>
          <w:rFonts w:ascii="Times New Roman" w:hAnsi="Times New Roman" w:cs="Times New Roman"/>
        </w:rPr>
        <w:t>89</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40"/>
        </w:tabs>
        <w:rPr>
          <w:rFonts w:ascii="Times New Roman" w:hAnsi="Times New Roman" w:cs="Times New Roman" w:eastAsiaTheme="minorEastAsia"/>
          <w:b w:val="0"/>
          <w:bCs w:val="0"/>
          <w:caps w:val="0"/>
          <w:sz w:val="21"/>
          <w:szCs w:val="22"/>
        </w:rPr>
      </w:pPr>
      <w:r>
        <w:fldChar w:fldCharType="begin"/>
      </w:r>
      <w:r>
        <w:instrText xml:space="preserve"> HYPERLINK \l "_Toc60172946" </w:instrText>
      </w:r>
      <w:r>
        <w:fldChar w:fldCharType="separate"/>
      </w:r>
      <w:r>
        <w:rPr>
          <w:rStyle w:val="41"/>
          <w:rFonts w:ascii="Times New Roman" w:hAnsi="Times New Roman" w:cs="Times New Roman"/>
        </w:rPr>
        <w:t>5  顶管设计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_Toc60172946 \h </w:instrText>
      </w:r>
      <w:r>
        <w:rPr>
          <w:rFonts w:ascii="Times New Roman" w:hAnsi="Times New Roman" w:cs="Times New Roman"/>
        </w:rPr>
        <w:fldChar w:fldCharType="separate"/>
      </w:r>
      <w:r>
        <w:rPr>
          <w:rFonts w:ascii="Times New Roman" w:hAnsi="Times New Roman" w:cs="Times New Roman"/>
        </w:rPr>
        <w:t>90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"_Toc60172947" </w:instrText>
      </w:r>
      <w:r>
        <w:fldChar w:fldCharType="separate"/>
      </w:r>
      <w:r>
        <w:rPr>
          <w:rStyle w:val="41"/>
          <w:rFonts w:ascii="Times New Roman" w:hAnsi="Times New Roman" w:eastAsia="黑体" w:cs="Times New Roman"/>
        </w:rPr>
        <w:t>5.1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_Toc60172947 \h </w:instrText>
      </w:r>
      <w:r>
        <w:rPr>
          <w:rFonts w:ascii="Times New Roman" w:hAnsi="Times New Roman" w:cs="Times New Roman"/>
        </w:rPr>
        <w:fldChar w:fldCharType="separate"/>
      </w:r>
      <w:r>
        <w:rPr>
          <w:rFonts w:ascii="Times New Roman" w:hAnsi="Times New Roman" w:cs="Times New Roman"/>
        </w:rPr>
        <w:t>90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"_Toc60172948" </w:instrText>
      </w:r>
      <w:r>
        <w:fldChar w:fldCharType="separate"/>
      </w:r>
      <w:r>
        <w:rPr>
          <w:rStyle w:val="41"/>
          <w:rFonts w:ascii="Times New Roman" w:hAnsi="Times New Roman" w:eastAsia="黑体" w:cs="Times New Roman"/>
        </w:rPr>
        <w:t>5.2  顶管管位设计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_Toc60172948 \h </w:instrText>
      </w:r>
      <w:r>
        <w:rPr>
          <w:rFonts w:ascii="Times New Roman" w:hAnsi="Times New Roman" w:cs="Times New Roman"/>
        </w:rPr>
        <w:fldChar w:fldCharType="separate"/>
      </w:r>
      <w:r>
        <w:rPr>
          <w:rFonts w:ascii="Times New Roman" w:hAnsi="Times New Roman" w:cs="Times New Roman"/>
        </w:rPr>
        <w:t>90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"_Toc60172949" </w:instrText>
      </w:r>
      <w:r>
        <w:fldChar w:fldCharType="separate"/>
      </w:r>
      <w:r>
        <w:rPr>
          <w:rStyle w:val="41"/>
          <w:rFonts w:ascii="Times New Roman" w:hAnsi="Times New Roman" w:eastAsia="黑体" w:cs="Times New Roman"/>
        </w:rPr>
        <w:t>5.3  作用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_Toc60172949 \h </w:instrText>
      </w:r>
      <w:r>
        <w:rPr>
          <w:rFonts w:ascii="Times New Roman" w:hAnsi="Times New Roman" w:cs="Times New Roman"/>
        </w:rPr>
        <w:fldChar w:fldCharType="separate"/>
      </w:r>
      <w:r>
        <w:rPr>
          <w:rFonts w:ascii="Times New Roman" w:hAnsi="Times New Roman" w:cs="Times New Roman"/>
        </w:rPr>
        <w:t>90</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"_Toc60172950" </w:instrText>
      </w:r>
      <w:r>
        <w:fldChar w:fldCharType="separate"/>
      </w:r>
      <w:r>
        <w:rPr>
          <w:rStyle w:val="41"/>
          <w:rFonts w:ascii="Times New Roman" w:hAnsi="Times New Roman" w:eastAsia="黑体" w:cs="Times New Roman"/>
        </w:rPr>
        <w:t>5.5  管节构造设计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_Toc60172950 \h </w:instrText>
      </w:r>
      <w:r>
        <w:rPr>
          <w:rFonts w:ascii="Times New Roman" w:hAnsi="Times New Roman" w:cs="Times New Roman"/>
        </w:rPr>
        <w:fldChar w:fldCharType="separate"/>
      </w:r>
      <w:r>
        <w:rPr>
          <w:rFonts w:ascii="Times New Roman" w:hAnsi="Times New Roman" w:cs="Times New Roman"/>
        </w:rPr>
        <w:t>91</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"_Toc60172951" </w:instrText>
      </w:r>
      <w:r>
        <w:fldChar w:fldCharType="separate"/>
      </w:r>
      <w:r>
        <w:rPr>
          <w:rStyle w:val="41"/>
          <w:rFonts w:ascii="Times New Roman" w:hAnsi="Times New Roman" w:eastAsia="黑体" w:cs="Times New Roman"/>
        </w:rPr>
        <w:t>5.6  顶管总顶力计算与中继间设置原则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_Toc60172951 \h </w:instrText>
      </w:r>
      <w:r>
        <w:rPr>
          <w:rFonts w:ascii="Times New Roman" w:hAnsi="Times New Roman" w:cs="Times New Roman"/>
        </w:rPr>
        <w:fldChar w:fldCharType="separate"/>
      </w:r>
      <w:r>
        <w:rPr>
          <w:rFonts w:ascii="Times New Roman" w:hAnsi="Times New Roman" w:cs="Times New Roman"/>
        </w:rPr>
        <w:t>91</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"_Toc60172952" </w:instrText>
      </w:r>
      <w:r>
        <w:fldChar w:fldCharType="separate"/>
      </w:r>
      <w:r>
        <w:rPr>
          <w:rStyle w:val="41"/>
          <w:rFonts w:ascii="Times New Roman" w:hAnsi="Times New Roman" w:eastAsia="黑体" w:cs="Times New Roman"/>
        </w:rPr>
        <w:t>5.7  工作井设计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_Toc60172952 \h </w:instrText>
      </w:r>
      <w:r>
        <w:rPr>
          <w:rFonts w:ascii="Times New Roman" w:hAnsi="Times New Roman" w:cs="Times New Roman"/>
        </w:rPr>
        <w:fldChar w:fldCharType="separate"/>
      </w:r>
      <w:r>
        <w:rPr>
          <w:rFonts w:ascii="Times New Roman" w:hAnsi="Times New Roman" w:cs="Times New Roman"/>
        </w:rPr>
        <w:t>91</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40"/>
        </w:tabs>
        <w:rPr>
          <w:rFonts w:ascii="Times New Roman" w:hAnsi="Times New Roman" w:cs="Times New Roman" w:eastAsiaTheme="minorEastAsia"/>
          <w:b w:val="0"/>
          <w:bCs w:val="0"/>
          <w:caps w:val="0"/>
          <w:sz w:val="21"/>
          <w:szCs w:val="22"/>
        </w:rPr>
      </w:pPr>
      <w:r>
        <w:fldChar w:fldCharType="begin"/>
      </w:r>
      <w:r>
        <w:instrText xml:space="preserve"> HYPERLINK \l "_Toc60172953" </w:instrText>
      </w:r>
      <w:r>
        <w:fldChar w:fldCharType="separate"/>
      </w:r>
      <w:r>
        <w:rPr>
          <w:rStyle w:val="41"/>
          <w:rFonts w:ascii="Times New Roman" w:hAnsi="Times New Roman" w:cs="Times New Roman"/>
        </w:rPr>
        <w:t>6  管节制作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_Toc60172953 \h </w:instrText>
      </w:r>
      <w:r>
        <w:rPr>
          <w:rFonts w:ascii="Times New Roman" w:hAnsi="Times New Roman" w:cs="Times New Roman"/>
        </w:rPr>
        <w:fldChar w:fldCharType="separate"/>
      </w:r>
      <w:r>
        <w:rPr>
          <w:rFonts w:ascii="Times New Roman" w:hAnsi="Times New Roman" w:cs="Times New Roman"/>
        </w:rPr>
        <w:t>93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"_Toc60172954" </w:instrText>
      </w:r>
      <w:r>
        <w:fldChar w:fldCharType="separate"/>
      </w:r>
      <w:r>
        <w:rPr>
          <w:rStyle w:val="41"/>
          <w:rFonts w:ascii="Times New Roman" w:hAnsi="Times New Roman" w:eastAsia="黑体" w:cs="Times New Roman"/>
        </w:rPr>
        <w:t>6.1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_Toc60172954 \h </w:instrText>
      </w:r>
      <w:r>
        <w:rPr>
          <w:rFonts w:ascii="Times New Roman" w:hAnsi="Times New Roman" w:cs="Times New Roman"/>
        </w:rPr>
        <w:fldChar w:fldCharType="separate"/>
      </w:r>
      <w:r>
        <w:rPr>
          <w:rFonts w:ascii="Times New Roman" w:hAnsi="Times New Roman" w:cs="Times New Roman"/>
        </w:rPr>
        <w:t>93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"_Toc60172955" </w:instrText>
      </w:r>
      <w:r>
        <w:fldChar w:fldCharType="separate"/>
      </w:r>
      <w:r>
        <w:rPr>
          <w:rStyle w:val="41"/>
          <w:rFonts w:ascii="Times New Roman" w:hAnsi="Times New Roman" w:eastAsia="黑体" w:cs="Times New Roman"/>
        </w:rPr>
        <w:t>6.3  接头构造</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_Toc60172955 \h </w:instrText>
      </w:r>
      <w:r>
        <w:rPr>
          <w:rFonts w:ascii="Times New Roman" w:hAnsi="Times New Roman" w:cs="Times New Roman"/>
        </w:rPr>
        <w:fldChar w:fldCharType="separate"/>
      </w:r>
      <w:r>
        <w:rPr>
          <w:rFonts w:ascii="Times New Roman" w:hAnsi="Times New Roman" w:cs="Times New Roman"/>
        </w:rPr>
        <w:t>93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"_Toc60172956" </w:instrText>
      </w:r>
      <w:r>
        <w:fldChar w:fldCharType="separate"/>
      </w:r>
      <w:r>
        <w:rPr>
          <w:rStyle w:val="41"/>
          <w:rFonts w:ascii="Times New Roman" w:hAnsi="Times New Roman" w:eastAsia="黑体" w:cs="Times New Roman"/>
        </w:rPr>
        <w:t>6.4  管节防腐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_Toc60172956 \h </w:instrText>
      </w:r>
      <w:r>
        <w:rPr>
          <w:rFonts w:ascii="Times New Roman" w:hAnsi="Times New Roman" w:cs="Times New Roman"/>
        </w:rPr>
        <w:fldChar w:fldCharType="separate"/>
      </w:r>
      <w:r>
        <w:rPr>
          <w:rFonts w:ascii="Times New Roman" w:hAnsi="Times New Roman" w:cs="Times New Roman"/>
        </w:rPr>
        <w:t>93</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"_Toc60172957" </w:instrText>
      </w:r>
      <w:r>
        <w:fldChar w:fldCharType="separate"/>
      </w:r>
      <w:r>
        <w:rPr>
          <w:rStyle w:val="41"/>
          <w:rFonts w:ascii="Times New Roman" w:hAnsi="Times New Roman" w:eastAsia="黑体" w:cs="Times New Roman"/>
        </w:rPr>
        <w:t>6.6  管节标识、堆放、吊装和运输</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_Toc60172957 \h </w:instrText>
      </w:r>
      <w:r>
        <w:rPr>
          <w:rFonts w:ascii="Times New Roman" w:hAnsi="Times New Roman" w:cs="Times New Roman"/>
        </w:rPr>
        <w:fldChar w:fldCharType="separate"/>
      </w:r>
      <w:r>
        <w:rPr>
          <w:rFonts w:ascii="Times New Roman" w:hAnsi="Times New Roman" w:cs="Times New Roman"/>
        </w:rPr>
        <w:t>93</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40"/>
        </w:tabs>
        <w:rPr>
          <w:rFonts w:ascii="Times New Roman" w:hAnsi="Times New Roman" w:cs="Times New Roman" w:eastAsiaTheme="minorEastAsia"/>
          <w:b w:val="0"/>
          <w:bCs w:val="0"/>
          <w:caps w:val="0"/>
          <w:sz w:val="21"/>
          <w:szCs w:val="22"/>
        </w:rPr>
      </w:pPr>
      <w:r>
        <w:fldChar w:fldCharType="begin"/>
      </w:r>
      <w:r>
        <w:instrText xml:space="preserve"> HYPERLINK \l "_Toc60172958" </w:instrText>
      </w:r>
      <w:r>
        <w:fldChar w:fldCharType="separate"/>
      </w:r>
      <w:r>
        <w:rPr>
          <w:rStyle w:val="41"/>
          <w:rFonts w:ascii="Times New Roman" w:hAnsi="Times New Roman" w:cs="Times New Roman"/>
        </w:rPr>
        <w:t>7  工作井施工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_Toc60172958 \h </w:instrText>
      </w:r>
      <w:r>
        <w:rPr>
          <w:rFonts w:ascii="Times New Roman" w:hAnsi="Times New Roman" w:cs="Times New Roman"/>
        </w:rPr>
        <w:fldChar w:fldCharType="separate"/>
      </w:r>
      <w:r>
        <w:rPr>
          <w:rFonts w:ascii="Times New Roman" w:hAnsi="Times New Roman" w:cs="Times New Roman"/>
        </w:rPr>
        <w:t>94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"_Toc60172959" </w:instrText>
      </w:r>
      <w:r>
        <w:fldChar w:fldCharType="separate"/>
      </w:r>
      <w:r>
        <w:rPr>
          <w:rStyle w:val="41"/>
          <w:rFonts w:ascii="Times New Roman" w:hAnsi="Times New Roman" w:eastAsia="黑体" w:cs="Times New Roman"/>
        </w:rPr>
        <w:t>7.1  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_Toc60172959 \h </w:instrText>
      </w:r>
      <w:r>
        <w:rPr>
          <w:rFonts w:ascii="Times New Roman" w:hAnsi="Times New Roman" w:cs="Times New Roman"/>
        </w:rPr>
        <w:fldChar w:fldCharType="separate"/>
      </w:r>
      <w:r>
        <w:rPr>
          <w:rFonts w:ascii="Times New Roman" w:hAnsi="Times New Roman" w:cs="Times New Roman"/>
        </w:rPr>
        <w:t>94</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"_Toc60172960" </w:instrText>
      </w:r>
      <w:r>
        <w:fldChar w:fldCharType="separate"/>
      </w:r>
      <w:r>
        <w:rPr>
          <w:rStyle w:val="41"/>
          <w:rFonts w:ascii="Times New Roman" w:hAnsi="Times New Roman" w:eastAsia="黑体" w:cs="Times New Roman"/>
        </w:rPr>
        <w:t>7.2  土体加固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_Toc60172960 \h </w:instrText>
      </w:r>
      <w:r>
        <w:rPr>
          <w:rFonts w:ascii="Times New Roman" w:hAnsi="Times New Roman" w:cs="Times New Roman"/>
        </w:rPr>
        <w:fldChar w:fldCharType="separate"/>
      </w:r>
      <w:r>
        <w:rPr>
          <w:rFonts w:ascii="Times New Roman" w:hAnsi="Times New Roman" w:cs="Times New Roman"/>
        </w:rPr>
        <w:t>95</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40"/>
        </w:tabs>
        <w:rPr>
          <w:rFonts w:ascii="Times New Roman" w:hAnsi="Times New Roman" w:cs="Times New Roman" w:eastAsiaTheme="minorEastAsia"/>
          <w:b w:val="0"/>
          <w:bCs w:val="0"/>
          <w:caps w:val="0"/>
          <w:sz w:val="21"/>
          <w:szCs w:val="22"/>
        </w:rPr>
      </w:pPr>
      <w:r>
        <w:fldChar w:fldCharType="begin"/>
      </w:r>
      <w:r>
        <w:instrText xml:space="preserve"> HYPERLINK \l "_Toc60172961" </w:instrText>
      </w:r>
      <w:r>
        <w:fldChar w:fldCharType="separate"/>
      </w:r>
      <w:r>
        <w:rPr>
          <w:rStyle w:val="41"/>
          <w:rFonts w:ascii="Times New Roman" w:hAnsi="Times New Roman" w:cs="Times New Roman"/>
        </w:rPr>
        <w:t>8  顶管设备及安装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_Toc60172961 \h </w:instrText>
      </w:r>
      <w:r>
        <w:rPr>
          <w:rFonts w:ascii="Times New Roman" w:hAnsi="Times New Roman" w:cs="Times New Roman"/>
        </w:rPr>
        <w:fldChar w:fldCharType="separate"/>
      </w:r>
      <w:r>
        <w:rPr>
          <w:rFonts w:ascii="Times New Roman" w:hAnsi="Times New Roman" w:cs="Times New Roman"/>
        </w:rPr>
        <w:t>96</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"_Toc60172962" </w:instrText>
      </w:r>
      <w:r>
        <w:fldChar w:fldCharType="separate"/>
      </w:r>
      <w:r>
        <w:rPr>
          <w:rStyle w:val="41"/>
          <w:rFonts w:ascii="Times New Roman" w:hAnsi="Times New Roman" w:eastAsia="黑体" w:cs="Times New Roman"/>
        </w:rPr>
        <w:t>8.2  矩形顶管机设计与选型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_Toc60172962 \h </w:instrText>
      </w:r>
      <w:r>
        <w:rPr>
          <w:rFonts w:ascii="Times New Roman" w:hAnsi="Times New Roman" w:cs="Times New Roman"/>
        </w:rPr>
        <w:fldChar w:fldCharType="separate"/>
      </w:r>
      <w:r>
        <w:rPr>
          <w:rFonts w:ascii="Times New Roman" w:hAnsi="Times New Roman" w:cs="Times New Roman"/>
        </w:rPr>
        <w:t>96</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"_Toc60172963" </w:instrText>
      </w:r>
      <w:r>
        <w:fldChar w:fldCharType="separate"/>
      </w:r>
      <w:r>
        <w:rPr>
          <w:rStyle w:val="41"/>
          <w:rFonts w:ascii="Times New Roman" w:hAnsi="Times New Roman" w:eastAsia="黑体" w:cs="Times New Roman"/>
        </w:rPr>
        <w:t>8.4  导轨选择与安装</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_Toc60172963 \h </w:instrText>
      </w:r>
      <w:r>
        <w:rPr>
          <w:rFonts w:ascii="Times New Roman" w:hAnsi="Times New Roman" w:cs="Times New Roman"/>
        </w:rPr>
        <w:fldChar w:fldCharType="separate"/>
      </w:r>
      <w:r>
        <w:rPr>
          <w:rFonts w:ascii="Times New Roman" w:hAnsi="Times New Roman" w:cs="Times New Roman"/>
        </w:rPr>
        <w:t>97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"_Toc60172964" </w:instrText>
      </w:r>
      <w:r>
        <w:fldChar w:fldCharType="separate"/>
      </w:r>
      <w:r>
        <w:rPr>
          <w:rStyle w:val="41"/>
          <w:rFonts w:ascii="Times New Roman" w:hAnsi="Times New Roman" w:eastAsia="黑体" w:cs="Times New Roman"/>
        </w:rPr>
        <w:t>8.5  顶管机安装和调试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_Toc60172964 \h </w:instrText>
      </w:r>
      <w:r>
        <w:rPr>
          <w:rFonts w:ascii="Times New Roman" w:hAnsi="Times New Roman" w:cs="Times New Roman"/>
        </w:rPr>
        <w:fldChar w:fldCharType="separate"/>
      </w:r>
      <w:r>
        <w:rPr>
          <w:rFonts w:ascii="Times New Roman" w:hAnsi="Times New Roman" w:cs="Times New Roman"/>
        </w:rPr>
        <w:t>97</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"_Toc60172965" </w:instrText>
      </w:r>
      <w:r>
        <w:fldChar w:fldCharType="separate"/>
      </w:r>
      <w:r>
        <w:rPr>
          <w:rStyle w:val="41"/>
          <w:rFonts w:ascii="Times New Roman" w:hAnsi="Times New Roman" w:eastAsia="黑体" w:cs="Times New Roman"/>
        </w:rPr>
        <w:t>8.9  顶管辅助施工与设备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_Toc60172965 \h </w:instrText>
      </w:r>
      <w:r>
        <w:rPr>
          <w:rFonts w:ascii="Times New Roman" w:hAnsi="Times New Roman" w:cs="Times New Roman"/>
        </w:rPr>
        <w:fldChar w:fldCharType="separate"/>
      </w:r>
      <w:r>
        <w:rPr>
          <w:rFonts w:ascii="Times New Roman" w:hAnsi="Times New Roman" w:cs="Times New Roman"/>
        </w:rPr>
        <w:t>97</w:t>
      </w:r>
      <w:r>
        <w:rPr>
          <w:rFonts w:ascii="Times New Roman" w:hAnsi="Times New Roman" w:cs="Times New Roman"/>
        </w:rPr>
        <w:fldChar w:fldCharType="end"/>
      </w:r>
      <w:r>
        <w:rPr>
          <w:rFonts w:ascii="Times New Roman" w:hAnsi="Times New Roman" w:cs="Times New Roman"/>
        </w:rPr>
        <w:fldChar w:fldCharType="end"/>
      </w:r>
    </w:p>
    <w:p>
      <w:pPr>
        <w:pStyle w:val="27"/>
        <w:tabs>
          <w:tab w:val="right" w:leader="dot" w:pos="8240"/>
        </w:tabs>
        <w:rPr>
          <w:rFonts w:ascii="Times New Roman" w:hAnsi="Times New Roman" w:cs="Times New Roman" w:eastAsiaTheme="minorEastAsia"/>
          <w:b w:val="0"/>
          <w:bCs w:val="0"/>
          <w:caps w:val="0"/>
          <w:sz w:val="21"/>
          <w:szCs w:val="22"/>
        </w:rPr>
      </w:pPr>
      <w:r>
        <w:fldChar w:fldCharType="begin"/>
      </w:r>
      <w:r>
        <w:instrText xml:space="preserve"> HYPERLINK \l "_Toc60172966" </w:instrText>
      </w:r>
      <w:r>
        <w:fldChar w:fldCharType="separate"/>
      </w:r>
      <w:r>
        <w:rPr>
          <w:rStyle w:val="41"/>
          <w:rFonts w:ascii="Times New Roman" w:hAnsi="Times New Roman" w:cs="Times New Roman"/>
        </w:rPr>
        <w:t>9  顶进施工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_Toc60172966 \h </w:instrText>
      </w:r>
      <w:r>
        <w:rPr>
          <w:rFonts w:ascii="Times New Roman" w:hAnsi="Times New Roman" w:cs="Times New Roman"/>
        </w:rPr>
        <w:fldChar w:fldCharType="separate"/>
      </w:r>
      <w:r>
        <w:rPr>
          <w:rFonts w:ascii="Times New Roman" w:hAnsi="Times New Roman" w:cs="Times New Roman"/>
        </w:rPr>
        <w:t>98</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"_Toc60172967" </w:instrText>
      </w:r>
      <w:r>
        <w:fldChar w:fldCharType="separate"/>
      </w:r>
      <w:r>
        <w:rPr>
          <w:rStyle w:val="41"/>
          <w:rFonts w:ascii="Times New Roman" w:hAnsi="Times New Roman" w:eastAsia="黑体" w:cs="Times New Roman"/>
        </w:rPr>
        <w:t>9.2  施工组织设计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_Toc60172967 \h </w:instrText>
      </w:r>
      <w:r>
        <w:rPr>
          <w:rFonts w:ascii="Times New Roman" w:hAnsi="Times New Roman" w:cs="Times New Roman"/>
        </w:rPr>
        <w:fldChar w:fldCharType="separate"/>
      </w:r>
      <w:r>
        <w:rPr>
          <w:rFonts w:ascii="Times New Roman" w:hAnsi="Times New Roman" w:cs="Times New Roman"/>
        </w:rPr>
        <w:t>98</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"_Toc60172968" </w:instrText>
      </w:r>
      <w:r>
        <w:fldChar w:fldCharType="separate"/>
      </w:r>
      <w:r>
        <w:rPr>
          <w:rStyle w:val="41"/>
          <w:rFonts w:ascii="Times New Roman" w:hAnsi="Times New Roman" w:eastAsia="黑体" w:cs="Times New Roman"/>
        </w:rPr>
        <w:t>9.3  顶管始发与接收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_Toc60172968 \h </w:instrText>
      </w:r>
      <w:r>
        <w:rPr>
          <w:rFonts w:ascii="Times New Roman" w:hAnsi="Times New Roman" w:cs="Times New Roman"/>
        </w:rPr>
        <w:fldChar w:fldCharType="separate"/>
      </w:r>
      <w:r>
        <w:rPr>
          <w:rFonts w:ascii="Times New Roman" w:hAnsi="Times New Roman" w:cs="Times New Roman"/>
        </w:rPr>
        <w:t>98</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"_Toc60172969" </w:instrText>
      </w:r>
      <w:r>
        <w:fldChar w:fldCharType="separate"/>
      </w:r>
      <w:r>
        <w:rPr>
          <w:rStyle w:val="41"/>
          <w:rFonts w:ascii="Times New Roman" w:hAnsi="Times New Roman" w:eastAsia="黑体" w:cs="Times New Roman"/>
        </w:rPr>
        <w:t>9.4  顶管掘进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_Toc60172969 \h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"_Toc60172970" </w:instrText>
      </w:r>
      <w:r>
        <w:fldChar w:fldCharType="separate"/>
      </w:r>
      <w:r>
        <w:rPr>
          <w:rStyle w:val="41"/>
          <w:rFonts w:ascii="Times New Roman" w:hAnsi="Times New Roman" w:eastAsia="黑体" w:cs="Times New Roman"/>
        </w:rPr>
        <w:t>9.5  注浆减阻</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_Toc60172970 \h </w:instrText>
      </w:r>
      <w:r>
        <w:rPr>
          <w:rFonts w:ascii="Times New Roman" w:hAnsi="Times New Roman" w:cs="Times New Roman"/>
        </w:rPr>
        <w:fldChar w:fldCharType="separate"/>
      </w:r>
      <w:r>
        <w:rPr>
          <w:rFonts w:ascii="Times New Roman" w:hAnsi="Times New Roman" w:cs="Times New Roman"/>
        </w:rPr>
        <w:t>99</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"_Toc60172971" </w:instrText>
      </w:r>
      <w:r>
        <w:fldChar w:fldCharType="separate"/>
      </w:r>
      <w:r>
        <w:rPr>
          <w:rStyle w:val="41"/>
          <w:rFonts w:ascii="Times New Roman" w:hAnsi="Times New Roman" w:eastAsia="黑体" w:cs="Times New Roman"/>
        </w:rPr>
        <w:t>9.6  渣土改良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_Toc60172971 \h </w:instrText>
      </w:r>
      <w:r>
        <w:rPr>
          <w:rFonts w:ascii="Times New Roman" w:hAnsi="Times New Roman" w:cs="Times New Roman"/>
        </w:rPr>
        <w:fldChar w:fldCharType="separate"/>
      </w:r>
      <w:r>
        <w:rPr>
          <w:rFonts w:ascii="Times New Roman" w:hAnsi="Times New Roman" w:cs="Times New Roman"/>
        </w:rPr>
        <w:t>101</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"_Toc60172972" </w:instrText>
      </w:r>
      <w:r>
        <w:fldChar w:fldCharType="separate"/>
      </w:r>
      <w:r>
        <w:rPr>
          <w:rStyle w:val="41"/>
          <w:rFonts w:ascii="Times New Roman" w:hAnsi="Times New Roman" w:eastAsia="黑体" w:cs="Times New Roman"/>
        </w:rPr>
        <w:t>9.7  测量和姿态控制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_Toc60172972 \h </w:instrText>
      </w:r>
      <w:r>
        <w:rPr>
          <w:rFonts w:ascii="Times New Roman" w:hAnsi="Times New Roman" w:cs="Times New Roman"/>
        </w:rPr>
        <w:fldChar w:fldCharType="separate"/>
      </w:r>
      <w:r>
        <w:rPr>
          <w:rFonts w:ascii="Times New Roman" w:hAnsi="Times New Roman" w:cs="Times New Roman"/>
        </w:rPr>
        <w:t>101</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ascii="Times New Roman" w:hAnsi="Times New Roman" w:cs="Times New Roman" w:eastAsiaTheme="minorEastAsia"/>
          <w:smallCaps w:val="0"/>
          <w:sz w:val="21"/>
          <w:szCs w:val="22"/>
        </w:rPr>
      </w:pPr>
      <w:r>
        <w:fldChar w:fldCharType="begin"/>
      </w:r>
      <w:r>
        <w:instrText xml:space="preserve"> HYPERLINK \l "_Toc60172973" </w:instrText>
      </w:r>
      <w:r>
        <w:fldChar w:fldCharType="separate"/>
      </w:r>
      <w:r>
        <w:rPr>
          <w:rStyle w:val="41"/>
          <w:rFonts w:ascii="Times New Roman" w:hAnsi="Times New Roman" w:eastAsia="黑体" w:cs="Times New Roman"/>
        </w:rPr>
        <w:t>9.8  监测与变形控制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_Toc60172973 \h </w:instrText>
      </w:r>
      <w:r>
        <w:rPr>
          <w:rFonts w:ascii="Times New Roman" w:hAnsi="Times New Roman" w:cs="Times New Roman"/>
        </w:rPr>
        <w:fldChar w:fldCharType="separate"/>
      </w:r>
      <w:r>
        <w:rPr>
          <w:rFonts w:ascii="Times New Roman" w:hAnsi="Times New Roman" w:cs="Times New Roman"/>
        </w:rPr>
        <w:t>102</w:t>
      </w:r>
      <w:r>
        <w:rPr>
          <w:rFonts w:ascii="Times New Roman" w:hAnsi="Times New Roman" w:cs="Times New Roman"/>
        </w:rPr>
        <w:fldChar w:fldCharType="end"/>
      </w:r>
      <w:r>
        <w:rPr>
          <w:rFonts w:ascii="Times New Roman" w:hAnsi="Times New Roman" w:cs="Times New Roman"/>
        </w:rPr>
        <w:fldChar w:fldCharType="end"/>
      </w:r>
    </w:p>
    <w:p>
      <w:pPr>
        <w:pStyle w:val="31"/>
        <w:tabs>
          <w:tab w:val="right" w:leader="dot" w:pos="8240"/>
        </w:tabs>
        <w:rPr>
          <w:rFonts w:eastAsiaTheme="minorEastAsia" w:cstheme="minorBidi"/>
          <w:smallCaps w:val="0"/>
          <w:sz w:val="21"/>
          <w:szCs w:val="22"/>
        </w:rPr>
      </w:pPr>
      <w:r>
        <w:fldChar w:fldCharType="begin"/>
      </w:r>
      <w:r>
        <w:instrText xml:space="preserve"> HYPERLINK \l "_Toc60172974" </w:instrText>
      </w:r>
      <w:r>
        <w:fldChar w:fldCharType="separate"/>
      </w:r>
      <w:r>
        <w:rPr>
          <w:rStyle w:val="41"/>
          <w:rFonts w:ascii="Times New Roman" w:hAnsi="Times New Roman" w:eastAsia="黑体" w:cs="Times New Roman"/>
        </w:rPr>
        <w:t>9.9  顶管机拆解与吊出</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_Toc60172974 \h </w:instrText>
      </w:r>
      <w:r>
        <w:rPr>
          <w:rFonts w:ascii="Times New Roman" w:hAnsi="Times New Roman" w:cs="Times New Roman"/>
        </w:rPr>
        <w:fldChar w:fldCharType="separate"/>
      </w:r>
      <w:r>
        <w:rPr>
          <w:rFonts w:ascii="Times New Roman" w:hAnsi="Times New Roman" w:cs="Times New Roman"/>
        </w:rPr>
        <w:t>102</w:t>
      </w:r>
      <w:r>
        <w:rPr>
          <w:rFonts w:ascii="Times New Roman" w:hAnsi="Times New Roman" w:cs="Times New Roman"/>
        </w:rPr>
        <w:fldChar w:fldCharType="end"/>
      </w:r>
      <w:r>
        <w:rPr>
          <w:rFonts w:ascii="Times New Roman" w:hAnsi="Times New Roman" w:cs="Times New Roman"/>
        </w:rPr>
        <w:fldChar w:fldCharType="end"/>
      </w:r>
    </w:p>
    <w:p>
      <w:pPr>
        <w:jc w:val="left"/>
      </w:pPr>
      <w:r>
        <w:rPr>
          <w:szCs w:val="24"/>
        </w:rPr>
        <w:fldChar w:fldCharType="end"/>
      </w:r>
    </w:p>
    <w:p>
      <w:pPr>
        <w:jc w:val="left"/>
        <w:sectPr>
          <w:pgSz w:w="11850" w:h="16783"/>
          <w:pgMar w:top="1440" w:right="1800" w:bottom="1440" w:left="1800" w:header="720" w:footer="720" w:gutter="0"/>
          <w:cols w:space="720" w:num="1"/>
          <w:docGrid w:linePitch="360" w:charSpace="0"/>
        </w:sectPr>
      </w:pPr>
    </w:p>
    <w:p>
      <w:pPr>
        <w:pStyle w:val="2"/>
        <w:rPr>
          <w:rFonts w:cs="Times New Roman"/>
        </w:rPr>
      </w:pPr>
      <w:bookmarkStart w:id="651" w:name="_Toc60173302"/>
      <w:bookmarkStart w:id="652" w:name="_Toc27061"/>
      <w:bookmarkStart w:id="653" w:name="_Toc60172942"/>
      <w:bookmarkStart w:id="654" w:name="_Toc33214136"/>
      <w:bookmarkStart w:id="655" w:name="_Toc20689"/>
      <w:bookmarkStart w:id="656" w:name="_Toc60173829"/>
      <w:bookmarkStart w:id="657" w:name="_Toc7957"/>
      <w:r>
        <w:rPr>
          <w:rFonts w:cs="Times New Roman"/>
        </w:rPr>
        <w:t>1  总    则</w:t>
      </w:r>
      <w:bookmarkEnd w:id="651"/>
      <w:bookmarkEnd w:id="652"/>
      <w:bookmarkEnd w:id="653"/>
      <w:bookmarkEnd w:id="654"/>
      <w:bookmarkEnd w:id="655"/>
      <w:bookmarkEnd w:id="656"/>
      <w:bookmarkEnd w:id="657"/>
    </w:p>
    <w:p>
      <w:pPr>
        <w:rPr>
          <w:bCs/>
        </w:rPr>
      </w:pPr>
      <w:r>
        <w:rPr>
          <w:rFonts w:hint="eastAsia"/>
          <w:b/>
          <w:bCs/>
        </w:rPr>
        <w:t xml:space="preserve">1.0.1  </w:t>
      </w:r>
      <w:r>
        <w:rPr>
          <w:rFonts w:hint="eastAsia"/>
          <w:bCs/>
        </w:rPr>
        <w:t>目前广东</w:t>
      </w:r>
      <w:r>
        <w:rPr>
          <w:bCs/>
        </w:rPr>
        <w:t>省主要矩形顶管工程项目</w:t>
      </w:r>
      <w:r>
        <w:rPr>
          <w:rFonts w:hint="eastAsia"/>
          <w:bCs/>
        </w:rPr>
        <w:t>：</w:t>
      </w:r>
    </w:p>
    <w:p>
      <w:pPr>
        <w:jc w:val="center"/>
        <w:rPr>
          <w:b/>
        </w:rPr>
      </w:pPr>
      <w:r>
        <w:rPr>
          <w:rFonts w:hint="eastAsia"/>
          <w:b/>
          <w:sz w:val="21"/>
        </w:rPr>
        <w:t>表1 广东省主要矩形顶管工程项目列表</w:t>
      </w:r>
    </w:p>
    <w:tbl>
      <w:tblPr>
        <w:tblStyle w:val="47"/>
        <w:tblW w:w="8600" w:type="dxa"/>
        <w:jc w:val="center"/>
        <w:tblInd w:w="0" w:type="dxa"/>
        <w:tblLayout w:type="fixed"/>
        <w:tblCellMar>
          <w:top w:w="0" w:type="dxa"/>
          <w:left w:w="0" w:type="dxa"/>
          <w:bottom w:w="0" w:type="dxa"/>
          <w:right w:w="0" w:type="dxa"/>
        </w:tblCellMar>
      </w:tblPr>
      <w:tblGrid>
        <w:gridCol w:w="737"/>
        <w:gridCol w:w="907"/>
        <w:gridCol w:w="13"/>
        <w:gridCol w:w="1961"/>
        <w:gridCol w:w="1110"/>
        <w:gridCol w:w="900"/>
        <w:gridCol w:w="1272"/>
        <w:gridCol w:w="13"/>
        <w:gridCol w:w="680"/>
        <w:gridCol w:w="1007"/>
      </w:tblGrid>
      <w:tr>
        <w:tblPrEx>
          <w:tblLayout w:type="fixed"/>
          <w:tblCellMar>
            <w:top w:w="0" w:type="dxa"/>
            <w:left w:w="0" w:type="dxa"/>
            <w:bottom w:w="0" w:type="dxa"/>
            <w:right w:w="0" w:type="dxa"/>
          </w:tblCellMar>
        </w:tblPrEx>
        <w:trPr>
          <w:trHeight w:val="668"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年份</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地区</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工程名称</w:t>
            </w:r>
          </w:p>
        </w:tc>
        <w:tc>
          <w:tcPr>
            <w:tcW w:w="1110"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截面尺寸</w:t>
            </w:r>
            <w:r>
              <w:rPr>
                <w:rStyle w:val="104"/>
                <w:rFonts w:hint="default"/>
                <w:lang w:bidi="ar"/>
              </w:rPr>
              <w:t>（</w:t>
            </w:r>
            <w:r>
              <w:rPr>
                <w:rStyle w:val="105"/>
                <w:lang w:bidi="ar"/>
              </w:rPr>
              <w:t>mxm</w:t>
            </w:r>
            <w:r>
              <w:rPr>
                <w:rStyle w:val="104"/>
                <w:rFonts w:hint="default"/>
                <w:lang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顶程(</w:t>
            </w:r>
            <w:r>
              <w:rPr>
                <w:color w:val="000000"/>
                <w:kern w:val="0"/>
                <w:sz w:val="21"/>
                <w:lang w:bidi="ar"/>
              </w:rPr>
              <w:t>m</w:t>
            </w:r>
            <w:r>
              <w:rPr>
                <w:rFonts w:hint="eastAsia"/>
                <w:color w:val="000000"/>
                <w:kern w:val="0"/>
                <w:sz w:val="21"/>
                <w:lang w:bidi="ar"/>
              </w:rPr>
              <w:t>)</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顶管机</w:t>
            </w:r>
          </w:p>
        </w:tc>
        <w:tc>
          <w:tcPr>
            <w:tcW w:w="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用途</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地层</w:t>
            </w:r>
          </w:p>
        </w:tc>
      </w:tr>
      <w:tr>
        <w:tblPrEx>
          <w:tblLayout w:type="fixed"/>
          <w:tblCellMar>
            <w:top w:w="0" w:type="dxa"/>
            <w:left w:w="0" w:type="dxa"/>
            <w:bottom w:w="0" w:type="dxa"/>
            <w:right w:w="0" w:type="dxa"/>
          </w:tblCellMar>
        </w:tblPrEx>
        <w:trPr>
          <w:trHeight w:val="102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2009</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广州地铁六号线东湖站Ⅱ号出入口过街通道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6.9×4.2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64.5</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土压平衡式矩形顶管机</w:t>
            </w:r>
          </w:p>
        </w:tc>
        <w:tc>
          <w:tcPr>
            <w:tcW w:w="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地铁站出入口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粉细砂层</w:t>
            </w:r>
          </w:p>
        </w:tc>
      </w:tr>
      <w:tr>
        <w:tblPrEx>
          <w:tblLayout w:type="fixed"/>
          <w:tblCellMar>
            <w:top w:w="0" w:type="dxa"/>
            <w:left w:w="0" w:type="dxa"/>
            <w:bottom w:w="0" w:type="dxa"/>
            <w:right w:w="0" w:type="dxa"/>
          </w:tblCellMar>
        </w:tblPrEx>
        <w:trPr>
          <w:trHeight w:val="127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2011</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佛山</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广佛地铁桂城站南桂站市政过街隧道矩形顶管工程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43.5</w:t>
            </w:r>
            <w:r>
              <w:rPr>
                <w:rStyle w:val="104"/>
                <w:rFonts w:hint="default"/>
                <w:lang w:bidi="ar"/>
              </w:rPr>
              <w:t>、</w:t>
            </w:r>
            <w:r>
              <w:rPr>
                <w:rStyle w:val="105"/>
                <w:lang w:bidi="ar"/>
              </w:rPr>
              <w:t>75</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泥水平衡顶管机曲轴刀盘</w:t>
            </w:r>
          </w:p>
        </w:tc>
        <w:tc>
          <w:tcPr>
            <w:tcW w:w="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地铁站出入口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粉质黏土</w:t>
            </w:r>
          </w:p>
        </w:tc>
      </w:tr>
      <w:tr>
        <w:tblPrEx>
          <w:tblLayout w:type="fixed"/>
          <w:tblCellMar>
            <w:top w:w="0" w:type="dxa"/>
            <w:left w:w="0" w:type="dxa"/>
            <w:bottom w:w="0" w:type="dxa"/>
            <w:right w:w="0" w:type="dxa"/>
          </w:tblCellMar>
        </w:tblPrEx>
        <w:trPr>
          <w:trHeight w:val="76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2012</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佛山</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佛山市南海区桂城站过街通道工程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w:t>
            </w:r>
            <w:r>
              <w:rPr>
                <w:rStyle w:val="104"/>
                <w:rFonts w:hint="default"/>
                <w:lang w:bidi="ar"/>
              </w:rPr>
              <w:t>×</w:t>
            </w:r>
            <w:r>
              <w:rPr>
                <w:rStyle w:val="105"/>
                <w:lang w:bidi="ar"/>
              </w:rPr>
              <w:t>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43.5</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泥水平衡顶管机</w:t>
            </w:r>
          </w:p>
        </w:tc>
        <w:tc>
          <w:tcPr>
            <w:tcW w:w="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过街通道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淤泥质土</w:t>
            </w:r>
          </w:p>
        </w:tc>
      </w:tr>
      <w:tr>
        <w:tblPrEx>
          <w:tblLayout w:type="fixed"/>
          <w:tblCellMar>
            <w:top w:w="0" w:type="dxa"/>
            <w:left w:w="0" w:type="dxa"/>
            <w:bottom w:w="0" w:type="dxa"/>
            <w:right w:w="0" w:type="dxa"/>
          </w:tblCellMar>
        </w:tblPrEx>
        <w:trPr>
          <w:trHeight w:val="103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2013</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广州文化公园地铁站</w:t>
            </w:r>
            <w:r>
              <w:rPr>
                <w:rStyle w:val="105"/>
                <w:lang w:bidi="ar"/>
              </w:rPr>
              <w:t>V</w:t>
            </w:r>
            <w:r>
              <w:rPr>
                <w:rStyle w:val="104"/>
                <w:rFonts w:hint="default"/>
                <w:lang w:bidi="ar"/>
              </w:rPr>
              <w:t>号出入口矩形顶管</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48.9</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泥水平衡顶管机曲轴刀盘</w:t>
            </w:r>
          </w:p>
        </w:tc>
        <w:tc>
          <w:tcPr>
            <w:tcW w:w="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过街通道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粉质黏土</w:t>
            </w:r>
          </w:p>
        </w:tc>
      </w:tr>
      <w:tr>
        <w:tblPrEx>
          <w:tblLayout w:type="fixed"/>
          <w:tblCellMar>
            <w:top w:w="0" w:type="dxa"/>
            <w:left w:w="0" w:type="dxa"/>
            <w:bottom w:w="0" w:type="dxa"/>
            <w:right w:w="0" w:type="dxa"/>
          </w:tblCellMar>
        </w:tblPrEx>
        <w:trPr>
          <w:trHeight w:val="78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2014</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广州五号线科韵路</w:t>
            </w:r>
            <w:r>
              <w:rPr>
                <w:rStyle w:val="105"/>
                <w:lang w:bidi="ar"/>
              </w:rPr>
              <w:t>III</w:t>
            </w:r>
            <w:r>
              <w:rPr>
                <w:rStyle w:val="104"/>
                <w:rFonts w:hint="default"/>
                <w:lang w:bidi="ar"/>
              </w:rPr>
              <w:t>号出入口通道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49.6</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泥水平衡顶管机曲轴刀盘</w:t>
            </w:r>
          </w:p>
        </w:tc>
        <w:tc>
          <w:tcPr>
            <w:tcW w:w="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细砂，中粗砂</w:t>
            </w:r>
          </w:p>
        </w:tc>
      </w:tr>
      <w:tr>
        <w:tblPrEx>
          <w:tblLayout w:type="fixed"/>
          <w:tblCellMar>
            <w:top w:w="0" w:type="dxa"/>
            <w:left w:w="0" w:type="dxa"/>
            <w:bottom w:w="0" w:type="dxa"/>
            <w:right w:w="0" w:type="dxa"/>
          </w:tblCellMar>
        </w:tblPrEx>
        <w:trPr>
          <w:trHeight w:val="129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2016</w:t>
            </w:r>
          </w:p>
        </w:tc>
        <w:tc>
          <w:tcPr>
            <w:tcW w:w="9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深圳地铁</w:t>
            </w:r>
            <w:r>
              <w:rPr>
                <w:rStyle w:val="105"/>
                <w:lang w:bidi="ar"/>
              </w:rPr>
              <w:t>9</w:t>
            </w:r>
            <w:r>
              <w:rPr>
                <w:rStyle w:val="104"/>
                <w:rFonts w:hint="default"/>
                <w:lang w:bidi="ar"/>
              </w:rPr>
              <w:t>号线上沙</w:t>
            </w:r>
            <w:r>
              <w:rPr>
                <w:rStyle w:val="105"/>
                <w:lang w:bidi="ar"/>
              </w:rPr>
              <w:t>-</w:t>
            </w:r>
            <w:r>
              <w:rPr>
                <w:rStyle w:val="104"/>
                <w:rFonts w:hint="default"/>
                <w:lang w:bidi="ar"/>
              </w:rPr>
              <w:t>下沙地下人行过街通道工程</w:t>
            </w:r>
            <w:r>
              <w:rPr>
                <w:rStyle w:val="105"/>
                <w:lang w:bidi="ar"/>
              </w:rPr>
              <w:t>A</w:t>
            </w:r>
            <w:r>
              <w:rPr>
                <w:rStyle w:val="104"/>
                <w:rFonts w:hint="default"/>
                <w:lang w:bidi="ar"/>
              </w:rPr>
              <w:t>段</w:t>
            </w:r>
            <w:r>
              <w:rPr>
                <w:rStyle w:val="105"/>
                <w:lang w:bidi="ar"/>
              </w:rPr>
              <w:t>B</w:t>
            </w:r>
            <w:r>
              <w:rPr>
                <w:rStyle w:val="104"/>
                <w:rFonts w:hint="default"/>
                <w:lang w:bidi="ar"/>
              </w:rPr>
              <w:t>段</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7.7m</w:t>
            </w:r>
            <w:r>
              <w:rPr>
                <w:rStyle w:val="104"/>
                <w:rFonts w:hint="default"/>
                <w:lang w:bidi="ar"/>
              </w:rPr>
              <w:t>×</w:t>
            </w:r>
            <w:r>
              <w:rPr>
                <w:rStyle w:val="105"/>
                <w:lang w:bidi="ar"/>
              </w:rPr>
              <w:t>4.3m</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A</w:t>
            </w:r>
            <w:r>
              <w:rPr>
                <w:rStyle w:val="104"/>
                <w:rFonts w:hint="default"/>
                <w:lang w:bidi="ar"/>
              </w:rPr>
              <w:t>段</w:t>
            </w:r>
            <w:r>
              <w:rPr>
                <w:rStyle w:val="105"/>
                <w:lang w:bidi="ar"/>
              </w:rPr>
              <w:t>133.5</w:t>
            </w:r>
            <w:r>
              <w:rPr>
                <w:rStyle w:val="105"/>
                <w:lang w:bidi="ar"/>
              </w:rPr>
              <w:br w:type="textWrapping"/>
            </w:r>
            <w:r>
              <w:rPr>
                <w:rStyle w:val="105"/>
                <w:lang w:bidi="ar"/>
              </w:rPr>
              <w:t>B</w:t>
            </w:r>
            <w:r>
              <w:rPr>
                <w:rStyle w:val="104"/>
                <w:rFonts w:hint="default"/>
                <w:lang w:bidi="ar"/>
              </w:rPr>
              <w:t>段</w:t>
            </w:r>
            <w:r>
              <w:rPr>
                <w:rStyle w:val="105"/>
                <w:lang w:bidi="ar"/>
              </w:rPr>
              <w:t>81</w:t>
            </w:r>
          </w:p>
        </w:tc>
        <w:tc>
          <w:tcPr>
            <w:tcW w:w="127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多刀盘组合式矩形土压平衡顶管机</w:t>
            </w:r>
          </w:p>
        </w:tc>
        <w:tc>
          <w:tcPr>
            <w:tcW w:w="69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地下人行通道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淤泥质黏土、中砂、砾砂</w:t>
            </w:r>
          </w:p>
        </w:tc>
      </w:tr>
      <w:tr>
        <w:tblPrEx>
          <w:tblLayout w:type="fixed"/>
          <w:tblCellMar>
            <w:top w:w="0" w:type="dxa"/>
            <w:left w:w="0" w:type="dxa"/>
            <w:bottom w:w="0" w:type="dxa"/>
            <w:right w:w="0" w:type="dxa"/>
          </w:tblCellMar>
        </w:tblPrEx>
        <w:trPr>
          <w:trHeight w:val="103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2016</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深圳华为产品研发园地下通道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7.7×4.5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52.3</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泥水平衡顶管机</w:t>
            </w:r>
            <w:r>
              <w:rPr>
                <w:rStyle w:val="105"/>
                <w:lang w:bidi="ar"/>
              </w:rPr>
              <w:t>1</w:t>
            </w:r>
            <w:r>
              <w:rPr>
                <w:rStyle w:val="104"/>
                <w:rFonts w:hint="default"/>
                <w:lang w:bidi="ar"/>
              </w:rPr>
              <w:t>大加两曲轴刀盘</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过街通道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color w:val="000000"/>
                <w:sz w:val="21"/>
              </w:rPr>
            </w:pPr>
          </w:p>
        </w:tc>
      </w:tr>
      <w:tr>
        <w:tblPrEx>
          <w:tblLayout w:type="fixed"/>
          <w:tblCellMar>
            <w:top w:w="0" w:type="dxa"/>
            <w:left w:w="0" w:type="dxa"/>
            <w:bottom w:w="0" w:type="dxa"/>
            <w:right w:w="0" w:type="dxa"/>
          </w:tblCellMar>
        </w:tblPrEx>
        <w:trPr>
          <w:trHeight w:val="129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2016</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深圳地铁</w:t>
            </w:r>
            <w:r>
              <w:rPr>
                <w:rStyle w:val="105"/>
                <w:lang w:bidi="ar"/>
              </w:rPr>
              <w:t>9</w:t>
            </w:r>
            <w:r>
              <w:rPr>
                <w:rStyle w:val="104"/>
                <w:rFonts w:hint="default"/>
                <w:lang w:bidi="ar"/>
              </w:rPr>
              <w:t>号线地铁下沙站出入口及下沙过街通道</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7.7×4.3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133.5</w:t>
            </w:r>
            <w:r>
              <w:rPr>
                <w:rStyle w:val="104"/>
                <w:rFonts w:hint="default"/>
                <w:lang w:bidi="ar"/>
              </w:rPr>
              <w:t>、</w:t>
            </w:r>
            <w:r>
              <w:rPr>
                <w:rStyle w:val="105"/>
                <w:lang w:bidi="ar"/>
              </w:rPr>
              <w:t>81</w:t>
            </w:r>
            <w:r>
              <w:rPr>
                <w:rStyle w:val="104"/>
                <w:rFonts w:hint="default"/>
                <w:lang w:bidi="ar"/>
              </w:rPr>
              <w:t>、</w:t>
            </w:r>
            <w:r>
              <w:rPr>
                <w:rStyle w:val="105"/>
                <w:lang w:bidi="ar"/>
              </w:rPr>
              <w:t>45</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土压平衡平行轴多刀盘</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color w:val="000000"/>
                <w:sz w:val="21"/>
              </w:rPr>
            </w:pPr>
          </w:p>
        </w:tc>
      </w:tr>
      <w:tr>
        <w:tblPrEx>
          <w:tblLayout w:type="fixed"/>
          <w:tblCellMar>
            <w:top w:w="0" w:type="dxa"/>
            <w:left w:w="0" w:type="dxa"/>
            <w:bottom w:w="0" w:type="dxa"/>
            <w:right w:w="0" w:type="dxa"/>
          </w:tblCellMar>
        </w:tblPrEx>
        <w:trPr>
          <w:trHeight w:val="76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2016</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广州地铁６号线２期龙洞站出入口</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6.02×4.32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29</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土压平衡平行轴多刀盘</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粉细砂、砂质黏土</w:t>
            </w:r>
          </w:p>
        </w:tc>
      </w:tr>
      <w:tr>
        <w:tblPrEx>
          <w:tblLayout w:type="fixed"/>
          <w:tblCellMar>
            <w:top w:w="0" w:type="dxa"/>
            <w:left w:w="0" w:type="dxa"/>
            <w:bottom w:w="0" w:type="dxa"/>
            <w:right w:w="0" w:type="dxa"/>
          </w:tblCellMar>
        </w:tblPrEx>
        <w:trPr>
          <w:trHeight w:val="102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2017</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广州地铁增城广场站出入口顶管工程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 xml:space="preserve">9 </w:t>
            </w:r>
            <w:r>
              <w:rPr>
                <w:rStyle w:val="104"/>
                <w:rFonts w:hint="default"/>
                <w:lang w:bidi="ar"/>
              </w:rPr>
              <w:t>段，共</w:t>
            </w:r>
            <w:r>
              <w:rPr>
                <w:rStyle w:val="105"/>
                <w:lang w:bidi="ar"/>
              </w:rPr>
              <w:t xml:space="preserve"> 400m</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土压平衡多刀盘顶管机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left"/>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黏土、淤泥质黏土</w:t>
            </w:r>
          </w:p>
        </w:tc>
      </w:tr>
      <w:tr>
        <w:tblPrEx>
          <w:tblLayout w:type="fixed"/>
          <w:tblCellMar>
            <w:top w:w="0" w:type="dxa"/>
            <w:left w:w="0" w:type="dxa"/>
            <w:bottom w:w="0" w:type="dxa"/>
            <w:right w:w="0" w:type="dxa"/>
          </w:tblCellMar>
        </w:tblPrEx>
        <w:trPr>
          <w:trHeight w:val="103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2017</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广州机场南站</w:t>
            </w:r>
            <w:r>
              <w:rPr>
                <w:rStyle w:val="105"/>
                <w:lang w:bidi="ar"/>
              </w:rPr>
              <w:t>~</w:t>
            </w:r>
            <w:r>
              <w:rPr>
                <w:rStyle w:val="104"/>
                <w:rFonts w:hint="default"/>
                <w:lang w:bidi="ar"/>
              </w:rPr>
              <w:t>机场北站区间线路</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7.0</w:t>
            </w:r>
            <w:r>
              <w:rPr>
                <w:rStyle w:val="104"/>
                <w:rFonts w:hint="default"/>
                <w:lang w:bidi="ar"/>
              </w:rPr>
              <w:t>×</w:t>
            </w:r>
            <w:r>
              <w:rPr>
                <w:rStyle w:val="105"/>
                <w:lang w:bidi="ar"/>
              </w:rPr>
              <w:t>6.43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101</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矩形土压平衡顶管机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地铁区间段</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冲积</w:t>
            </w:r>
            <w:r>
              <w:rPr>
                <w:rStyle w:val="105"/>
                <w:lang w:bidi="ar"/>
              </w:rPr>
              <w:t>-</w:t>
            </w:r>
            <w:r>
              <w:rPr>
                <w:rStyle w:val="104"/>
                <w:rFonts w:hint="default"/>
                <w:lang w:bidi="ar"/>
              </w:rPr>
              <w:t>洪积粉细砂层、砾砂层、土层</w:t>
            </w:r>
          </w:p>
        </w:tc>
      </w:tr>
      <w:tr>
        <w:tblPrEx>
          <w:tblLayout w:type="fixed"/>
          <w:tblCellMar>
            <w:top w:w="0" w:type="dxa"/>
            <w:left w:w="0" w:type="dxa"/>
            <w:bottom w:w="0" w:type="dxa"/>
            <w:right w:w="0" w:type="dxa"/>
          </w:tblCellMar>
        </w:tblPrEx>
        <w:trPr>
          <w:trHeight w:val="102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2018</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广州地铁后续项目北京路站A出入口顶管工程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42.26</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土压平衡多刀盘顶管机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left"/>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淤泥质土</w:t>
            </w:r>
          </w:p>
        </w:tc>
      </w:tr>
      <w:tr>
        <w:tblPrEx>
          <w:tblLayout w:type="fixed"/>
          <w:tblCellMar>
            <w:top w:w="0" w:type="dxa"/>
            <w:left w:w="0" w:type="dxa"/>
            <w:bottom w:w="0" w:type="dxa"/>
            <w:right w:w="0" w:type="dxa"/>
          </w:tblCellMar>
        </w:tblPrEx>
        <w:trPr>
          <w:trHeight w:val="105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2018</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广州地铁</w:t>
            </w:r>
            <w:r>
              <w:rPr>
                <w:rStyle w:val="105"/>
                <w:lang w:bidi="ar"/>
              </w:rPr>
              <w:t xml:space="preserve"> 14 </w:t>
            </w:r>
            <w:r>
              <w:rPr>
                <w:rStyle w:val="104"/>
                <w:rFonts w:hint="default"/>
                <w:lang w:bidi="ar"/>
              </w:rPr>
              <w:t>号线支线施工</w:t>
            </w:r>
            <w:r>
              <w:rPr>
                <w:rStyle w:val="105"/>
                <w:lang w:bidi="ar"/>
              </w:rPr>
              <w:t>6</w:t>
            </w:r>
            <w:r>
              <w:rPr>
                <w:rStyle w:val="104"/>
                <w:rFonts w:hint="default"/>
                <w:lang w:bidi="ar"/>
              </w:rPr>
              <w:t>标顶管工程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22</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土压平衡多刀盘顶管机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left"/>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粗砂</w:t>
            </w:r>
          </w:p>
        </w:tc>
      </w:tr>
      <w:tr>
        <w:tblPrEx>
          <w:tblLayout w:type="fixed"/>
          <w:tblCellMar>
            <w:top w:w="0" w:type="dxa"/>
            <w:left w:w="0" w:type="dxa"/>
            <w:bottom w:w="0" w:type="dxa"/>
            <w:right w:w="0" w:type="dxa"/>
          </w:tblCellMar>
        </w:tblPrEx>
        <w:trPr>
          <w:trHeight w:val="106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2018</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深圳地铁</w:t>
            </w:r>
            <w:r>
              <w:rPr>
                <w:rStyle w:val="105"/>
                <w:lang w:bidi="ar"/>
              </w:rPr>
              <w:t>9</w:t>
            </w:r>
            <w:r>
              <w:rPr>
                <w:rStyle w:val="104"/>
                <w:rFonts w:hint="default"/>
                <w:lang w:bidi="ar"/>
              </w:rPr>
              <w:t>号线下沙站矩形顶管工程</w:t>
            </w:r>
            <w:r>
              <w:rPr>
                <w:rStyle w:val="105"/>
                <w:lang w:bidi="ar"/>
              </w:rPr>
              <w:t>C</w:t>
            </w:r>
            <w:r>
              <w:rPr>
                <w:rStyle w:val="104"/>
                <w:rFonts w:hint="default"/>
                <w:lang w:bidi="ar"/>
              </w:rPr>
              <w:t>口，</w:t>
            </w:r>
            <w:r>
              <w:rPr>
                <w:rStyle w:val="105"/>
                <w:lang w:bidi="ar"/>
              </w:rPr>
              <w:t>D</w:t>
            </w:r>
            <w:r>
              <w:rPr>
                <w:rStyle w:val="104"/>
                <w:rFonts w:hint="default"/>
                <w:lang w:bidi="ar"/>
              </w:rPr>
              <w:t>口</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7.7×4.5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28.2</w:t>
            </w:r>
            <w:r>
              <w:rPr>
                <w:rStyle w:val="104"/>
                <w:rFonts w:hint="default"/>
                <w:lang w:bidi="ar"/>
              </w:rPr>
              <w:t>，</w:t>
            </w:r>
            <w:r>
              <w:rPr>
                <w:rStyle w:val="105"/>
                <w:lang w:bidi="ar"/>
              </w:rPr>
              <w:t>37.7</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土压平衡矩形顶管机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color w:val="000000"/>
                <w:sz w:val="21"/>
              </w:rPr>
            </w:pPr>
          </w:p>
        </w:tc>
      </w:tr>
      <w:tr>
        <w:tblPrEx>
          <w:tblLayout w:type="fixed"/>
          <w:tblCellMar>
            <w:top w:w="0" w:type="dxa"/>
            <w:left w:w="0" w:type="dxa"/>
            <w:bottom w:w="0" w:type="dxa"/>
            <w:right w:w="0" w:type="dxa"/>
          </w:tblCellMar>
        </w:tblPrEx>
        <w:trPr>
          <w:trHeight w:val="103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2018</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广州地铁</w:t>
            </w:r>
            <w:r>
              <w:rPr>
                <w:rStyle w:val="105"/>
                <w:lang w:bidi="ar"/>
              </w:rPr>
              <w:t>21</w:t>
            </w:r>
            <w:r>
              <w:rPr>
                <w:rStyle w:val="104"/>
                <w:rFonts w:hint="default"/>
                <w:lang w:bidi="ar"/>
              </w:rPr>
              <w:t>号线天河公园站矩形顶管工程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90</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土压平衡矩形顶管机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color w:val="000000"/>
                <w:sz w:val="21"/>
              </w:rPr>
            </w:pPr>
          </w:p>
        </w:tc>
      </w:tr>
      <w:tr>
        <w:tblPrEx>
          <w:tblLayout w:type="fixed"/>
          <w:tblCellMar>
            <w:top w:w="0" w:type="dxa"/>
            <w:left w:w="0" w:type="dxa"/>
            <w:bottom w:w="0" w:type="dxa"/>
            <w:right w:w="0" w:type="dxa"/>
          </w:tblCellMar>
        </w:tblPrEx>
        <w:trPr>
          <w:trHeight w:val="130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2018</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广州地铁</w:t>
            </w:r>
            <w:r>
              <w:rPr>
                <w:rStyle w:val="105"/>
                <w:lang w:bidi="ar"/>
              </w:rPr>
              <w:t>21</w:t>
            </w:r>
            <w:r>
              <w:rPr>
                <w:rStyle w:val="104"/>
                <w:rFonts w:hint="default"/>
                <w:lang w:bidi="ar"/>
              </w:rPr>
              <w:t>号线施工</w:t>
            </w:r>
            <w:r>
              <w:rPr>
                <w:rStyle w:val="105"/>
                <w:lang w:bidi="ar"/>
              </w:rPr>
              <w:t>2</w:t>
            </w:r>
            <w:r>
              <w:rPr>
                <w:rStyle w:val="104"/>
                <w:rFonts w:hint="default"/>
                <w:lang w:bidi="ar"/>
              </w:rPr>
              <w:t>标增城广场站附属出入口工程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9</w:t>
            </w:r>
            <w:r>
              <w:rPr>
                <w:rStyle w:val="104"/>
                <w:rFonts w:hint="default"/>
                <w:lang w:bidi="ar"/>
              </w:rPr>
              <w:t>段</w:t>
            </w:r>
            <w:r>
              <w:rPr>
                <w:rStyle w:val="105"/>
                <w:lang w:bidi="ar"/>
              </w:rPr>
              <w:t>400</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土压平衡矩形顶管机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color w:val="000000"/>
                <w:sz w:val="21"/>
              </w:rPr>
            </w:pPr>
          </w:p>
        </w:tc>
      </w:tr>
      <w:tr>
        <w:tblPrEx>
          <w:tblLayout w:type="fixed"/>
          <w:tblCellMar>
            <w:top w:w="0" w:type="dxa"/>
            <w:left w:w="0" w:type="dxa"/>
            <w:bottom w:w="0" w:type="dxa"/>
            <w:right w:w="0" w:type="dxa"/>
          </w:tblCellMar>
        </w:tblPrEx>
        <w:trPr>
          <w:trHeight w:val="105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2019</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深圳地铁</w:t>
            </w:r>
            <w:r>
              <w:rPr>
                <w:rStyle w:val="105"/>
                <w:lang w:bidi="ar"/>
              </w:rPr>
              <w:t>6</w:t>
            </w:r>
            <w:r>
              <w:rPr>
                <w:rStyle w:val="104"/>
                <w:rFonts w:hint="default"/>
                <w:lang w:bidi="ar"/>
              </w:rPr>
              <w:t>号线二期</w:t>
            </w:r>
            <w:r>
              <w:rPr>
                <w:rStyle w:val="105"/>
                <w:lang w:bidi="ar"/>
              </w:rPr>
              <w:t>6111</w:t>
            </w:r>
            <w:r>
              <w:rPr>
                <w:rStyle w:val="104"/>
                <w:rFonts w:hint="default"/>
                <w:lang w:bidi="ar"/>
              </w:rPr>
              <w:t>标三工区过街顶管工程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7.7×4.3</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w:t>
            </w:r>
            <w:r>
              <w:rPr>
                <w:rStyle w:val="104"/>
                <w:rFonts w:hint="default"/>
                <w:lang w:bidi="ar"/>
              </w:rPr>
              <w:t>段，共</w:t>
            </w:r>
            <w:r>
              <w:rPr>
                <w:rStyle w:val="105"/>
                <w:lang w:bidi="ar"/>
              </w:rPr>
              <w:t>104m</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土压平衡多刀盘顶管机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left"/>
              <w:textAlignment w:val="center"/>
              <w:rPr>
                <w:rFonts w:ascii="宋体" w:hAnsi="宋体" w:cs="宋体"/>
                <w:color w:val="000000"/>
                <w:sz w:val="21"/>
              </w:rPr>
            </w:pPr>
            <w:r>
              <w:rPr>
                <w:rFonts w:hint="eastAsia" w:ascii="宋体" w:hAnsi="宋体" w:cs="宋体"/>
                <w:color w:val="000000"/>
                <w:kern w:val="0"/>
                <w:sz w:val="21"/>
                <w:lang w:bidi="ar"/>
              </w:rPr>
              <w:t>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黏土</w:t>
            </w:r>
          </w:p>
        </w:tc>
      </w:tr>
      <w:tr>
        <w:tblPrEx>
          <w:tblLayout w:type="fixed"/>
          <w:tblCellMar>
            <w:top w:w="0" w:type="dxa"/>
            <w:left w:w="0" w:type="dxa"/>
            <w:bottom w:w="0" w:type="dxa"/>
            <w:right w:w="0" w:type="dxa"/>
          </w:tblCellMar>
        </w:tblPrEx>
        <w:trPr>
          <w:trHeight w:val="102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2019</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深圳华为大断面矩形顶管地下通道工程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10.2×6.6</w:t>
            </w:r>
            <w:r>
              <w:rPr>
                <w:rStyle w:val="104"/>
                <w:rFonts w:hint="default"/>
                <w:lang w:bidi="ar"/>
              </w:rPr>
              <w:t>、</w:t>
            </w:r>
            <w:r>
              <w:rPr>
                <w:rStyle w:val="105"/>
                <w:lang w:bidi="ar"/>
              </w:rPr>
              <w:t>8.1×4.9</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138.3</w:t>
            </w:r>
            <w:r>
              <w:rPr>
                <w:rStyle w:val="104"/>
                <w:rFonts w:hint="default"/>
                <w:lang w:bidi="ar"/>
              </w:rPr>
              <w:t>、</w:t>
            </w:r>
            <w:r>
              <w:rPr>
                <w:rStyle w:val="105"/>
                <w:lang w:bidi="ar"/>
              </w:rPr>
              <w:t>61.2</w:t>
            </w:r>
            <w:r>
              <w:rPr>
                <w:rStyle w:val="104"/>
                <w:rFonts w:hint="default"/>
                <w:lang w:bidi="ar"/>
              </w:rPr>
              <w:t>、</w:t>
            </w:r>
            <w:r>
              <w:rPr>
                <w:rStyle w:val="105"/>
                <w:lang w:bidi="ar"/>
              </w:rPr>
              <w:t>143.9</w:t>
            </w:r>
            <w:r>
              <w:rPr>
                <w:rStyle w:val="104"/>
                <w:rFonts w:hint="default"/>
                <w:lang w:bidi="ar"/>
              </w:rPr>
              <w:t>、</w:t>
            </w:r>
            <w:r>
              <w:rPr>
                <w:rStyle w:val="105"/>
                <w:lang w:bidi="ar"/>
              </w:rPr>
              <w:t>85.6</w:t>
            </w:r>
            <w:r>
              <w:rPr>
                <w:rStyle w:val="104"/>
                <w:rFonts w:hint="default"/>
                <w:lang w:bidi="ar"/>
              </w:rPr>
              <w:t>、</w:t>
            </w:r>
            <w:r>
              <w:rPr>
                <w:rStyle w:val="105"/>
                <w:lang w:bidi="ar"/>
              </w:rPr>
              <w:t>46.6</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素填土，局部为砾质粘性土。</w:t>
            </w:r>
          </w:p>
        </w:tc>
      </w:tr>
      <w:tr>
        <w:tblPrEx>
          <w:tblLayout w:type="fixed"/>
          <w:tblCellMar>
            <w:top w:w="0" w:type="dxa"/>
            <w:left w:w="0" w:type="dxa"/>
            <w:bottom w:w="0" w:type="dxa"/>
            <w:right w:w="0" w:type="dxa"/>
          </w:tblCellMar>
        </w:tblPrEx>
        <w:trPr>
          <w:trHeight w:val="178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2019</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广花一级公路地下综合管廊及道路快捷化改造配套工程项目</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8.7×5.5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206,225,168</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泥水平衡顶管</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综合管廊</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粉质粘土和粗、砾砂，局部存在淤泥质粉质粘土和粉、细砂</w:t>
            </w:r>
          </w:p>
        </w:tc>
      </w:tr>
      <w:tr>
        <w:tblPrEx>
          <w:tblLayout w:type="fixed"/>
          <w:tblCellMar>
            <w:top w:w="0" w:type="dxa"/>
            <w:left w:w="0" w:type="dxa"/>
            <w:bottom w:w="0" w:type="dxa"/>
            <w:right w:w="0" w:type="dxa"/>
          </w:tblCellMar>
        </w:tblPrEx>
        <w:trPr>
          <w:trHeight w:val="129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2019</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广州市轨道交通二、八号线延长线工程施工</w:t>
            </w:r>
            <w:r>
              <w:rPr>
                <w:rStyle w:val="105"/>
                <w:lang w:bidi="ar"/>
              </w:rPr>
              <w:t>14</w:t>
            </w:r>
            <w:r>
              <w:rPr>
                <w:rStyle w:val="104"/>
                <w:rFonts w:hint="default"/>
                <w:lang w:bidi="ar"/>
              </w:rPr>
              <w:t>标段</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6.02×4.32</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30.88</w:t>
            </w:r>
            <w:r>
              <w:rPr>
                <w:rStyle w:val="104"/>
                <w:rFonts w:hint="default"/>
                <w:lang w:bidi="ar"/>
              </w:rPr>
              <w:t>、</w:t>
            </w:r>
            <w:r>
              <w:rPr>
                <w:rStyle w:val="105"/>
                <w:lang w:bidi="ar"/>
              </w:rPr>
              <w:t>33.83</w:t>
            </w:r>
            <w:r>
              <w:rPr>
                <w:rStyle w:val="104"/>
                <w:rFonts w:hint="default"/>
                <w:lang w:bidi="ar"/>
              </w:rPr>
              <w:t>、</w:t>
            </w:r>
            <w:r>
              <w:rPr>
                <w:rStyle w:val="105"/>
                <w:lang w:bidi="ar"/>
              </w:rPr>
              <w:t>35.85</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土压平衡顶管机六刀盘</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站厅层横通道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淤泥质土、中粗砂层、全风化泥质粉砂岩</w:t>
            </w:r>
          </w:p>
        </w:tc>
      </w:tr>
      <w:tr>
        <w:tblPrEx>
          <w:tblLayout w:type="fixed"/>
          <w:tblCellMar>
            <w:top w:w="0" w:type="dxa"/>
            <w:left w:w="0" w:type="dxa"/>
            <w:bottom w:w="0" w:type="dxa"/>
            <w:right w:w="0" w:type="dxa"/>
          </w:tblCellMar>
        </w:tblPrEx>
        <w:trPr>
          <w:trHeight w:val="183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2019</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深圳城市轨道交通</w:t>
            </w:r>
            <w:r>
              <w:rPr>
                <w:rStyle w:val="105"/>
                <w:lang w:bidi="ar"/>
              </w:rPr>
              <w:t>9</w:t>
            </w:r>
            <w:r>
              <w:rPr>
                <w:rStyle w:val="104"/>
                <w:rFonts w:hint="default"/>
                <w:lang w:bidi="ar"/>
              </w:rPr>
              <w:t>号线二期（</w:t>
            </w:r>
            <w:r>
              <w:rPr>
                <w:rStyle w:val="105"/>
                <w:lang w:bidi="ar"/>
              </w:rPr>
              <w:t>9</w:t>
            </w:r>
            <w:r>
              <w:rPr>
                <w:rStyle w:val="104"/>
                <w:rFonts w:hint="default"/>
                <w:lang w:bidi="ar"/>
              </w:rPr>
              <w:t>号线西延线）</w:t>
            </w:r>
            <w:r>
              <w:rPr>
                <w:rStyle w:val="105"/>
                <w:lang w:bidi="ar"/>
              </w:rPr>
              <w:t>9</w:t>
            </w:r>
            <w:r>
              <w:rPr>
                <w:rStyle w:val="104"/>
                <w:rFonts w:hint="default"/>
                <w:lang w:bidi="ar"/>
              </w:rPr>
              <w:t>怡海大道站（地下通道工程项目）</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7.1×4.7</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85.5</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砂质粘性土</w:t>
            </w:r>
          </w:p>
        </w:tc>
      </w:tr>
      <w:tr>
        <w:tblPrEx>
          <w:tblLayout w:type="fixed"/>
          <w:tblCellMar>
            <w:top w:w="0" w:type="dxa"/>
            <w:left w:w="0" w:type="dxa"/>
            <w:bottom w:w="0" w:type="dxa"/>
            <w:right w:w="0" w:type="dxa"/>
          </w:tblCellMar>
        </w:tblPrEx>
        <w:trPr>
          <w:trHeight w:val="78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2015</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r>
              <w:rPr>
                <w:rStyle w:val="105"/>
                <w:lang w:bidi="ar"/>
              </w:rPr>
              <w:t>11301</w:t>
            </w:r>
            <w:r>
              <w:rPr>
                <w:rStyle w:val="104"/>
                <w:rFonts w:hint="default"/>
                <w:lang w:bidi="ar"/>
              </w:rPr>
              <w:t>标车公庙综合枢纽</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6.9×4.65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58.5+82+128.5+60</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杂填土、淤质粘土</w:t>
            </w:r>
          </w:p>
        </w:tc>
      </w:tr>
      <w:tr>
        <w:tblPrEx>
          <w:tblLayout w:type="fixed"/>
          <w:tblCellMar>
            <w:top w:w="0" w:type="dxa"/>
            <w:left w:w="0" w:type="dxa"/>
            <w:bottom w:w="0" w:type="dxa"/>
            <w:right w:w="0" w:type="dxa"/>
          </w:tblCellMar>
        </w:tblPrEx>
        <w:trPr>
          <w:trHeight w:val="78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2020</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r>
              <w:rPr>
                <w:rStyle w:val="105"/>
                <w:lang w:bidi="ar"/>
              </w:rPr>
              <w:t>11301</w:t>
            </w:r>
            <w:r>
              <w:rPr>
                <w:rStyle w:val="104"/>
                <w:rFonts w:hint="default"/>
                <w:lang w:bidi="ar"/>
              </w:rPr>
              <w:t>标车公庙综合枢纽</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6.9×4.65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85+136</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color w:val="000000"/>
                <w:sz w:val="21"/>
              </w:rPr>
            </w:pPr>
          </w:p>
        </w:tc>
      </w:tr>
      <w:tr>
        <w:tblPrEx>
          <w:tblLayout w:type="fixed"/>
          <w:tblCellMar>
            <w:top w:w="0" w:type="dxa"/>
            <w:left w:w="0" w:type="dxa"/>
            <w:bottom w:w="0" w:type="dxa"/>
            <w:right w:w="0" w:type="dxa"/>
          </w:tblCellMar>
        </w:tblPrEx>
        <w:trPr>
          <w:trHeight w:val="102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2020</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深圳华为坂雪岗科技城片区人行通道顶管工程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10.2×6.6+8.1×4.9</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4</w:t>
            </w:r>
            <w:r>
              <w:rPr>
                <w:rStyle w:val="104"/>
                <w:rFonts w:hint="default"/>
                <w:lang w:bidi="ar"/>
              </w:rPr>
              <w:t>段，共</w:t>
            </w:r>
            <w:r>
              <w:rPr>
                <w:rStyle w:val="105"/>
                <w:lang w:bidi="ar"/>
              </w:rPr>
              <w:t>429m</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土压平衡多刀盘顶管机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left"/>
              <w:textAlignment w:val="center"/>
              <w:rPr>
                <w:rFonts w:ascii="宋体" w:hAnsi="宋体" w:cs="宋体"/>
                <w:color w:val="000000"/>
                <w:sz w:val="21"/>
              </w:rPr>
            </w:pPr>
            <w:r>
              <w:rPr>
                <w:rFonts w:hint="eastAsia" w:ascii="宋体" w:hAnsi="宋体" w:cs="宋体"/>
                <w:color w:val="000000"/>
                <w:kern w:val="0"/>
                <w:sz w:val="21"/>
                <w:lang w:bidi="ar"/>
              </w:rPr>
              <w:t>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砾质黏土、素填土</w:t>
            </w:r>
          </w:p>
        </w:tc>
      </w:tr>
      <w:tr>
        <w:tblPrEx>
          <w:tblLayout w:type="fixed"/>
          <w:tblCellMar>
            <w:top w:w="0" w:type="dxa"/>
            <w:left w:w="0" w:type="dxa"/>
            <w:bottom w:w="0" w:type="dxa"/>
            <w:right w:w="0" w:type="dxa"/>
          </w:tblCellMar>
        </w:tblPrEx>
        <w:trPr>
          <w:trHeight w:val="78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2020</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深圳华为坂田</w:t>
            </w:r>
            <w:r>
              <w:rPr>
                <w:rStyle w:val="105"/>
                <w:lang w:bidi="ar"/>
              </w:rPr>
              <w:t>D-H</w:t>
            </w:r>
            <w:r>
              <w:rPr>
                <w:rStyle w:val="104"/>
                <w:rFonts w:hint="default"/>
                <w:lang w:bidi="ar"/>
              </w:rPr>
              <w:t>人行通道顶管工程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8.1×4.9</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49.6</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土压平衡多刀盘顶管机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left"/>
              <w:textAlignment w:val="center"/>
              <w:rPr>
                <w:rFonts w:ascii="宋体" w:hAnsi="宋体" w:cs="宋体"/>
                <w:color w:val="000000"/>
                <w:sz w:val="21"/>
              </w:rPr>
            </w:pPr>
            <w:r>
              <w:rPr>
                <w:rFonts w:hint="eastAsia" w:ascii="宋体" w:hAnsi="宋体" w:cs="宋体"/>
                <w:color w:val="000000"/>
                <w:kern w:val="0"/>
                <w:sz w:val="21"/>
                <w:lang w:bidi="ar"/>
              </w:rPr>
              <w:t>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砾质黏土</w:t>
            </w:r>
          </w:p>
        </w:tc>
      </w:tr>
      <w:tr>
        <w:tblPrEx>
          <w:tblLayout w:type="fixed"/>
          <w:tblCellMar>
            <w:top w:w="0" w:type="dxa"/>
            <w:left w:w="0" w:type="dxa"/>
            <w:bottom w:w="0" w:type="dxa"/>
            <w:right w:w="0" w:type="dxa"/>
          </w:tblCellMar>
        </w:tblPrEx>
        <w:trPr>
          <w:trHeight w:val="103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2020</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深圳地铁深外高中站</w:t>
            </w:r>
            <w:r>
              <w:rPr>
                <w:rStyle w:val="105"/>
                <w:lang w:bidi="ar"/>
              </w:rPr>
              <w:t>B</w:t>
            </w:r>
            <w:r>
              <w:rPr>
                <w:rStyle w:val="104"/>
                <w:rFonts w:hint="default"/>
                <w:lang w:bidi="ar"/>
              </w:rPr>
              <w:t>出入口顶管工程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6.9×4.9</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75</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土压平衡多刀盘顶管机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left"/>
              <w:textAlignment w:val="center"/>
              <w:rPr>
                <w:rFonts w:ascii="宋体" w:hAnsi="宋体" w:cs="宋体"/>
                <w:color w:val="000000"/>
                <w:sz w:val="21"/>
              </w:rPr>
            </w:pPr>
            <w:r>
              <w:rPr>
                <w:rFonts w:hint="eastAsia" w:ascii="宋体" w:hAnsi="宋体" w:cs="宋体"/>
                <w:color w:val="000000"/>
                <w:kern w:val="0"/>
                <w:sz w:val="21"/>
                <w:lang w:bidi="ar"/>
              </w:rPr>
              <w:t>地铁出入口</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残积土、砾质黏土</w:t>
            </w:r>
          </w:p>
        </w:tc>
      </w:tr>
      <w:tr>
        <w:tblPrEx>
          <w:tblLayout w:type="fixed"/>
          <w:tblCellMar>
            <w:top w:w="0" w:type="dxa"/>
            <w:left w:w="0" w:type="dxa"/>
            <w:bottom w:w="0" w:type="dxa"/>
            <w:right w:w="0" w:type="dxa"/>
          </w:tblCellMar>
        </w:tblPrEx>
        <w:trPr>
          <w:trHeight w:val="1020"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2020</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广州南沙新区综合管廊下穿东新高速顶管工程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9.1×5.5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w:t>
            </w:r>
            <w:r>
              <w:rPr>
                <w:rStyle w:val="104"/>
                <w:rFonts w:hint="default"/>
                <w:lang w:bidi="ar"/>
              </w:rPr>
              <w:t>段，共</w:t>
            </w:r>
            <w:r>
              <w:rPr>
                <w:rStyle w:val="105"/>
                <w:lang w:bidi="ar"/>
              </w:rPr>
              <w:t>368.2m</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土压平衡多刀盘顶管机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left"/>
              <w:textAlignment w:val="center"/>
              <w:rPr>
                <w:rFonts w:ascii="宋体" w:hAnsi="宋体" w:cs="宋体"/>
                <w:color w:val="000000"/>
                <w:sz w:val="21"/>
              </w:rPr>
            </w:pPr>
            <w:r>
              <w:rPr>
                <w:rFonts w:hint="eastAsia" w:ascii="宋体" w:hAnsi="宋体" w:cs="宋体"/>
                <w:color w:val="000000"/>
                <w:kern w:val="0"/>
                <w:sz w:val="21"/>
                <w:lang w:bidi="ar"/>
              </w:rPr>
              <w:t>综合管廊</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淤泥质土</w:t>
            </w:r>
          </w:p>
        </w:tc>
      </w:tr>
      <w:tr>
        <w:tblPrEx>
          <w:tblLayout w:type="fixed"/>
          <w:tblCellMar>
            <w:top w:w="0" w:type="dxa"/>
            <w:left w:w="0" w:type="dxa"/>
            <w:bottom w:w="0" w:type="dxa"/>
            <w:right w:w="0" w:type="dxa"/>
          </w:tblCellMar>
        </w:tblPrEx>
        <w:trPr>
          <w:trHeight w:val="765" w:hRule="atLeast"/>
          <w:jc w:val="center"/>
        </w:trPr>
        <w:tc>
          <w:tcPr>
            <w:tcW w:w="7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在建</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珠海</w:t>
            </w:r>
          </w:p>
        </w:tc>
        <w:tc>
          <w:tcPr>
            <w:tcW w:w="19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珠海环屏路工程施工项目</w:t>
            </w:r>
          </w:p>
        </w:tc>
        <w:tc>
          <w:tcPr>
            <w:tcW w:w="11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10.4×7.55</w:t>
            </w:r>
          </w:p>
        </w:tc>
        <w:tc>
          <w:tcPr>
            <w:tcW w:w="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color w:val="000000"/>
                <w:sz w:val="21"/>
              </w:rPr>
            </w:pPr>
            <w:r>
              <w:rPr>
                <w:color w:val="000000"/>
                <w:kern w:val="0"/>
                <w:sz w:val="21"/>
                <w:lang w:bidi="ar"/>
              </w:rPr>
              <w:t>2*188</w:t>
            </w:r>
          </w:p>
        </w:tc>
        <w:tc>
          <w:tcPr>
            <w:tcW w:w="128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土压平衡顶管机</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人行通道</w:t>
            </w:r>
          </w:p>
        </w:tc>
        <w:tc>
          <w:tcPr>
            <w:tcW w:w="10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auto"/>
              <w:jc w:val="center"/>
              <w:textAlignment w:val="center"/>
              <w:rPr>
                <w:rFonts w:ascii="宋体" w:hAnsi="宋体" w:cs="宋体"/>
                <w:color w:val="000000"/>
                <w:sz w:val="21"/>
              </w:rPr>
            </w:pPr>
            <w:r>
              <w:rPr>
                <w:rFonts w:hint="eastAsia" w:ascii="宋体" w:hAnsi="宋体" w:cs="宋体"/>
                <w:color w:val="000000"/>
                <w:kern w:val="0"/>
                <w:sz w:val="21"/>
                <w:lang w:bidi="ar"/>
              </w:rPr>
              <w:t>粗砂、砂质粘性土</w:t>
            </w:r>
          </w:p>
        </w:tc>
      </w:tr>
    </w:tbl>
    <w:p>
      <w:pPr>
        <w:rPr>
          <w:bCs/>
        </w:rPr>
      </w:pPr>
    </w:p>
    <w:p>
      <w:r>
        <w:rPr>
          <w:b/>
          <w:bCs/>
        </w:rPr>
        <w:t xml:space="preserve">1.0.2  </w:t>
      </w:r>
      <w:r>
        <w:t>矩形顶管技术是在圆形顶管技术的基础上发展而来，相比于圆形管道，矩形顶管的空间利用率更高，其有效使用面积较圆形增大20%以上，因此，在隧道、管廊、过街通道等工程中比传统施工技术有更大的优势，在市政、公路、轨道交通、铁路工程中应用愈发广泛。目前矩形顶管工程结构主要为钢筋混凝土结构，外包钢壳的结构也逐渐成为研究重点；顶管机主要包括土压平衡式顶管机与泥水平衡式顶管机。</w:t>
      </w:r>
      <w:r>
        <w:rPr>
          <w:rFonts w:hint="eastAsia"/>
        </w:rPr>
        <w:t>广东省</w:t>
      </w:r>
      <w:r>
        <w:t>横断面积大于20m</w:t>
      </w:r>
      <w:r>
        <w:rPr>
          <w:vertAlign w:val="superscript"/>
        </w:rPr>
        <w:t>2</w:t>
      </w:r>
      <w:r>
        <w:t>的矩形钢筋混凝土顶管工程实践案例丰富，本规程在此基础上进行了归纳总结。</w:t>
      </w:r>
      <w:r>
        <w:rPr>
          <w:rFonts w:hint="eastAsia"/>
        </w:rPr>
        <w:t>类矩形顶管工程可参照本规程执行。</w:t>
      </w:r>
    </w:p>
    <w:p/>
    <w:p>
      <w:pPr>
        <w:widowControl/>
        <w:spacing w:line="240" w:lineRule="auto"/>
        <w:jc w:val="left"/>
      </w:pPr>
      <w:r>
        <w:br w:type="page"/>
      </w:r>
    </w:p>
    <w:p>
      <w:pPr>
        <w:pStyle w:val="2"/>
        <w:rPr>
          <w:rFonts w:cs="Times New Roman"/>
        </w:rPr>
      </w:pPr>
      <w:bookmarkStart w:id="658" w:name="_Toc60173830"/>
      <w:bookmarkStart w:id="659" w:name="_Toc60172943"/>
      <w:bookmarkStart w:id="660" w:name="_Toc60173303"/>
      <w:bookmarkStart w:id="661" w:name="_Toc12739"/>
      <w:r>
        <w:rPr>
          <w:rFonts w:hint="eastAsia" w:cs="Times New Roman"/>
        </w:rPr>
        <w:t>3</w:t>
      </w:r>
      <w:r>
        <w:rPr>
          <w:rFonts w:cs="Times New Roman"/>
        </w:rPr>
        <w:t xml:space="preserve">  </w:t>
      </w:r>
      <w:r>
        <w:rPr>
          <w:rFonts w:hint="eastAsia" w:cs="Times New Roman"/>
        </w:rPr>
        <w:t>基本规定</w:t>
      </w:r>
      <w:bookmarkEnd w:id="658"/>
      <w:bookmarkEnd w:id="659"/>
      <w:bookmarkEnd w:id="660"/>
      <w:bookmarkEnd w:id="661"/>
    </w:p>
    <w:p>
      <w:pPr>
        <w:rPr>
          <w:b/>
          <w:bCs/>
        </w:rPr>
      </w:pPr>
      <w:r>
        <w:rPr>
          <w:rFonts w:hint="eastAsia"/>
          <w:b/>
          <w:bCs/>
        </w:rPr>
        <w:t xml:space="preserve">3.0.4  </w:t>
      </w:r>
      <w:r>
        <w:rPr>
          <w:rFonts w:hint="eastAsia"/>
        </w:rPr>
        <w:t>其他隧道结构防水应为二级，</w:t>
      </w:r>
      <w:r>
        <w:t>顶部不得滴漏，其他部位不得漏水；表面可有少量湿渍，总湿渍面积不应大于总防水面积的2/1000。任意100m</w:t>
      </w:r>
      <w:r>
        <w:rPr>
          <w:vertAlign w:val="superscript"/>
        </w:rPr>
        <w:t>2</w:t>
      </w:r>
      <w:r>
        <w:t>防水面积上湿渍不应超过3处，单个湿渍最大面积不应大于0.2m</w:t>
      </w:r>
      <w:r>
        <w:rPr>
          <w:vertAlign w:val="superscript"/>
        </w:rPr>
        <w:t>2</w:t>
      </w:r>
      <w:r>
        <w:t>。平均渗水量不</w:t>
      </w:r>
      <w:r>
        <w:rPr>
          <w:rFonts w:hint="eastAsia"/>
        </w:rPr>
        <w:t>应</w:t>
      </w:r>
      <w:r>
        <w:t>大于0.05L/（m</w:t>
      </w:r>
      <w:r>
        <w:rPr>
          <w:vertAlign w:val="superscript"/>
        </w:rPr>
        <w:t>2</w:t>
      </w:r>
      <w:r>
        <w:rPr>
          <w:rFonts w:hint="eastAsia" w:ascii="仿宋_GB2312" w:hAnsi="仿宋_GB2312" w:eastAsia="仿宋_GB2312" w:cs="仿宋_GB2312"/>
        </w:rPr>
        <w:t>·</w:t>
      </w:r>
      <w:r>
        <w:t>d），任意1000m</w:t>
      </w:r>
      <w:r>
        <w:rPr>
          <w:vertAlign w:val="superscript"/>
        </w:rPr>
        <w:t>2</w:t>
      </w:r>
      <w:r>
        <w:t>防水面积上的渗水量不</w:t>
      </w:r>
      <w:r>
        <w:rPr>
          <w:rFonts w:hint="eastAsia"/>
        </w:rPr>
        <w:t>应</w:t>
      </w:r>
      <w:r>
        <w:t>大于0.15L/（m</w:t>
      </w:r>
      <w:r>
        <w:rPr>
          <w:vertAlign w:val="superscript"/>
        </w:rPr>
        <w:t>2</w:t>
      </w:r>
      <w:r>
        <w:rPr>
          <w:rFonts w:hint="eastAsia" w:ascii="仿宋_GB2312" w:hAnsi="仿宋_GB2312" w:eastAsia="仿宋_GB2312" w:cs="仿宋_GB2312"/>
        </w:rPr>
        <w:t>·</w:t>
      </w:r>
      <w:r>
        <w:t>d）</w:t>
      </w:r>
    </w:p>
    <w:p>
      <w:r>
        <w:rPr>
          <w:rFonts w:hint="eastAsia"/>
          <w:b/>
          <w:bCs/>
        </w:rPr>
        <w:t>3.0.7</w:t>
      </w:r>
      <w:r>
        <w:rPr>
          <w:rFonts w:hint="eastAsia"/>
        </w:rPr>
        <w:t xml:space="preserve">  矩形顶管设备应按照现行国家有关标准验收合格。</w:t>
      </w:r>
    </w:p>
    <w:p>
      <w:pPr>
        <w:sectPr>
          <w:pgSz w:w="11850" w:h="16783"/>
          <w:pgMar w:top="1440" w:right="1800" w:bottom="1440" w:left="1800" w:header="720" w:footer="720" w:gutter="0"/>
          <w:cols w:space="720" w:num="1"/>
          <w:docGrid w:linePitch="360" w:charSpace="0"/>
        </w:sectPr>
      </w:pPr>
    </w:p>
    <w:p>
      <w:pPr>
        <w:pStyle w:val="2"/>
        <w:rPr>
          <w:rFonts w:cs="Times New Roman"/>
        </w:rPr>
      </w:pPr>
      <w:bookmarkStart w:id="662" w:name="_Toc10933"/>
      <w:bookmarkStart w:id="663" w:name="_Toc60173304"/>
      <w:bookmarkStart w:id="664" w:name="_Toc33214137"/>
      <w:bookmarkStart w:id="665" w:name="_Toc18523"/>
      <w:bookmarkStart w:id="666" w:name="_Toc60172944"/>
      <w:bookmarkStart w:id="667" w:name="_Toc23404"/>
      <w:bookmarkStart w:id="668" w:name="_Toc12693"/>
      <w:bookmarkStart w:id="669" w:name="_Toc27288"/>
      <w:bookmarkStart w:id="670" w:name="_Toc60173831"/>
      <w:bookmarkStart w:id="671" w:name="_Toc29611"/>
      <w:r>
        <w:rPr>
          <w:rFonts w:cs="Times New Roman"/>
        </w:rPr>
        <w:t>4  工程勘察</w:t>
      </w:r>
      <w:bookmarkEnd w:id="662"/>
      <w:bookmarkEnd w:id="663"/>
      <w:bookmarkEnd w:id="664"/>
      <w:bookmarkEnd w:id="665"/>
      <w:bookmarkEnd w:id="666"/>
      <w:bookmarkEnd w:id="667"/>
      <w:bookmarkEnd w:id="668"/>
      <w:bookmarkEnd w:id="669"/>
      <w:bookmarkEnd w:id="670"/>
      <w:bookmarkEnd w:id="671"/>
    </w:p>
    <w:p>
      <w:pPr>
        <w:pStyle w:val="3"/>
        <w:rPr>
          <w:rFonts w:eastAsia="黑体" w:cs="Times New Roman"/>
          <w:b w:val="0"/>
        </w:rPr>
      </w:pPr>
      <w:bookmarkStart w:id="672" w:name="_Toc23321"/>
      <w:bookmarkStart w:id="673" w:name="_Toc7515"/>
      <w:bookmarkStart w:id="674" w:name="_Toc60172945"/>
      <w:bookmarkStart w:id="675" w:name="_Toc17739"/>
      <w:bookmarkStart w:id="676" w:name="_Toc60173832"/>
      <w:bookmarkStart w:id="677" w:name="_Toc1312"/>
      <w:bookmarkStart w:id="678" w:name="_Toc17036"/>
      <w:bookmarkStart w:id="679" w:name="_Toc33214138"/>
      <w:bookmarkStart w:id="680" w:name="_Toc12202"/>
      <w:bookmarkStart w:id="681" w:name="_Toc60173305"/>
      <w:r>
        <w:rPr>
          <w:rFonts w:eastAsia="黑体" w:cs="Times New Roman"/>
        </w:rPr>
        <w:t>4.1</w:t>
      </w:r>
      <w:r>
        <w:rPr>
          <w:rFonts w:eastAsia="黑体" w:cs="Times New Roman"/>
          <w:b w:val="0"/>
        </w:rPr>
        <w:t xml:space="preserve">  一般规定</w:t>
      </w:r>
      <w:bookmarkEnd w:id="672"/>
      <w:bookmarkEnd w:id="673"/>
      <w:bookmarkEnd w:id="674"/>
      <w:bookmarkEnd w:id="675"/>
      <w:bookmarkEnd w:id="676"/>
      <w:bookmarkEnd w:id="677"/>
      <w:bookmarkEnd w:id="678"/>
      <w:bookmarkEnd w:id="679"/>
      <w:bookmarkEnd w:id="680"/>
      <w:bookmarkEnd w:id="681"/>
    </w:p>
    <w:p>
      <w:r>
        <w:rPr>
          <w:b/>
          <w:bCs/>
        </w:rPr>
        <w:t>4.1.6</w:t>
      </w:r>
      <w:r>
        <w:t xml:space="preserve">  在顶管轴线范围内可能存在孤石或其他地下障碍物时，需要采用工程物探等手段进一步探明孤石或地下障碍物范围，并在平面图和地质剖面图上标注。</w:t>
      </w:r>
    </w:p>
    <w:p/>
    <w:p>
      <w:pPr>
        <w:ind w:firstLine="480" w:firstLineChars="200"/>
      </w:pPr>
    </w:p>
    <w:p>
      <w:pPr>
        <w:widowControl/>
        <w:spacing w:line="240" w:lineRule="auto"/>
        <w:jc w:val="left"/>
      </w:pPr>
      <w:r>
        <w:br w:type="page"/>
      </w:r>
    </w:p>
    <w:p>
      <w:pPr>
        <w:pStyle w:val="2"/>
        <w:rPr>
          <w:rFonts w:cs="Times New Roman" w:eastAsiaTheme="minorEastAsia"/>
        </w:rPr>
      </w:pPr>
      <w:bookmarkStart w:id="682" w:name="_Toc18104"/>
      <w:bookmarkStart w:id="683" w:name="_Toc7296"/>
      <w:bookmarkStart w:id="684" w:name="_Toc1826"/>
      <w:bookmarkStart w:id="685" w:name="_Toc22219"/>
      <w:bookmarkStart w:id="686" w:name="_Toc15409"/>
      <w:bookmarkStart w:id="687" w:name="_Toc12246"/>
      <w:r>
        <w:rPr>
          <w:rFonts w:cs="Times New Roman"/>
        </w:rPr>
        <w:fldChar w:fldCharType="begin"/>
      </w:r>
      <w:r>
        <w:rPr>
          <w:rFonts w:cs="Times New Roman"/>
        </w:rPr>
        <w:instrText xml:space="preserve"> HYPERLINK \l "_Toc31145" </w:instrText>
      </w:r>
      <w:r>
        <w:rPr>
          <w:rFonts w:cs="Times New Roman"/>
        </w:rPr>
        <w:fldChar w:fldCharType="separate"/>
      </w:r>
      <w:bookmarkStart w:id="688" w:name="_Toc60173833"/>
      <w:bookmarkStart w:id="689" w:name="_Toc60173306"/>
      <w:bookmarkStart w:id="690" w:name="_Toc60172946"/>
      <w:bookmarkStart w:id="691" w:name="_Toc33214140"/>
      <w:r>
        <w:rPr>
          <w:rFonts w:cs="Times New Roman" w:eastAsiaTheme="minorEastAsia"/>
        </w:rPr>
        <w:t>5  顶管设计</w:t>
      </w:r>
      <w:bookmarkEnd w:id="688"/>
      <w:bookmarkEnd w:id="689"/>
      <w:bookmarkEnd w:id="690"/>
      <w:bookmarkEnd w:id="691"/>
      <w:r>
        <w:rPr>
          <w:rFonts w:cs="Times New Roman" w:eastAsiaTheme="minorEastAsia"/>
        </w:rPr>
        <w:fldChar w:fldCharType="end"/>
      </w:r>
      <w:bookmarkEnd w:id="682"/>
      <w:bookmarkEnd w:id="683"/>
      <w:bookmarkEnd w:id="684"/>
      <w:bookmarkEnd w:id="685"/>
      <w:bookmarkEnd w:id="686"/>
      <w:bookmarkEnd w:id="687"/>
    </w:p>
    <w:p>
      <w:pPr>
        <w:pStyle w:val="3"/>
        <w:rPr>
          <w:rFonts w:eastAsia="黑体" w:cs="Times New Roman"/>
          <w:b w:val="0"/>
        </w:rPr>
      </w:pPr>
      <w:bookmarkStart w:id="692" w:name="_Toc30622"/>
      <w:bookmarkStart w:id="693" w:name="_Toc28632"/>
      <w:bookmarkStart w:id="694" w:name="_Toc19915"/>
      <w:bookmarkStart w:id="695" w:name="_Toc33214141"/>
      <w:bookmarkStart w:id="696" w:name="_Toc27486"/>
      <w:bookmarkStart w:id="697" w:name="_Toc60172947"/>
      <w:bookmarkStart w:id="698" w:name="_Toc8257"/>
      <w:bookmarkStart w:id="699" w:name="_Toc60173307"/>
      <w:bookmarkStart w:id="700" w:name="_Toc60173834"/>
      <w:bookmarkStart w:id="701" w:name="_Toc27937"/>
      <w:r>
        <w:rPr>
          <w:rFonts w:eastAsia="黑体" w:cs="Times New Roman"/>
        </w:rPr>
        <w:t>5.1</w:t>
      </w:r>
      <w:r>
        <w:rPr>
          <w:rFonts w:eastAsia="黑体" w:cs="Times New Roman"/>
          <w:b w:val="0"/>
        </w:rPr>
        <w:t xml:space="preserve">  一般规定</w:t>
      </w:r>
      <w:bookmarkEnd w:id="692"/>
      <w:bookmarkEnd w:id="693"/>
      <w:bookmarkEnd w:id="694"/>
      <w:bookmarkEnd w:id="695"/>
      <w:bookmarkEnd w:id="696"/>
      <w:bookmarkEnd w:id="697"/>
      <w:bookmarkEnd w:id="698"/>
      <w:bookmarkEnd w:id="699"/>
      <w:bookmarkEnd w:id="700"/>
      <w:bookmarkEnd w:id="701"/>
      <w:r>
        <w:rPr>
          <w:rFonts w:eastAsia="黑体" w:cs="Times New Roman"/>
          <w:b w:val="0"/>
        </w:rPr>
        <w:t xml:space="preserve"> </w:t>
      </w:r>
    </w:p>
    <w:p>
      <w:r>
        <w:rPr>
          <w:b/>
          <w:bCs/>
        </w:rPr>
        <w:t xml:space="preserve">5.1.3  </w:t>
      </w:r>
      <w:r>
        <w:t>承载能力极限状态计算：对应于管道结构达到最大承载能力，管体或连接构件因材料强度被超过而破坏；管道结构因过量变形而不能继续承载或丧失稳定（如横截面压屈等）；管道结构作为刚体失去平衡（横向滑移、上浮等）；</w:t>
      </w:r>
    </w:p>
    <w:p>
      <w:pPr>
        <w:ind w:firstLine="566" w:firstLineChars="236"/>
      </w:pPr>
      <w:r>
        <w:t>正常使用极限状态验算：对应于管道结构达到正常使用的某项规定限值或耐久性能的某种规定状态，如变形量限值或控制开裂的裂缝宽度限值等。</w:t>
      </w:r>
    </w:p>
    <w:p>
      <w:r>
        <w:rPr>
          <w:b/>
          <w:bCs/>
        </w:rPr>
        <w:t>5.1.4</w:t>
      </w:r>
      <w:r>
        <w:t xml:space="preserve">  顶管工程结构设计与计算可分为施工阶段和使用阶段，本条规定了顶管工程结构使用阶段的设计与计算，其中包括构件截面计算、构造设计和地基基础设计等。根据不同应用行业，执行相关行业的现行标准。</w:t>
      </w:r>
    </w:p>
    <w:p/>
    <w:p>
      <w:pPr>
        <w:pStyle w:val="3"/>
        <w:rPr>
          <w:rFonts w:eastAsia="黑体" w:cs="Times New Roman"/>
          <w:b w:val="0"/>
        </w:rPr>
      </w:pPr>
      <w:bookmarkStart w:id="702" w:name="_Toc60173835"/>
      <w:bookmarkStart w:id="703" w:name="_Toc32513"/>
      <w:bookmarkStart w:id="704" w:name="_Toc16933"/>
      <w:bookmarkStart w:id="705" w:name="_Toc60172948"/>
      <w:bookmarkStart w:id="706" w:name="_Toc33214142"/>
      <w:bookmarkStart w:id="707" w:name="_Toc31567"/>
      <w:bookmarkStart w:id="708" w:name="_Toc3021"/>
      <w:bookmarkStart w:id="709" w:name="_Toc60173308"/>
      <w:bookmarkStart w:id="710" w:name="_Toc29247"/>
      <w:bookmarkStart w:id="711" w:name="_Toc28048"/>
      <w:r>
        <w:rPr>
          <w:rFonts w:eastAsia="黑体" w:cs="Times New Roman"/>
        </w:rPr>
        <w:t>5.2</w:t>
      </w:r>
      <w:r>
        <w:rPr>
          <w:rFonts w:eastAsia="黑体" w:cs="Times New Roman"/>
          <w:b w:val="0"/>
        </w:rPr>
        <w:t xml:space="preserve">  顶管管位设计</w:t>
      </w:r>
      <w:bookmarkEnd w:id="702"/>
      <w:bookmarkEnd w:id="703"/>
      <w:bookmarkEnd w:id="704"/>
      <w:bookmarkEnd w:id="705"/>
      <w:bookmarkEnd w:id="706"/>
      <w:bookmarkEnd w:id="707"/>
      <w:bookmarkEnd w:id="708"/>
      <w:bookmarkEnd w:id="709"/>
      <w:bookmarkEnd w:id="710"/>
      <w:bookmarkEnd w:id="711"/>
    </w:p>
    <w:p>
      <w:pPr>
        <w:rPr>
          <w:b/>
          <w:bCs/>
        </w:rPr>
      </w:pPr>
      <w:r>
        <w:rPr>
          <w:rFonts w:hint="eastAsia"/>
          <w:b/>
          <w:bCs/>
        </w:rPr>
        <w:t xml:space="preserve">5.2.1  </w:t>
      </w:r>
      <w:r>
        <w:rPr>
          <w:rFonts w:hint="eastAsia"/>
        </w:rPr>
        <w:t>顶管作业的工程影响分区可参考现行行业标准《城市轨道交通结构安全保护技术规范》CJJ/T 202中盾构法的相关内容，其中b为顶管隧道的毛洞宽度。对在强烈影响区和显著影响区内的既有建构筑物设计单位应提出有针对性的保护措施和方案，避免因顶管作业影响既有建构筑物的结构安全和正常使用。对在一般影响区内的普通既有建构筑物，如无特别保护要求，可采取加强监测、跟踪注浆的措施进行保护。</w:t>
      </w:r>
    </w:p>
    <w:p>
      <w:r>
        <w:rPr>
          <w:b/>
          <w:bCs/>
        </w:rPr>
        <w:t>5.2.2</w:t>
      </w:r>
      <w:r>
        <w:t xml:space="preserve">  当顶管管位无法选择时，可对此系列地层采取相应的处置措施。</w:t>
      </w:r>
    </w:p>
    <w:p>
      <w:r>
        <w:rPr>
          <w:b/>
          <w:bCs/>
        </w:rPr>
        <w:t>5.2.4</w:t>
      </w:r>
      <w:r>
        <w:t xml:space="preserve">  本条规定了顶管工程施工时管顶覆土层的最小厚度，而当最小覆土不满足此规定时需要做专项论证。</w:t>
      </w:r>
    </w:p>
    <w:p/>
    <w:p>
      <w:pPr>
        <w:pStyle w:val="3"/>
        <w:rPr>
          <w:rFonts w:eastAsia="黑体" w:cs="Times New Roman"/>
          <w:b w:val="0"/>
        </w:rPr>
      </w:pPr>
      <w:bookmarkStart w:id="712" w:name="_Toc60173836"/>
      <w:bookmarkStart w:id="713" w:name="_Toc3926"/>
      <w:bookmarkStart w:id="714" w:name="_Toc18220"/>
      <w:bookmarkStart w:id="715" w:name="_Toc9948"/>
      <w:bookmarkStart w:id="716" w:name="_Toc12105"/>
      <w:bookmarkStart w:id="717" w:name="_Toc33214143"/>
      <w:bookmarkStart w:id="718" w:name="_Toc60172949"/>
      <w:bookmarkStart w:id="719" w:name="_Toc60173309"/>
      <w:bookmarkStart w:id="720" w:name="_Toc21421"/>
      <w:bookmarkStart w:id="721" w:name="_Toc24327"/>
      <w:r>
        <w:rPr>
          <w:rFonts w:eastAsia="黑体" w:cs="Times New Roman"/>
        </w:rPr>
        <w:t>5.3</w:t>
      </w:r>
      <w:r>
        <w:rPr>
          <w:rFonts w:eastAsia="黑体" w:cs="Times New Roman"/>
          <w:b w:val="0"/>
        </w:rPr>
        <w:t xml:space="preserve">  作用</w:t>
      </w:r>
      <w:bookmarkEnd w:id="712"/>
      <w:bookmarkEnd w:id="713"/>
      <w:bookmarkEnd w:id="714"/>
      <w:bookmarkEnd w:id="715"/>
      <w:bookmarkEnd w:id="716"/>
      <w:bookmarkEnd w:id="717"/>
      <w:bookmarkEnd w:id="718"/>
      <w:bookmarkEnd w:id="719"/>
      <w:bookmarkEnd w:id="720"/>
      <w:bookmarkEnd w:id="721"/>
    </w:p>
    <w:p>
      <w:r>
        <w:rPr>
          <w:b/>
          <w:bCs/>
        </w:rPr>
        <w:t>5.3.4</w:t>
      </w:r>
      <w:r>
        <w:t xml:space="preserve">  本条规定了作用在矩形管节上的侧向土压力标准值在施工阶段和运维阶段下的计算方法，计算可根据所在地层的不同分为水土分算和水土合算。</w:t>
      </w:r>
      <w:r>
        <w:rPr>
          <w:rFonts w:hint="eastAsia"/>
        </w:rPr>
        <w:t>水土分算是指按有效应力原理，水与土传递的压力分开计算，结构面上侧向总压力等于土传递的压力加上水压力。水土合算是指将水和土传递的压力看做同一分析对象，结构面上侧向总压力等于土压力。</w:t>
      </w:r>
    </w:p>
    <w:p/>
    <w:p/>
    <w:p>
      <w:pPr>
        <w:pStyle w:val="3"/>
        <w:rPr>
          <w:rFonts w:eastAsia="黑体" w:cs="Times New Roman"/>
          <w:b w:val="0"/>
        </w:rPr>
      </w:pPr>
      <w:bookmarkStart w:id="722" w:name="_Toc60172950"/>
      <w:bookmarkStart w:id="723" w:name="_Toc32758"/>
      <w:bookmarkStart w:id="724" w:name="_Toc15305"/>
      <w:bookmarkStart w:id="725" w:name="_Toc60173837"/>
      <w:bookmarkStart w:id="726" w:name="_Toc31212"/>
      <w:bookmarkStart w:id="727" w:name="_Toc20405"/>
      <w:bookmarkStart w:id="728" w:name="_Toc25381"/>
      <w:bookmarkStart w:id="729" w:name="_Toc60173310"/>
      <w:bookmarkStart w:id="730" w:name="_Toc33214144"/>
      <w:bookmarkStart w:id="731" w:name="_Toc3880"/>
      <w:r>
        <w:rPr>
          <w:rFonts w:eastAsia="黑体" w:cs="Times New Roman"/>
        </w:rPr>
        <w:t>5.5</w:t>
      </w:r>
      <w:r>
        <w:rPr>
          <w:rFonts w:eastAsia="黑体" w:cs="Times New Roman"/>
          <w:b w:val="0"/>
        </w:rPr>
        <w:t xml:space="preserve">  管节构造设计</w:t>
      </w:r>
      <w:bookmarkEnd w:id="722"/>
      <w:bookmarkEnd w:id="723"/>
      <w:bookmarkEnd w:id="724"/>
      <w:bookmarkEnd w:id="725"/>
      <w:bookmarkEnd w:id="726"/>
      <w:bookmarkEnd w:id="727"/>
      <w:bookmarkEnd w:id="728"/>
      <w:bookmarkEnd w:id="729"/>
      <w:bookmarkEnd w:id="730"/>
      <w:bookmarkEnd w:id="731"/>
    </w:p>
    <w:p>
      <w:r>
        <w:rPr>
          <w:b/>
          <w:bCs/>
        </w:rPr>
        <w:t>5.5.1</w:t>
      </w:r>
      <w:r>
        <w:t xml:space="preserve">  本条对管节最外层钢筋的混凝土保护层厚度做出了规定，确定原则需要考虑两点：一是工程安全等级；二是管节在不同环境下（直接与水接触和不直接与水接触）。</w:t>
      </w:r>
    </w:p>
    <w:p/>
    <w:p>
      <w:pPr>
        <w:pStyle w:val="3"/>
        <w:rPr>
          <w:rFonts w:eastAsia="黑体" w:cs="Times New Roman"/>
          <w:b w:val="0"/>
        </w:rPr>
      </w:pPr>
      <w:bookmarkStart w:id="732" w:name="_Toc60173311"/>
      <w:bookmarkStart w:id="733" w:name="_Toc3359"/>
      <w:bookmarkStart w:id="734" w:name="_Toc33214145"/>
      <w:bookmarkStart w:id="735" w:name="_Toc5189"/>
      <w:bookmarkStart w:id="736" w:name="_Toc32369"/>
      <w:bookmarkStart w:id="737" w:name="_Toc18200"/>
      <w:bookmarkStart w:id="738" w:name="_Toc60173838"/>
      <w:bookmarkStart w:id="739" w:name="_Toc60172951"/>
      <w:r>
        <w:rPr>
          <w:rFonts w:eastAsia="黑体" w:cs="Times New Roman"/>
        </w:rPr>
        <w:t>5.6</w:t>
      </w:r>
      <w:r>
        <w:rPr>
          <w:rFonts w:eastAsia="黑体" w:cs="Times New Roman"/>
          <w:b w:val="0"/>
        </w:rPr>
        <w:t xml:space="preserve">  </w:t>
      </w:r>
      <w:r>
        <w:rPr>
          <w:rFonts w:hint="eastAsia" w:eastAsia="黑体" w:cs="Times New Roman"/>
          <w:b w:val="0"/>
        </w:rPr>
        <w:t>顶管总顶力计算与中继间设置原则</w:t>
      </w:r>
      <w:bookmarkEnd w:id="732"/>
      <w:bookmarkEnd w:id="733"/>
      <w:bookmarkEnd w:id="734"/>
      <w:bookmarkEnd w:id="735"/>
      <w:bookmarkEnd w:id="736"/>
      <w:bookmarkEnd w:id="737"/>
      <w:bookmarkEnd w:id="738"/>
      <w:bookmarkEnd w:id="739"/>
    </w:p>
    <w:p>
      <w:r>
        <w:rPr>
          <w:b/>
          <w:bCs/>
        </w:rPr>
        <w:t>5.6.2</w:t>
      </w:r>
      <w:r>
        <w:t xml:space="preserve">  顶管施工基本采用压力平衡式顶管机（土压平衡或泥水平衡），为了保证顶管机开挖面的土体稳定，需要保证顶管机端面压力与地层土压力值平衡，可以根据这个平衡关系确定迎面阻力的大小，则得出泥水、土压平衡式顶管机的迎面阻力计算公式。</w:t>
      </w:r>
    </w:p>
    <w:p>
      <w:pPr>
        <w:rPr>
          <w:rFonts w:eastAsia="黑体"/>
        </w:rPr>
      </w:pPr>
      <w:r>
        <w:rPr>
          <w:b/>
          <w:bCs/>
        </w:rPr>
        <w:t>5.6.6</w:t>
      </w:r>
      <w:r>
        <w:t xml:space="preserve">  矩形管节断面较大，在工程施工过程中需采用触变泥浆减阻，在矩形顶管外侧形成稳定泥浆套时，管节与土体接触面的摩阻力要结合地区经验取值，</w:t>
      </w:r>
      <w:r>
        <w:rPr>
          <w:rFonts w:hint="eastAsia"/>
        </w:rPr>
        <w:t>本</w:t>
      </w:r>
      <w:r>
        <w:t>规程表5.6.3给出了混凝土、钢与不同土质在顶管外侧形成稳定泥浆套的接触面摩阻力参考值。</w:t>
      </w:r>
    </w:p>
    <w:p/>
    <w:p>
      <w:pPr>
        <w:pStyle w:val="3"/>
        <w:rPr>
          <w:rFonts w:eastAsia="黑体" w:cs="Times New Roman"/>
          <w:b w:val="0"/>
        </w:rPr>
      </w:pPr>
      <w:bookmarkStart w:id="740" w:name="_Toc60172952"/>
      <w:bookmarkStart w:id="741" w:name="_Toc15345"/>
      <w:bookmarkStart w:id="742" w:name="_Toc60173839"/>
      <w:bookmarkStart w:id="743" w:name="_Toc15627"/>
      <w:bookmarkStart w:id="744" w:name="_Toc60173312"/>
      <w:bookmarkStart w:id="745" w:name="_Toc27482"/>
      <w:bookmarkStart w:id="746" w:name="_Toc14889"/>
      <w:bookmarkStart w:id="747" w:name="_Toc33214147"/>
      <w:bookmarkStart w:id="748" w:name="_Toc16504"/>
      <w:bookmarkStart w:id="749" w:name="_Toc32588"/>
      <w:r>
        <w:rPr>
          <w:rFonts w:eastAsia="黑体" w:cs="Times New Roman"/>
        </w:rPr>
        <w:t>5.7</w:t>
      </w:r>
      <w:r>
        <w:rPr>
          <w:rFonts w:eastAsia="黑体" w:cs="Times New Roman"/>
          <w:b w:val="0"/>
        </w:rPr>
        <w:t xml:space="preserve">  工作井设计</w:t>
      </w:r>
      <w:bookmarkEnd w:id="740"/>
      <w:bookmarkEnd w:id="741"/>
      <w:bookmarkEnd w:id="742"/>
      <w:bookmarkEnd w:id="743"/>
      <w:bookmarkEnd w:id="744"/>
      <w:bookmarkEnd w:id="745"/>
      <w:bookmarkEnd w:id="746"/>
      <w:bookmarkEnd w:id="747"/>
      <w:bookmarkEnd w:id="748"/>
      <w:bookmarkEnd w:id="749"/>
    </w:p>
    <w:p>
      <w:r>
        <w:rPr>
          <w:b/>
          <w:bCs/>
        </w:rPr>
        <w:t>5.7.</w:t>
      </w:r>
      <w:r>
        <w:rPr>
          <w:rFonts w:hint="eastAsia"/>
          <w:b/>
          <w:bCs/>
        </w:rPr>
        <w:t>2</w:t>
      </w:r>
      <w:r>
        <w:t xml:space="preserve">  始发井可为圆形或矩形，由于矩形顶管工程断面较大，为便于设备安装和始发井空间有效利用，目前矩形顶管工程工作井主要采用矩形。矩形工作井按结构又可分为整体式沉井类型和基坑型。由于矩形顶管断面大，需要总顶力大，要求对始发井后背土体允许最大顶力进行验算，不满足要求时，应对土体进行加固设计或增设反力地下结构。在顶管施工前，矩形沉井井壁与土体间的土压力和圆形沉井的类似，为静止土压力与主动土压力之间某一值，由于沉井结构刚度较大，也可假设为静止土压力。</w:t>
      </w:r>
    </w:p>
    <w:p>
      <w:pPr>
        <w:ind w:firstLine="480" w:firstLineChars="200"/>
      </w:pPr>
      <w:r>
        <w:rPr>
          <w:rFonts w:hint="eastAsia"/>
        </w:rPr>
        <w:t>始发</w:t>
      </w:r>
      <w:r>
        <w:t>井的变形主要由井位移和后座井壁的弹性变形组成。当开始顶进时，量值较小的顶力反力最初被作用于后背井壁的静止土压力平衡。随着顶力的增大，顶力反力会由后背土体和井侧壁摩阻力及井底摩阻力共同承担。当静摩阻力大于井侧壁摩阻力和井底摩阻力合力时，井体不产生位移。当顶力反力很大，足够克服井侧壁和井底的滑动摩阻力合力时，井体开始产生顶进相反方向的位移。随着井体的倾斜变大，井体前壁所需较小的位移就可使前壁土体率先达到主动土压力。后背土体的位移等于后座井壁的变形加上井体位移，当其位移足够大时，最大土压力就会达到被动土压力，此时井体处于临界状态。若顶力反力再次增加，后背土体就会发生破坏，沉井井体也会因此倾覆。</w:t>
      </w:r>
    </w:p>
    <w:p>
      <w:r>
        <w:rPr>
          <w:b/>
          <w:bCs/>
        </w:rPr>
        <w:t>5.7.8</w:t>
      </w:r>
      <w:r>
        <w:t xml:space="preserve">  反力墙是顶进管道时为液压缸提供反作用力的一种结构，有时也称为后座、后背或者后背墙等。</w:t>
      </w:r>
    </w:p>
    <w:p>
      <w:pPr>
        <w:ind w:firstLine="480" w:firstLineChars="200"/>
      </w:pPr>
      <w:r>
        <w:t>反力墙后无原状土时，应设计结构简单、稳定可靠、就地取材、拆除方便的人工后座墙。反力墙的结构形式一般可分为整体式和装配式两类。整体式反力墙多采用现场浇筑的混凝土。装配式反力墙是常用的形式，具有结构简单、安装和拆卸方便、适用性较强等优点。</w:t>
      </w:r>
    </w:p>
    <w:p>
      <w:pPr>
        <w:rPr>
          <w:rFonts w:eastAsia="仿宋"/>
        </w:rPr>
      </w:pPr>
      <w:r>
        <w:rPr>
          <w:rFonts w:eastAsia="仿宋"/>
          <w:b/>
          <w:bCs/>
        </w:rPr>
        <w:t xml:space="preserve">5.7.11 </w:t>
      </w:r>
      <w:r>
        <w:rPr>
          <w:rFonts w:eastAsia="仿宋"/>
          <w:b/>
          <w:kern w:val="24"/>
        </w:rPr>
        <w:t xml:space="preserve"> </w:t>
      </w:r>
      <w:r>
        <w:t>计算按照行业标准《混凝土结构设计规范》GB 50010-2002的受冲切承载力验算法进行。计算时，暂按不配筋的素混凝土构件进行验算。</w:t>
      </w:r>
    </w:p>
    <w:p>
      <w:pPr>
        <w:jc w:val="right"/>
        <w:rPr>
          <w:rFonts w:eastAsia="仿宋"/>
        </w:rPr>
      </w:pPr>
      <w:r>
        <w:rPr>
          <w:rFonts w:eastAsia="仿宋"/>
          <w:position w:val="-12"/>
        </w:rPr>
        <w:object>
          <v:shape id="_x0000_i1154" o:spt="75" type="#_x0000_t75" style="height:19.5pt;width:79.5pt;" o:ole="t" filled="f" o:preferrelative="t" stroked="f" coordsize="21600,21600">
            <v:path/>
            <v:fill on="f" focussize="0,0"/>
            <v:stroke on="f" joinstyle="miter"/>
            <v:imagedata r:id="rId272" o:title=""/>
            <o:lock v:ext="edit" aspectratio="t"/>
            <w10:wrap type="none"/>
            <w10:anchorlock/>
          </v:shape>
          <o:OLEObject Type="Embed" ProgID="Equation.DSMT4" ShapeID="_x0000_i1154" DrawAspect="Content" ObjectID="_1468075854" r:id="rId271">
            <o:LockedField>false</o:LockedField>
          </o:OLEObject>
        </w:object>
      </w:r>
      <w:r>
        <w:rPr>
          <w:rFonts w:eastAsia="仿宋"/>
        </w:rPr>
        <w:t xml:space="preserve">                      （1）</w:t>
      </w:r>
    </w:p>
    <w:p>
      <w:pPr>
        <w:rPr>
          <w:rFonts w:eastAsia="仿宋"/>
        </w:rPr>
      </w:pPr>
      <w:r>
        <w:t>式中：</w:t>
      </w:r>
      <w:r>
        <w:tab/>
      </w:r>
      <w:r>
        <w:object>
          <v:shape id="_x0000_i1155" o:spt="75" type="#_x0000_t75" style="height:14.25pt;width:14.25pt;" o:ole="t" filled="f" o:preferrelative="t" stroked="f" coordsize="21600,21600">
            <v:path/>
            <v:fill on="f" focussize="0,0"/>
            <v:stroke on="f" joinstyle="miter"/>
            <v:imagedata r:id="rId274" o:title=""/>
            <o:lock v:ext="edit" aspectratio="t"/>
            <w10:wrap type="none"/>
            <w10:anchorlock/>
          </v:shape>
          <o:OLEObject Type="Embed" ProgID="Equation.DSMT4" ShapeID="_x0000_i1155" DrawAspect="Content" ObjectID="_1468075855" r:id="rId273">
            <o:LockedField>false</o:LockedField>
          </o:OLEObject>
        </w:object>
      </w:r>
      <w:r>
        <w:t>——局部荷载设计值（kN）</w:t>
      </w:r>
      <w:r>
        <w:rPr>
          <w:rFonts w:eastAsia="仿宋"/>
        </w:rPr>
        <w:t>；</w:t>
      </w:r>
    </w:p>
    <w:p>
      <w:pPr>
        <w:ind w:firstLine="720" w:firstLineChars="300"/>
      </w:pPr>
      <w:r>
        <w:rPr>
          <w:position w:val="-12"/>
        </w:rPr>
        <w:object>
          <v:shape id="_x0000_i1156" o:spt="75" type="#_x0000_t75" style="height:19.5pt;width:15pt;" o:ole="t" filled="f" o:preferrelative="t" stroked="f" coordsize="21600,21600">
            <v:path/>
            <v:fill on="f" focussize="0,0"/>
            <v:stroke on="f" joinstyle="miter"/>
            <v:imagedata r:id="rId276" o:title=""/>
            <o:lock v:ext="edit" aspectratio="t"/>
            <w10:wrap type="none"/>
            <w10:anchorlock/>
          </v:shape>
          <o:OLEObject Type="Embed" ProgID="Equation.DSMT4" ShapeID="_x0000_i1156" DrawAspect="Content" ObjectID="_1468075856" r:id="rId275">
            <o:LockedField>false</o:LockedField>
          </o:OLEObject>
        </w:object>
      </w:r>
      <w:r>
        <w:t>——截面高度影响系数；本规程为</w:t>
      </w:r>
      <w:r>
        <w:rPr>
          <w:position w:val="-12"/>
        </w:rPr>
        <w:object>
          <v:shape id="_x0000_i1157" o:spt="75" type="#_x0000_t75" style="height:19.5pt;width:15pt;" o:ole="t" filled="f" o:preferrelative="t" stroked="f" coordsize="21600,21600">
            <v:path/>
            <v:fill on="f" focussize="0,0"/>
            <v:stroke on="f" joinstyle="miter"/>
            <v:imagedata r:id="rId278" o:title=""/>
            <o:lock v:ext="edit" aspectratio="t"/>
            <w10:wrap type="none"/>
            <w10:anchorlock/>
          </v:shape>
          <o:OLEObject Type="Embed" ProgID="Equation.DSMT4" ShapeID="_x0000_i1157" DrawAspect="Content" ObjectID="_1468075857" r:id="rId277">
            <o:LockedField>false</o:LockedField>
          </o:OLEObject>
        </w:object>
      </w:r>
      <w:r>
        <w:t>=1。</w:t>
      </w:r>
    </w:p>
    <w:p>
      <w:pPr>
        <w:ind w:firstLine="720" w:firstLineChars="300"/>
      </w:pPr>
      <w:r>
        <w:object>
          <v:shape id="_x0000_i1158" o:spt="75" type="#_x0000_t75" style="height:15pt;width:12pt;" o:ole="t" filled="f" o:preferrelative="t" stroked="f" coordsize="21600,21600">
            <v:path/>
            <v:fill on="f" focussize="0,0"/>
            <v:stroke on="f" joinstyle="miter"/>
            <v:imagedata r:id="rId280" o:title=""/>
            <o:lock v:ext="edit" aspectratio="t"/>
            <w10:wrap type="none"/>
            <w10:anchorlock/>
          </v:shape>
          <o:OLEObject Type="Embed" ProgID="Equation.DSMT4" ShapeID="_x0000_i1158" DrawAspect="Content" ObjectID="_1468075858" r:id="rId279">
            <o:LockedField>false</o:LockedField>
          </o:OLEObject>
        </w:object>
      </w:r>
      <w:r>
        <w:t>——混凝土轴心抗拉强度设计值（</w:t>
      </w:r>
      <w:r>
        <w:rPr>
          <w:sz w:val="21"/>
        </w:rPr>
        <w:t>kPa</w:t>
      </w:r>
      <w:r>
        <w:t>）；</w:t>
      </w:r>
    </w:p>
    <w:p>
      <w:pPr>
        <w:ind w:firstLine="720" w:firstLineChars="300"/>
      </w:pPr>
      <w:r>
        <w:rPr>
          <w:position w:val="-12"/>
        </w:rPr>
        <w:object>
          <v:shape id="_x0000_i1159" o:spt="75" type="#_x0000_t75" style="height:19.5pt;width:14.25pt;" o:ole="t" filled="f" o:preferrelative="t" stroked="f" coordsize="21600,21600">
            <v:path/>
            <v:fill on="f" focussize="0,0"/>
            <v:stroke on="f" joinstyle="miter"/>
            <v:imagedata r:id="rId282" o:title=""/>
            <o:lock v:ext="edit" aspectratio="t"/>
            <w10:wrap type="none"/>
            <w10:anchorlock/>
          </v:shape>
          <o:OLEObject Type="Embed" ProgID="Equation.DSMT4" ShapeID="_x0000_i1159" DrawAspect="Content" ObjectID="_1468075859" r:id="rId281">
            <o:LockedField>false</o:LockedField>
          </o:OLEObject>
        </w:object>
      </w:r>
      <w:r>
        <w:t>——截面有效高度（m）；</w:t>
      </w:r>
    </w:p>
    <w:p>
      <w:pPr>
        <w:ind w:firstLine="720" w:firstLineChars="300"/>
      </w:pPr>
      <w:r>
        <w:rPr>
          <w:position w:val="-12"/>
        </w:rPr>
        <w:object>
          <v:shape id="_x0000_i1160" o:spt="75" type="#_x0000_t75" style="height:19.5pt;width:15pt;" o:ole="t" filled="f" o:preferrelative="t" stroked="f" coordsize="21600,21600">
            <v:path/>
            <v:fill on="f" focussize="0,0"/>
            <v:stroke on="f" joinstyle="miter"/>
            <v:imagedata r:id="rId284" o:title=""/>
            <o:lock v:ext="edit" aspectratio="t"/>
            <w10:wrap type="none"/>
            <w10:anchorlock/>
          </v:shape>
          <o:OLEObject Type="Embed" ProgID="Equation.DSMT4" ShapeID="_x0000_i1160" DrawAspect="Content" ObjectID="_1468075860" r:id="rId283">
            <o:LockedField>false</o:LockedField>
          </o:OLEObject>
        </w:object>
      </w:r>
      <w:r>
        <w:t>——临界截面的周长（m）。</w:t>
      </w:r>
    </w:p>
    <w:p/>
    <w:p>
      <w:pPr>
        <w:ind w:firstLine="480" w:firstLineChars="200"/>
        <w:sectPr>
          <w:pgSz w:w="11850" w:h="16783"/>
          <w:pgMar w:top="1440" w:right="1800" w:bottom="1440" w:left="1800" w:header="720" w:footer="720" w:gutter="0"/>
          <w:cols w:space="720" w:num="1"/>
          <w:docGrid w:linePitch="360" w:charSpace="0"/>
        </w:sectPr>
      </w:pPr>
    </w:p>
    <w:p>
      <w:pPr>
        <w:pStyle w:val="2"/>
        <w:spacing w:before="0" w:after="0"/>
        <w:rPr>
          <w:rFonts w:cs="Times New Roman" w:eastAsiaTheme="minorEastAsia"/>
        </w:rPr>
      </w:pPr>
      <w:bookmarkStart w:id="750" w:name="_Toc19899"/>
      <w:bookmarkStart w:id="751" w:name="_Toc5639"/>
      <w:bookmarkStart w:id="752" w:name="_Toc18633"/>
      <w:bookmarkStart w:id="753" w:name="_Toc5994"/>
      <w:bookmarkStart w:id="754" w:name="_Toc15116"/>
      <w:bookmarkStart w:id="755" w:name="_Toc4557"/>
      <w:r>
        <w:rPr>
          <w:rFonts w:cs="Times New Roman"/>
        </w:rPr>
        <w:fldChar w:fldCharType="begin"/>
      </w:r>
      <w:r>
        <w:rPr>
          <w:rFonts w:cs="Times New Roman"/>
        </w:rPr>
        <w:instrText xml:space="preserve"> HYPERLINK \l "_Toc9712" </w:instrText>
      </w:r>
      <w:r>
        <w:rPr>
          <w:rFonts w:cs="Times New Roman"/>
        </w:rPr>
        <w:fldChar w:fldCharType="separate"/>
      </w:r>
      <w:bookmarkStart w:id="756" w:name="_Toc60172953"/>
      <w:bookmarkStart w:id="757" w:name="_Toc60173313"/>
      <w:bookmarkStart w:id="758" w:name="_Toc33214148"/>
      <w:bookmarkStart w:id="759" w:name="_Toc60173840"/>
      <w:r>
        <w:rPr>
          <w:rFonts w:cs="Times New Roman" w:eastAsiaTheme="minorEastAsia"/>
        </w:rPr>
        <w:t>6  管节</w:t>
      </w:r>
      <w:r>
        <w:rPr>
          <w:rFonts w:cs="Times New Roman" w:eastAsiaTheme="minorEastAsia"/>
        </w:rPr>
        <w:fldChar w:fldCharType="end"/>
      </w:r>
      <w:r>
        <w:rPr>
          <w:rFonts w:cs="Times New Roman" w:eastAsiaTheme="minorEastAsia"/>
        </w:rPr>
        <w:t>制作</w:t>
      </w:r>
      <w:bookmarkEnd w:id="750"/>
      <w:bookmarkEnd w:id="751"/>
      <w:bookmarkEnd w:id="752"/>
      <w:bookmarkEnd w:id="753"/>
      <w:bookmarkEnd w:id="754"/>
      <w:bookmarkEnd w:id="755"/>
      <w:bookmarkEnd w:id="756"/>
      <w:bookmarkEnd w:id="757"/>
      <w:bookmarkEnd w:id="758"/>
      <w:bookmarkEnd w:id="759"/>
    </w:p>
    <w:p>
      <w:pPr>
        <w:pStyle w:val="3"/>
        <w:rPr>
          <w:rFonts w:eastAsia="黑体" w:cs="Times New Roman"/>
          <w:b w:val="0"/>
        </w:rPr>
      </w:pPr>
      <w:bookmarkStart w:id="760" w:name="_Toc6511"/>
      <w:bookmarkStart w:id="761" w:name="_Toc15060"/>
      <w:bookmarkStart w:id="762" w:name="_Toc6037"/>
      <w:bookmarkStart w:id="763" w:name="_Toc21862"/>
      <w:bookmarkStart w:id="764" w:name="_Toc19111"/>
      <w:bookmarkStart w:id="765" w:name="_Toc21384"/>
      <w:r>
        <w:rPr>
          <w:rFonts w:eastAsia="黑体" w:cs="Times New Roman"/>
          <w:b w:val="0"/>
        </w:rPr>
        <w:fldChar w:fldCharType="begin"/>
      </w:r>
      <w:r>
        <w:rPr>
          <w:rFonts w:eastAsia="黑体" w:cs="Times New Roman"/>
          <w:b w:val="0"/>
        </w:rPr>
        <w:instrText xml:space="preserve"> HYPERLINK "file:///C:\\Users\\xy155\\Desktop\\矩形顶管工程技术规程2019.3.22.docx" \l "_Toc23090" </w:instrText>
      </w:r>
      <w:r>
        <w:rPr>
          <w:rFonts w:eastAsia="黑体" w:cs="Times New Roman"/>
          <w:b w:val="0"/>
        </w:rPr>
        <w:fldChar w:fldCharType="separate"/>
      </w:r>
      <w:bookmarkStart w:id="766" w:name="_Toc60173314"/>
      <w:bookmarkStart w:id="767" w:name="_Toc33214149"/>
      <w:bookmarkStart w:id="768" w:name="_Toc60172954"/>
      <w:bookmarkStart w:id="769" w:name="_Toc60173841"/>
      <w:r>
        <w:rPr>
          <w:rFonts w:eastAsia="黑体" w:cs="Times New Roman"/>
        </w:rPr>
        <w:t>6.1</w:t>
      </w:r>
      <w:r>
        <w:rPr>
          <w:rFonts w:eastAsia="黑体" w:cs="Times New Roman"/>
          <w:b w:val="0"/>
        </w:rPr>
        <w:t xml:space="preserve">  一般规定</w:t>
      </w:r>
      <w:bookmarkEnd w:id="766"/>
      <w:bookmarkEnd w:id="767"/>
      <w:bookmarkEnd w:id="768"/>
      <w:bookmarkEnd w:id="769"/>
      <w:r>
        <w:rPr>
          <w:rFonts w:eastAsia="黑体" w:cs="Times New Roman"/>
          <w:b w:val="0"/>
        </w:rPr>
        <w:fldChar w:fldCharType="end"/>
      </w:r>
      <w:bookmarkEnd w:id="760"/>
      <w:bookmarkEnd w:id="761"/>
      <w:bookmarkEnd w:id="762"/>
      <w:bookmarkEnd w:id="763"/>
      <w:bookmarkEnd w:id="764"/>
      <w:bookmarkEnd w:id="765"/>
    </w:p>
    <w:p>
      <w:r>
        <w:rPr>
          <w:b/>
          <w:bCs/>
        </w:rPr>
        <w:t>6.1.2</w:t>
      </w:r>
      <w:r>
        <w:t xml:space="preserve">  本条对管节生产试制提出要求。在管节生产试制过程中应严格按照管节的设计及工艺要求进行生产，并对各道工序相关参数（含混凝土试块制作及力学检测）进行记录，试制管节经检验各项参数符合设计要求后方可投入批量生产。</w:t>
      </w:r>
    </w:p>
    <w:p/>
    <w:p>
      <w:pPr>
        <w:pStyle w:val="3"/>
        <w:rPr>
          <w:rFonts w:eastAsia="黑体" w:cs="Times New Roman"/>
          <w:b w:val="0"/>
        </w:rPr>
      </w:pPr>
      <w:bookmarkStart w:id="770" w:name="_Toc27346"/>
      <w:bookmarkStart w:id="771" w:name="_Toc32721"/>
      <w:bookmarkStart w:id="772" w:name="_Toc4187"/>
      <w:bookmarkStart w:id="773" w:name="_Toc11425"/>
      <w:bookmarkStart w:id="774" w:name="_Toc15525"/>
      <w:bookmarkStart w:id="775" w:name="_Toc1255"/>
      <w:r>
        <w:rPr>
          <w:rFonts w:eastAsia="黑体" w:cs="Times New Roman"/>
          <w:b w:val="0"/>
        </w:rPr>
        <w:fldChar w:fldCharType="begin"/>
      </w:r>
      <w:r>
        <w:rPr>
          <w:rFonts w:eastAsia="黑体" w:cs="Times New Roman"/>
          <w:b w:val="0"/>
        </w:rPr>
        <w:instrText xml:space="preserve"> HYPERLINK "file:///C:\\Users\\xy155\\Desktop\\矩形顶管工程技术规程2019.3.22.docx" \l "_Toc8623" </w:instrText>
      </w:r>
      <w:r>
        <w:rPr>
          <w:rFonts w:eastAsia="黑体" w:cs="Times New Roman"/>
          <w:b w:val="0"/>
        </w:rPr>
        <w:fldChar w:fldCharType="separate"/>
      </w:r>
      <w:bookmarkStart w:id="776" w:name="_Toc60173315"/>
      <w:bookmarkStart w:id="777" w:name="_Toc60173842"/>
      <w:bookmarkStart w:id="778" w:name="_Toc33214150"/>
      <w:bookmarkStart w:id="779" w:name="_Toc60172955"/>
      <w:r>
        <w:rPr>
          <w:rFonts w:eastAsia="黑体" w:cs="Times New Roman"/>
        </w:rPr>
        <w:t>6.3</w:t>
      </w:r>
      <w:r>
        <w:rPr>
          <w:rFonts w:eastAsia="黑体" w:cs="Times New Roman"/>
          <w:b w:val="0"/>
        </w:rPr>
        <w:t xml:space="preserve"> </w:t>
      </w:r>
      <w:r>
        <w:rPr>
          <w:rFonts w:eastAsia="黑体" w:cs="Times New Roman"/>
          <w:b w:val="0"/>
        </w:rPr>
        <w:fldChar w:fldCharType="end"/>
      </w:r>
      <w:r>
        <w:rPr>
          <w:rFonts w:eastAsia="黑体" w:cs="Times New Roman"/>
          <w:b w:val="0"/>
        </w:rPr>
        <w:t xml:space="preserve"> 接头构造</w:t>
      </w:r>
      <w:bookmarkEnd w:id="770"/>
      <w:bookmarkEnd w:id="771"/>
      <w:bookmarkEnd w:id="772"/>
      <w:bookmarkEnd w:id="773"/>
      <w:bookmarkEnd w:id="774"/>
      <w:bookmarkEnd w:id="775"/>
      <w:bookmarkEnd w:id="776"/>
      <w:bookmarkEnd w:id="777"/>
      <w:bookmarkEnd w:id="778"/>
      <w:bookmarkEnd w:id="779"/>
    </w:p>
    <w:p>
      <w:r>
        <w:rPr>
          <w:b/>
          <w:bCs/>
        </w:rPr>
        <w:t>6.3.</w:t>
      </w:r>
      <w:r>
        <w:rPr>
          <w:rFonts w:hint="eastAsia"/>
          <w:b/>
          <w:bCs/>
        </w:rPr>
        <w:t>1</w:t>
      </w:r>
      <w:r>
        <w:t xml:space="preserve">  </w:t>
      </w:r>
      <w:r>
        <w:rPr>
          <w:rFonts w:hint="eastAsia"/>
        </w:rPr>
        <w:t>本条中管节之间的接口防水包括四种密封形式，如本</w:t>
      </w:r>
      <w:r>
        <w:t>规程</w:t>
      </w:r>
      <w:r>
        <w:rPr>
          <w:rFonts w:hint="eastAsia"/>
        </w:rPr>
        <w:t>图6.3.1-2所示。其中：图（a）常用于管节之间钢承口与混凝土之间的防水，图（b）的聚氨酯密封胶条主要应用于钢承口和混凝土之间的第二道防水，图（c）的聚氨酯密封胶条主要应用于管节拼装完毕最后一道防水，图（d）主要应用于钢承口和混凝土之间的第一道防水。</w:t>
      </w:r>
    </w:p>
    <w:p/>
    <w:p>
      <w:pPr>
        <w:pStyle w:val="3"/>
        <w:rPr>
          <w:rFonts w:eastAsia="黑体" w:cs="Times New Roman"/>
          <w:b w:val="0"/>
        </w:rPr>
      </w:pPr>
      <w:bookmarkStart w:id="780" w:name="_Toc16624"/>
      <w:bookmarkStart w:id="781" w:name="_Toc30789"/>
      <w:bookmarkStart w:id="782" w:name="_Toc11781"/>
      <w:bookmarkStart w:id="783" w:name="_Toc18420"/>
      <w:r>
        <w:rPr>
          <w:rFonts w:eastAsia="黑体" w:cs="Times New Roman"/>
          <w:b w:val="0"/>
        </w:rPr>
        <w:fldChar w:fldCharType="begin"/>
      </w:r>
      <w:r>
        <w:rPr>
          <w:rFonts w:eastAsia="黑体" w:cs="Times New Roman"/>
          <w:b w:val="0"/>
        </w:rPr>
        <w:instrText xml:space="preserve"> HYPERLINK "file:///C:\\Users\\xy155\\Desktop\\矩形顶管工程技术规程2019.3.22.docx" \l "_Toc8623" </w:instrText>
      </w:r>
      <w:r>
        <w:rPr>
          <w:rFonts w:eastAsia="黑体" w:cs="Times New Roman"/>
          <w:b w:val="0"/>
        </w:rPr>
        <w:fldChar w:fldCharType="separate"/>
      </w:r>
      <w:bookmarkStart w:id="784" w:name="_Toc60173316"/>
      <w:bookmarkStart w:id="785" w:name="_Toc33214151"/>
      <w:bookmarkStart w:id="786" w:name="_Toc60172956"/>
      <w:bookmarkStart w:id="787" w:name="_Toc60173843"/>
      <w:r>
        <w:rPr>
          <w:rFonts w:eastAsia="黑体" w:cs="Times New Roman"/>
        </w:rPr>
        <w:t>6.4</w:t>
      </w:r>
      <w:r>
        <w:rPr>
          <w:rFonts w:eastAsia="黑体" w:cs="Times New Roman"/>
          <w:b w:val="0"/>
        </w:rPr>
        <w:t xml:space="preserve"> </w:t>
      </w:r>
      <w:r>
        <w:rPr>
          <w:rFonts w:eastAsia="黑体" w:cs="Times New Roman"/>
          <w:b w:val="0"/>
        </w:rPr>
        <w:fldChar w:fldCharType="end"/>
      </w:r>
      <w:r>
        <w:rPr>
          <w:rFonts w:eastAsia="黑体" w:cs="Times New Roman"/>
          <w:b w:val="0"/>
        </w:rPr>
        <w:t xml:space="preserve"> 管节防腐</w:t>
      </w:r>
      <w:bookmarkEnd w:id="780"/>
      <w:bookmarkEnd w:id="781"/>
      <w:bookmarkEnd w:id="782"/>
      <w:bookmarkEnd w:id="783"/>
      <w:bookmarkEnd w:id="784"/>
      <w:bookmarkEnd w:id="785"/>
      <w:bookmarkEnd w:id="786"/>
      <w:bookmarkEnd w:id="787"/>
    </w:p>
    <w:p>
      <w:r>
        <w:rPr>
          <w:b/>
          <w:bCs/>
        </w:rPr>
        <w:t xml:space="preserve">6.4.2  </w:t>
      </w:r>
      <w:r>
        <w:t>管节外壁防腐一般在厂内完成，对内壁防腐一般对侧壁上部厂内完成，侧壁下部及管节底部容易受到施工损坏，一般在顶管施工完成后补充防腐施工。</w:t>
      </w:r>
    </w:p>
    <w:p/>
    <w:p>
      <w:pPr>
        <w:pStyle w:val="3"/>
        <w:rPr>
          <w:rFonts w:eastAsia="黑体" w:cs="Times New Roman"/>
          <w:b w:val="0"/>
        </w:rPr>
      </w:pPr>
      <w:bookmarkStart w:id="788" w:name="_Toc60172957"/>
      <w:bookmarkStart w:id="789" w:name="_Toc60173317"/>
      <w:bookmarkStart w:id="790" w:name="_Toc9654"/>
      <w:bookmarkStart w:id="791" w:name="_Toc60173844"/>
      <w:r>
        <w:rPr>
          <w:rFonts w:eastAsia="黑体" w:cs="Times New Roman"/>
        </w:rPr>
        <w:t>6.6</w:t>
      </w:r>
      <w:r>
        <w:rPr>
          <w:rFonts w:eastAsia="黑体" w:cs="Times New Roman"/>
          <w:b w:val="0"/>
        </w:rPr>
        <w:t xml:space="preserve">  管节标识、堆放、吊装和运输</w:t>
      </w:r>
      <w:bookmarkEnd w:id="788"/>
      <w:bookmarkEnd w:id="789"/>
      <w:bookmarkEnd w:id="790"/>
      <w:bookmarkEnd w:id="791"/>
    </w:p>
    <w:p>
      <w:r>
        <w:rPr>
          <w:rFonts w:hint="eastAsia"/>
          <w:b/>
          <w:bCs/>
        </w:rPr>
        <w:t xml:space="preserve">6.6.2 </w:t>
      </w:r>
      <w:r>
        <w:rPr>
          <w:rFonts w:hint="eastAsia"/>
        </w:rPr>
        <w:t xml:space="preserve"> 本条第3款的目的是</w:t>
      </w:r>
      <w:r>
        <w:t>为了防止胶圈受到潮湿和高温天气的影响而产生龟裂或裂缝等破坏</w:t>
      </w:r>
      <w:r>
        <w:rPr>
          <w:rFonts w:hint="eastAsia"/>
        </w:rPr>
        <w:t>。</w:t>
      </w:r>
    </w:p>
    <w:p>
      <w:r>
        <w:rPr>
          <w:rFonts w:hint="eastAsia"/>
          <w:b/>
          <w:bCs/>
        </w:rPr>
        <w:t>6.6.4</w:t>
      </w:r>
      <w:r>
        <w:rPr>
          <w:rFonts w:hint="eastAsia"/>
        </w:rPr>
        <w:t xml:space="preserve">  本条第2款的目的是</w:t>
      </w:r>
      <w:r>
        <w:t>避免管节由于惯性而滑动、滚落</w:t>
      </w:r>
      <w:r>
        <w:rPr>
          <w:rFonts w:hint="eastAsia"/>
        </w:rPr>
        <w:t>，</w:t>
      </w:r>
      <w:r>
        <w:t>造成安全事故</w:t>
      </w:r>
      <w:r>
        <w:rPr>
          <w:rFonts w:hint="eastAsia"/>
        </w:rPr>
        <w:t>。</w:t>
      </w:r>
    </w:p>
    <w:p/>
    <w:p>
      <w:pPr>
        <w:sectPr>
          <w:pgSz w:w="11850" w:h="16783"/>
          <w:pgMar w:top="1440" w:right="1800" w:bottom="1440" w:left="1800" w:header="720" w:footer="720" w:gutter="0"/>
          <w:cols w:space="720" w:num="1"/>
          <w:docGrid w:linePitch="360" w:charSpace="0"/>
        </w:sectPr>
      </w:pPr>
    </w:p>
    <w:p>
      <w:pPr>
        <w:pStyle w:val="2"/>
        <w:rPr>
          <w:rFonts w:cs="Times New Roman" w:eastAsiaTheme="minorEastAsia"/>
        </w:rPr>
      </w:pPr>
      <w:bookmarkStart w:id="792" w:name="_Toc12288"/>
      <w:bookmarkStart w:id="793" w:name="_Toc17787"/>
      <w:bookmarkStart w:id="794" w:name="_Toc9982"/>
      <w:bookmarkStart w:id="795" w:name="_Toc26323"/>
      <w:bookmarkStart w:id="796" w:name="_Toc28542"/>
      <w:bookmarkStart w:id="797" w:name="_Toc7987"/>
      <w:r>
        <w:rPr>
          <w:rFonts w:cs="Times New Roman"/>
        </w:rPr>
        <w:fldChar w:fldCharType="begin"/>
      </w:r>
      <w:r>
        <w:rPr>
          <w:rFonts w:cs="Times New Roman"/>
        </w:rPr>
        <w:instrText xml:space="preserve"> HYPERLINK \l "_Toc30255" </w:instrText>
      </w:r>
      <w:r>
        <w:rPr>
          <w:rFonts w:cs="Times New Roman"/>
        </w:rPr>
        <w:fldChar w:fldCharType="separate"/>
      </w:r>
      <w:bookmarkStart w:id="798" w:name="_Toc60173318"/>
      <w:bookmarkStart w:id="799" w:name="_Toc60173845"/>
      <w:bookmarkStart w:id="800" w:name="_Toc33214153"/>
      <w:bookmarkStart w:id="801" w:name="_Toc60172958"/>
      <w:r>
        <w:rPr>
          <w:rFonts w:cs="Times New Roman" w:eastAsiaTheme="minorEastAsia"/>
        </w:rPr>
        <w:t>7  工作井施工</w:t>
      </w:r>
      <w:bookmarkEnd w:id="798"/>
      <w:bookmarkEnd w:id="799"/>
      <w:bookmarkEnd w:id="800"/>
      <w:bookmarkEnd w:id="801"/>
      <w:r>
        <w:rPr>
          <w:rFonts w:cs="Times New Roman" w:eastAsiaTheme="minorEastAsia"/>
        </w:rPr>
        <w:fldChar w:fldCharType="end"/>
      </w:r>
      <w:bookmarkEnd w:id="792"/>
      <w:bookmarkEnd w:id="793"/>
      <w:bookmarkEnd w:id="794"/>
      <w:bookmarkEnd w:id="795"/>
      <w:bookmarkEnd w:id="796"/>
      <w:bookmarkEnd w:id="797"/>
    </w:p>
    <w:p>
      <w:pPr>
        <w:pStyle w:val="3"/>
        <w:rPr>
          <w:rFonts w:eastAsia="黑体" w:cs="Times New Roman"/>
          <w:b w:val="0"/>
        </w:rPr>
      </w:pPr>
      <w:bookmarkStart w:id="802" w:name="_Toc12532"/>
      <w:bookmarkStart w:id="803" w:name="_Toc32619"/>
      <w:bookmarkStart w:id="804" w:name="_Toc9219"/>
      <w:bookmarkStart w:id="805" w:name="_Toc21480"/>
      <w:bookmarkStart w:id="806" w:name="_Toc60173319"/>
      <w:bookmarkStart w:id="807" w:name="_Toc33214154"/>
      <w:bookmarkStart w:id="808" w:name="_Toc60172959"/>
      <w:bookmarkStart w:id="809" w:name="_Toc31280"/>
      <w:bookmarkStart w:id="810" w:name="_Toc60173846"/>
      <w:bookmarkStart w:id="811" w:name="_Toc7353"/>
      <w:r>
        <w:rPr>
          <w:rFonts w:eastAsia="黑体" w:cs="Times New Roman"/>
        </w:rPr>
        <w:t>7.1</w:t>
      </w:r>
      <w:r>
        <w:rPr>
          <w:rFonts w:eastAsia="黑体" w:cs="Times New Roman"/>
          <w:b w:val="0"/>
        </w:rPr>
        <w:t xml:space="preserve">  一般规定</w:t>
      </w:r>
      <w:bookmarkEnd w:id="802"/>
      <w:bookmarkEnd w:id="803"/>
      <w:bookmarkEnd w:id="804"/>
      <w:bookmarkEnd w:id="805"/>
      <w:bookmarkEnd w:id="806"/>
      <w:bookmarkEnd w:id="807"/>
      <w:bookmarkEnd w:id="808"/>
      <w:bookmarkEnd w:id="809"/>
      <w:bookmarkEnd w:id="810"/>
      <w:bookmarkEnd w:id="811"/>
    </w:p>
    <w:p>
      <w:r>
        <w:rPr>
          <w:b/>
          <w:bCs/>
        </w:rPr>
        <w:t xml:space="preserve">7.1.1～7.1.4  </w:t>
      </w:r>
      <w:r>
        <w:t>工作井围护结构需要根据工程水文地质条件、邻近建筑物或构筑物、地下与地上管线情况，以及结构受力、施工安全等要求，经技术经济比较后确定。</w:t>
      </w:r>
    </w:p>
    <w:p>
      <w:pPr>
        <w:ind w:firstLine="480" w:firstLineChars="200"/>
      </w:pPr>
      <w:r>
        <w:t>不同围护结构形式下工作井的适用条件见表</w:t>
      </w:r>
      <w:r>
        <w:rPr>
          <w:rFonts w:hint="eastAsia"/>
        </w:rPr>
        <w:t>2</w:t>
      </w:r>
      <w:r>
        <w:t>。</w:t>
      </w:r>
    </w:p>
    <w:p>
      <w:pPr>
        <w:ind w:firstLine="422" w:firstLineChars="200"/>
        <w:jc w:val="center"/>
        <w:rPr>
          <w:b/>
          <w:bCs/>
          <w:sz w:val="21"/>
        </w:rPr>
      </w:pPr>
      <w:r>
        <w:rPr>
          <w:b/>
          <w:bCs/>
          <w:sz w:val="21"/>
        </w:rPr>
        <w:t>表</w:t>
      </w:r>
      <w:r>
        <w:rPr>
          <w:rFonts w:hint="eastAsia"/>
          <w:b/>
          <w:bCs/>
          <w:sz w:val="21"/>
        </w:rPr>
        <w:t>2</w:t>
      </w:r>
      <w:r>
        <w:rPr>
          <w:b/>
          <w:bCs/>
          <w:sz w:val="21"/>
        </w:rPr>
        <w:t xml:space="preserve">  不同围护结构形式下工作井的适用条件</w:t>
      </w:r>
    </w:p>
    <w:tbl>
      <w:tblPr>
        <w:tblStyle w:val="48"/>
        <w:tblW w:w="83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884"/>
        <w:gridCol w:w="1767"/>
        <w:gridCol w:w="1569"/>
        <w:gridCol w:w="1671"/>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6" w:type="dxa"/>
            <w:vAlign w:val="center"/>
          </w:tcPr>
          <w:p>
            <w:pPr>
              <w:spacing w:line="240" w:lineRule="auto"/>
              <w:jc w:val="center"/>
              <w:rPr>
                <w:rFonts w:eastAsiaTheme="minorEastAsia"/>
                <w:sz w:val="21"/>
              </w:rPr>
            </w:pPr>
            <w:r>
              <w:rPr>
                <w:sz w:val="21"/>
              </w:rPr>
              <w:t>工作井型式</w:t>
            </w:r>
          </w:p>
        </w:tc>
        <w:tc>
          <w:tcPr>
            <w:tcW w:w="884" w:type="dxa"/>
            <w:vAlign w:val="center"/>
          </w:tcPr>
          <w:p>
            <w:pPr>
              <w:spacing w:line="240" w:lineRule="auto"/>
              <w:jc w:val="center"/>
              <w:rPr>
                <w:sz w:val="21"/>
              </w:rPr>
            </w:pPr>
            <w:r>
              <w:rPr>
                <w:sz w:val="21"/>
              </w:rPr>
              <w:t>适用井深/m</w:t>
            </w:r>
          </w:p>
        </w:tc>
        <w:tc>
          <w:tcPr>
            <w:tcW w:w="1767" w:type="dxa"/>
            <w:vAlign w:val="center"/>
          </w:tcPr>
          <w:p>
            <w:pPr>
              <w:spacing w:line="240" w:lineRule="auto"/>
              <w:jc w:val="center"/>
              <w:rPr>
                <w:rFonts w:eastAsiaTheme="minorEastAsia"/>
                <w:sz w:val="21"/>
              </w:rPr>
            </w:pPr>
            <w:r>
              <w:rPr>
                <w:sz w:val="21"/>
              </w:rPr>
              <w:t>优点</w:t>
            </w:r>
          </w:p>
        </w:tc>
        <w:tc>
          <w:tcPr>
            <w:tcW w:w="1569" w:type="dxa"/>
            <w:vAlign w:val="center"/>
          </w:tcPr>
          <w:p>
            <w:pPr>
              <w:spacing w:line="240" w:lineRule="auto"/>
              <w:jc w:val="center"/>
              <w:rPr>
                <w:rFonts w:eastAsiaTheme="minorEastAsia"/>
                <w:sz w:val="21"/>
              </w:rPr>
            </w:pPr>
            <w:r>
              <w:rPr>
                <w:sz w:val="21"/>
              </w:rPr>
              <w:t>缺点</w:t>
            </w:r>
          </w:p>
        </w:tc>
        <w:tc>
          <w:tcPr>
            <w:tcW w:w="1671" w:type="dxa"/>
            <w:vAlign w:val="center"/>
          </w:tcPr>
          <w:p>
            <w:pPr>
              <w:spacing w:line="240" w:lineRule="auto"/>
              <w:jc w:val="center"/>
              <w:rPr>
                <w:rFonts w:eastAsiaTheme="minorEastAsia"/>
                <w:sz w:val="21"/>
              </w:rPr>
            </w:pPr>
            <w:r>
              <w:rPr>
                <w:sz w:val="21"/>
              </w:rPr>
              <w:t>适用条件</w:t>
            </w:r>
          </w:p>
        </w:tc>
        <w:tc>
          <w:tcPr>
            <w:tcW w:w="1661" w:type="dxa"/>
            <w:vAlign w:val="center"/>
          </w:tcPr>
          <w:p>
            <w:pPr>
              <w:spacing w:line="240" w:lineRule="auto"/>
              <w:jc w:val="center"/>
              <w:rPr>
                <w:rFonts w:eastAsiaTheme="minorEastAsia"/>
                <w:sz w:val="21"/>
              </w:rPr>
            </w:pPr>
            <w:r>
              <w:rPr>
                <w:sz w:val="21"/>
              </w:rPr>
              <w:t>制约因素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6" w:type="dxa"/>
            <w:vAlign w:val="center"/>
          </w:tcPr>
          <w:p>
            <w:pPr>
              <w:spacing w:line="240" w:lineRule="auto"/>
              <w:jc w:val="center"/>
              <w:rPr>
                <w:sz w:val="21"/>
              </w:rPr>
            </w:pPr>
            <w:r>
              <w:rPr>
                <w:sz w:val="21"/>
              </w:rPr>
              <w:t>型钢水泥土搅拌（桩）墙</w:t>
            </w:r>
          </w:p>
        </w:tc>
        <w:tc>
          <w:tcPr>
            <w:tcW w:w="884" w:type="dxa"/>
            <w:vAlign w:val="center"/>
          </w:tcPr>
          <w:p>
            <w:pPr>
              <w:spacing w:line="240" w:lineRule="auto"/>
              <w:jc w:val="center"/>
              <w:rPr>
                <w:sz w:val="21"/>
              </w:rPr>
            </w:pPr>
            <w:r>
              <w:rPr>
                <w:sz w:val="21"/>
              </w:rPr>
              <w:t>≤10</w:t>
            </w:r>
          </w:p>
        </w:tc>
        <w:tc>
          <w:tcPr>
            <w:tcW w:w="1767" w:type="dxa"/>
            <w:vAlign w:val="center"/>
          </w:tcPr>
          <w:p>
            <w:pPr>
              <w:spacing w:line="240" w:lineRule="auto"/>
              <w:jc w:val="center"/>
              <w:rPr>
                <w:sz w:val="21"/>
              </w:rPr>
            </w:pPr>
            <w:r>
              <w:rPr>
                <w:sz w:val="21"/>
              </w:rPr>
              <w:t>刚度较大、构造简单、施工简便、对周围环境影响小、造价和工期适中</w:t>
            </w:r>
          </w:p>
        </w:tc>
        <w:tc>
          <w:tcPr>
            <w:tcW w:w="1569" w:type="dxa"/>
            <w:vAlign w:val="center"/>
          </w:tcPr>
          <w:p>
            <w:pPr>
              <w:spacing w:line="240" w:lineRule="auto"/>
              <w:jc w:val="center"/>
              <w:rPr>
                <w:sz w:val="21"/>
              </w:rPr>
            </w:pPr>
            <w:r>
              <w:rPr>
                <w:sz w:val="21"/>
              </w:rPr>
              <w:t>需要专用大型设备和对施工场地要求高</w:t>
            </w:r>
          </w:p>
        </w:tc>
        <w:tc>
          <w:tcPr>
            <w:tcW w:w="1671" w:type="dxa"/>
            <w:vAlign w:val="center"/>
          </w:tcPr>
          <w:p>
            <w:pPr>
              <w:spacing w:line="240" w:lineRule="auto"/>
              <w:jc w:val="center"/>
              <w:rPr>
                <w:sz w:val="21"/>
              </w:rPr>
            </w:pPr>
            <w:r>
              <w:rPr>
                <w:sz w:val="21"/>
              </w:rPr>
              <w:t>适用于人工顶管和短距离机顶</w:t>
            </w:r>
          </w:p>
        </w:tc>
        <w:tc>
          <w:tcPr>
            <w:tcW w:w="1661" w:type="dxa"/>
            <w:vAlign w:val="center"/>
          </w:tcPr>
          <w:p>
            <w:pPr>
              <w:spacing w:line="240" w:lineRule="auto"/>
              <w:jc w:val="center"/>
              <w:rPr>
                <w:sz w:val="21"/>
              </w:rPr>
            </w:pPr>
            <w:r>
              <w:rPr>
                <w:sz w:val="21"/>
              </w:rPr>
              <w:t>需要专用施工机具和专业施工队伍，在较深工作井应用有限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6" w:type="dxa"/>
            <w:vAlign w:val="center"/>
          </w:tcPr>
          <w:p>
            <w:pPr>
              <w:spacing w:line="240" w:lineRule="auto"/>
              <w:jc w:val="center"/>
              <w:rPr>
                <w:rFonts w:eastAsiaTheme="minorEastAsia"/>
                <w:sz w:val="21"/>
              </w:rPr>
            </w:pPr>
            <w:r>
              <w:rPr>
                <w:sz w:val="21"/>
              </w:rPr>
              <w:t>沉井</w:t>
            </w:r>
          </w:p>
        </w:tc>
        <w:tc>
          <w:tcPr>
            <w:tcW w:w="884" w:type="dxa"/>
            <w:vAlign w:val="center"/>
          </w:tcPr>
          <w:p>
            <w:pPr>
              <w:spacing w:line="240" w:lineRule="auto"/>
              <w:jc w:val="center"/>
              <w:rPr>
                <w:sz w:val="21"/>
              </w:rPr>
            </w:pPr>
            <w:r>
              <w:rPr>
                <w:sz w:val="21"/>
              </w:rPr>
              <w:t>≤15</w:t>
            </w:r>
          </w:p>
        </w:tc>
        <w:tc>
          <w:tcPr>
            <w:tcW w:w="1767" w:type="dxa"/>
            <w:vAlign w:val="center"/>
          </w:tcPr>
          <w:p>
            <w:pPr>
              <w:spacing w:line="240" w:lineRule="auto"/>
              <w:jc w:val="center"/>
              <w:rPr>
                <w:sz w:val="21"/>
              </w:rPr>
            </w:pPr>
            <w:r>
              <w:rPr>
                <w:sz w:val="21"/>
              </w:rPr>
              <w:t>井壁刚度和强度大，安全系数大；开挖深度大；地质条件不确定因素影响小。</w:t>
            </w:r>
          </w:p>
        </w:tc>
        <w:tc>
          <w:tcPr>
            <w:tcW w:w="1569" w:type="dxa"/>
            <w:vAlign w:val="center"/>
          </w:tcPr>
          <w:p>
            <w:pPr>
              <w:spacing w:line="240" w:lineRule="auto"/>
              <w:jc w:val="center"/>
              <w:rPr>
                <w:sz w:val="21"/>
              </w:rPr>
            </w:pPr>
            <w:r>
              <w:rPr>
                <w:sz w:val="21"/>
              </w:rPr>
              <w:t>工程造价高，工期较长；对周围建筑物或构筑物影响较大。</w:t>
            </w:r>
          </w:p>
        </w:tc>
        <w:tc>
          <w:tcPr>
            <w:tcW w:w="1671" w:type="dxa"/>
            <w:vAlign w:val="center"/>
          </w:tcPr>
          <w:p>
            <w:pPr>
              <w:spacing w:line="240" w:lineRule="auto"/>
              <w:jc w:val="center"/>
              <w:rPr>
                <w:sz w:val="21"/>
              </w:rPr>
            </w:pPr>
            <w:r>
              <w:rPr>
                <w:sz w:val="21"/>
              </w:rPr>
              <w:t>适用于埋置深度较深、顶力较大，松散土层或饱和土层内，有流砂且地下水又比较丰富；周边建筑物或构筑物少的机械顶管。</w:t>
            </w:r>
          </w:p>
        </w:tc>
        <w:tc>
          <w:tcPr>
            <w:tcW w:w="1661" w:type="dxa"/>
            <w:vAlign w:val="center"/>
          </w:tcPr>
          <w:p>
            <w:pPr>
              <w:spacing w:line="240" w:lineRule="auto"/>
              <w:jc w:val="center"/>
              <w:rPr>
                <w:sz w:val="21"/>
              </w:rPr>
            </w:pPr>
            <w:r>
              <w:rPr>
                <w:sz w:val="21"/>
              </w:rPr>
              <w:t>在土质坚硬密实或含有漂石、岩层和地下管线的地区施工困难；常需要特殊大型挖掘设备。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6" w:type="dxa"/>
            <w:vAlign w:val="center"/>
          </w:tcPr>
          <w:p>
            <w:pPr>
              <w:spacing w:line="240" w:lineRule="auto"/>
              <w:jc w:val="center"/>
              <w:rPr>
                <w:sz w:val="21"/>
              </w:rPr>
            </w:pPr>
            <w:r>
              <w:rPr>
                <w:sz w:val="21"/>
              </w:rPr>
              <w:t>灌注桩</w:t>
            </w:r>
            <w:r>
              <w:rPr>
                <w:rFonts w:hint="eastAsia"/>
                <w:sz w:val="21"/>
              </w:rPr>
              <w:t>（</w:t>
            </w:r>
            <w:r>
              <w:rPr>
                <w:sz w:val="21"/>
              </w:rPr>
              <w:t>排桩</w:t>
            </w:r>
            <w:r>
              <w:rPr>
                <w:rFonts w:hint="eastAsia"/>
                <w:sz w:val="21"/>
              </w:rPr>
              <w:t>）</w:t>
            </w:r>
          </w:p>
        </w:tc>
        <w:tc>
          <w:tcPr>
            <w:tcW w:w="884" w:type="dxa"/>
            <w:vAlign w:val="center"/>
          </w:tcPr>
          <w:p>
            <w:pPr>
              <w:spacing w:line="240" w:lineRule="auto"/>
              <w:jc w:val="center"/>
              <w:rPr>
                <w:sz w:val="21"/>
              </w:rPr>
            </w:pPr>
            <w:r>
              <w:rPr>
                <w:sz w:val="21"/>
              </w:rPr>
              <w:t>≤15</w:t>
            </w:r>
          </w:p>
        </w:tc>
        <w:tc>
          <w:tcPr>
            <w:tcW w:w="1767" w:type="dxa"/>
            <w:vAlign w:val="center"/>
          </w:tcPr>
          <w:p>
            <w:pPr>
              <w:spacing w:line="240" w:lineRule="auto"/>
              <w:jc w:val="center"/>
              <w:rPr>
                <w:sz w:val="21"/>
              </w:rPr>
            </w:pPr>
            <w:r>
              <w:rPr>
                <w:sz w:val="21"/>
              </w:rPr>
              <w:t>施工时无振动、无噪音等环境公害，无挤土现象，对周围环境影响小；墙身强度高，刚度大，支护稳定性好，变形小</w:t>
            </w:r>
          </w:p>
        </w:tc>
        <w:tc>
          <w:tcPr>
            <w:tcW w:w="1569" w:type="dxa"/>
            <w:vAlign w:val="center"/>
          </w:tcPr>
          <w:p>
            <w:pPr>
              <w:spacing w:line="240" w:lineRule="auto"/>
              <w:jc w:val="center"/>
              <w:rPr>
                <w:sz w:val="21"/>
              </w:rPr>
            </w:pPr>
            <w:r>
              <w:rPr>
                <w:sz w:val="21"/>
              </w:rPr>
              <w:t>需根据工程条件采取措施解决挡水问题，需通过冠梁和围檩解决整体性差的问题。</w:t>
            </w:r>
          </w:p>
        </w:tc>
        <w:tc>
          <w:tcPr>
            <w:tcW w:w="1671" w:type="dxa"/>
            <w:vAlign w:val="center"/>
          </w:tcPr>
          <w:p>
            <w:pPr>
              <w:spacing w:line="240" w:lineRule="auto"/>
              <w:jc w:val="center"/>
              <w:rPr>
                <w:sz w:val="21"/>
              </w:rPr>
            </w:pPr>
            <w:r>
              <w:rPr>
                <w:sz w:val="21"/>
              </w:rPr>
              <w:t>适用于靠近地下管线、建构、筑物，地质条件较差的软土和砂土地区，但由于工程造价较高，工期较长，应用时需要特别慎重</w:t>
            </w:r>
          </w:p>
        </w:tc>
        <w:tc>
          <w:tcPr>
            <w:tcW w:w="1661" w:type="dxa"/>
            <w:vAlign w:val="center"/>
          </w:tcPr>
          <w:p>
            <w:pPr>
              <w:spacing w:line="240" w:lineRule="auto"/>
              <w:jc w:val="center"/>
              <w:rPr>
                <w:sz w:val="21"/>
              </w:rPr>
            </w:pPr>
            <w:r>
              <w:rPr>
                <w:sz w:val="21"/>
              </w:rPr>
              <w:t>需要专用施工机具和专业施工队伍，造价昂贵，占用场地大，砂土地区慎用。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6" w:type="dxa"/>
            <w:vAlign w:val="center"/>
          </w:tcPr>
          <w:p>
            <w:pPr>
              <w:spacing w:line="240" w:lineRule="auto"/>
              <w:jc w:val="center"/>
              <w:rPr>
                <w:sz w:val="21"/>
              </w:rPr>
            </w:pPr>
            <w:r>
              <w:rPr>
                <w:rFonts w:hint="eastAsia"/>
                <w:sz w:val="21"/>
              </w:rPr>
              <w:t>咬合桩</w:t>
            </w:r>
          </w:p>
        </w:tc>
        <w:tc>
          <w:tcPr>
            <w:tcW w:w="884" w:type="dxa"/>
            <w:vAlign w:val="center"/>
          </w:tcPr>
          <w:p>
            <w:pPr>
              <w:spacing w:line="240" w:lineRule="auto"/>
              <w:jc w:val="center"/>
              <w:rPr>
                <w:sz w:val="21"/>
              </w:rPr>
            </w:pPr>
            <w:r>
              <w:rPr>
                <w:sz w:val="21"/>
              </w:rPr>
              <w:t>≤15</w:t>
            </w:r>
          </w:p>
        </w:tc>
        <w:tc>
          <w:tcPr>
            <w:tcW w:w="1767" w:type="dxa"/>
            <w:vAlign w:val="center"/>
          </w:tcPr>
          <w:p>
            <w:pPr>
              <w:spacing w:line="240" w:lineRule="auto"/>
              <w:jc w:val="center"/>
              <w:rPr>
                <w:sz w:val="21"/>
              </w:rPr>
            </w:pPr>
            <w:r>
              <w:rPr>
                <w:rFonts w:hint="eastAsia"/>
                <w:sz w:val="21"/>
              </w:rPr>
              <w:t>施工较为安全、快捷；对沉降及变形容易控制；桩间紧密咬合，整体防水效果好；施工噪音低、无震动、无泥浆污染</w:t>
            </w:r>
          </w:p>
        </w:tc>
        <w:tc>
          <w:tcPr>
            <w:tcW w:w="1569" w:type="dxa"/>
            <w:vAlign w:val="center"/>
          </w:tcPr>
          <w:p>
            <w:pPr>
              <w:spacing w:line="240" w:lineRule="auto"/>
              <w:jc w:val="center"/>
              <w:rPr>
                <w:sz w:val="21"/>
              </w:rPr>
            </w:pPr>
            <w:r>
              <w:rPr>
                <w:rFonts w:hint="eastAsia"/>
                <w:sz w:val="21"/>
              </w:rPr>
              <w:t>桩径受限制，不宜用于软土地区，施工工期长，造价偏高</w:t>
            </w:r>
          </w:p>
        </w:tc>
        <w:tc>
          <w:tcPr>
            <w:tcW w:w="1671" w:type="dxa"/>
            <w:vAlign w:val="center"/>
          </w:tcPr>
          <w:p>
            <w:pPr>
              <w:spacing w:line="240" w:lineRule="auto"/>
              <w:jc w:val="center"/>
              <w:rPr>
                <w:sz w:val="21"/>
              </w:rPr>
            </w:pPr>
            <w:r>
              <w:rPr>
                <w:rFonts w:hint="eastAsia"/>
                <w:sz w:val="21"/>
              </w:rPr>
              <w:t>适用于除岩层以外的土质地层，但在孤石、泥岩层或在软岩地层中成孔时效率会显著降低，对于含大于套管内径1/3的填石不均匀地层慎用</w:t>
            </w:r>
          </w:p>
        </w:tc>
        <w:tc>
          <w:tcPr>
            <w:tcW w:w="1661" w:type="dxa"/>
            <w:vAlign w:val="center"/>
          </w:tcPr>
          <w:p>
            <w:pPr>
              <w:spacing w:line="240" w:lineRule="auto"/>
              <w:jc w:val="center"/>
              <w:rPr>
                <w:sz w:val="21"/>
              </w:rPr>
            </w:pPr>
            <w:r>
              <w:rPr>
                <w:rFonts w:hint="eastAsia"/>
                <w:sz w:val="21"/>
              </w:rPr>
              <w:t>机械设备体积较大，狭窄场地施展不开；工地边界到边桩中心的距离也要求较大；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6" w:type="dxa"/>
            <w:vAlign w:val="center"/>
          </w:tcPr>
          <w:p>
            <w:pPr>
              <w:spacing w:line="240" w:lineRule="auto"/>
              <w:jc w:val="center"/>
              <w:rPr>
                <w:sz w:val="21"/>
              </w:rPr>
            </w:pPr>
            <w:r>
              <w:rPr>
                <w:sz w:val="21"/>
              </w:rPr>
              <w:t>钢板桩围护</w:t>
            </w:r>
          </w:p>
        </w:tc>
        <w:tc>
          <w:tcPr>
            <w:tcW w:w="884" w:type="dxa"/>
            <w:vAlign w:val="center"/>
          </w:tcPr>
          <w:p>
            <w:pPr>
              <w:spacing w:line="240" w:lineRule="auto"/>
              <w:jc w:val="center"/>
              <w:rPr>
                <w:sz w:val="21"/>
              </w:rPr>
            </w:pPr>
            <w:r>
              <w:rPr>
                <w:sz w:val="21"/>
              </w:rPr>
              <w:t>≤8</w:t>
            </w:r>
          </w:p>
        </w:tc>
        <w:tc>
          <w:tcPr>
            <w:tcW w:w="1767" w:type="dxa"/>
            <w:vAlign w:val="center"/>
          </w:tcPr>
          <w:p>
            <w:pPr>
              <w:spacing w:line="240" w:lineRule="auto"/>
              <w:jc w:val="center"/>
              <w:rPr>
                <w:sz w:val="21"/>
              </w:rPr>
            </w:pPr>
            <w:r>
              <w:rPr>
                <w:sz w:val="21"/>
              </w:rPr>
              <w:t>施工简单，施工速度快，造价低</w:t>
            </w:r>
          </w:p>
        </w:tc>
        <w:tc>
          <w:tcPr>
            <w:tcW w:w="1569" w:type="dxa"/>
            <w:vAlign w:val="center"/>
          </w:tcPr>
          <w:p>
            <w:pPr>
              <w:spacing w:line="240" w:lineRule="auto"/>
              <w:jc w:val="center"/>
              <w:rPr>
                <w:sz w:val="21"/>
              </w:rPr>
            </w:pPr>
            <w:r>
              <w:rPr>
                <w:sz w:val="21"/>
              </w:rPr>
              <w:t>刚度小，变形大，对周围 环境影响大，基坑止水比较困难（除拉森钢板桩外），安全系数低。</w:t>
            </w:r>
          </w:p>
        </w:tc>
        <w:tc>
          <w:tcPr>
            <w:tcW w:w="1671" w:type="dxa"/>
            <w:vAlign w:val="center"/>
          </w:tcPr>
          <w:p>
            <w:pPr>
              <w:spacing w:line="240" w:lineRule="auto"/>
              <w:jc w:val="center"/>
              <w:rPr>
                <w:sz w:val="21"/>
              </w:rPr>
            </w:pPr>
            <w:r>
              <w:rPr>
                <w:sz w:val="21"/>
              </w:rPr>
              <w:t>适用于埋置深度较浅，地下水位较低，顶力较小的普通顶管，拉森钢板桩法适用土质软且需止水防流砂情况。</w:t>
            </w:r>
          </w:p>
        </w:tc>
        <w:tc>
          <w:tcPr>
            <w:tcW w:w="1661" w:type="dxa"/>
            <w:vAlign w:val="center"/>
          </w:tcPr>
          <w:p>
            <w:pPr>
              <w:spacing w:line="240" w:lineRule="auto"/>
              <w:jc w:val="center"/>
              <w:rPr>
                <w:sz w:val="21"/>
              </w:rPr>
            </w:pPr>
            <w:r>
              <w:rPr>
                <w:sz w:val="21"/>
              </w:rPr>
              <w:t>需要专用施工机具和专业施工队伍，在土质坚硬密实或含有漂石、岩层和地下管线的地区施工困难；当土质为流砂与淤泥层，打拔钢板桩的过程中会扰动土层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46" w:type="dxa"/>
            <w:vAlign w:val="center"/>
          </w:tcPr>
          <w:p>
            <w:pPr>
              <w:spacing w:line="240" w:lineRule="auto"/>
              <w:jc w:val="center"/>
              <w:rPr>
                <w:rFonts w:eastAsiaTheme="minorEastAsia"/>
                <w:sz w:val="21"/>
              </w:rPr>
            </w:pPr>
            <w:r>
              <w:rPr>
                <w:sz w:val="21"/>
              </w:rPr>
              <w:t>地下连续墙</w:t>
            </w:r>
          </w:p>
        </w:tc>
        <w:tc>
          <w:tcPr>
            <w:tcW w:w="884" w:type="dxa"/>
            <w:vAlign w:val="center"/>
          </w:tcPr>
          <w:p>
            <w:pPr>
              <w:spacing w:line="240" w:lineRule="auto"/>
              <w:jc w:val="center"/>
              <w:rPr>
                <w:sz w:val="21"/>
              </w:rPr>
            </w:pPr>
            <w:r>
              <w:rPr>
                <w:sz w:val="21"/>
              </w:rPr>
              <w:t>≤25</w:t>
            </w:r>
          </w:p>
        </w:tc>
        <w:tc>
          <w:tcPr>
            <w:tcW w:w="1767" w:type="dxa"/>
            <w:vAlign w:val="center"/>
          </w:tcPr>
          <w:p>
            <w:pPr>
              <w:spacing w:line="240" w:lineRule="auto"/>
              <w:jc w:val="center"/>
              <w:rPr>
                <w:sz w:val="21"/>
              </w:rPr>
            </w:pPr>
            <w:r>
              <w:rPr>
                <w:sz w:val="21"/>
              </w:rPr>
              <w:t>墙身刚度和强度大，整体性好，防渗能力强，对周围环境影响小。</w:t>
            </w:r>
          </w:p>
        </w:tc>
        <w:tc>
          <w:tcPr>
            <w:tcW w:w="1569" w:type="dxa"/>
            <w:vAlign w:val="center"/>
          </w:tcPr>
          <w:p>
            <w:pPr>
              <w:spacing w:line="240" w:lineRule="auto"/>
              <w:jc w:val="center"/>
              <w:rPr>
                <w:sz w:val="21"/>
              </w:rPr>
            </w:pPr>
            <w:r>
              <w:rPr>
                <w:sz w:val="21"/>
              </w:rPr>
              <w:t>施工工艺复杂，施工工期长，有环境污染，造价昂贵，穿墙管设置比较困难。</w:t>
            </w:r>
          </w:p>
        </w:tc>
        <w:tc>
          <w:tcPr>
            <w:tcW w:w="1671" w:type="dxa"/>
            <w:vAlign w:val="center"/>
          </w:tcPr>
          <w:p>
            <w:pPr>
              <w:spacing w:line="240" w:lineRule="auto"/>
              <w:jc w:val="center"/>
              <w:rPr>
                <w:sz w:val="21"/>
              </w:rPr>
            </w:pPr>
            <w:r>
              <w:rPr>
                <w:sz w:val="21"/>
              </w:rPr>
              <w:t>适用于周边建筑物或构筑物较多、离房屋较近，且覆土比较深时；长距离或超长距离的顶管；沉井困难或者无法施工时。</w:t>
            </w:r>
          </w:p>
        </w:tc>
        <w:tc>
          <w:tcPr>
            <w:tcW w:w="1661" w:type="dxa"/>
            <w:vAlign w:val="center"/>
          </w:tcPr>
          <w:p>
            <w:pPr>
              <w:spacing w:line="240" w:lineRule="auto"/>
              <w:jc w:val="center"/>
              <w:rPr>
                <w:sz w:val="21"/>
              </w:rPr>
            </w:pPr>
            <w:r>
              <w:rPr>
                <w:sz w:val="21"/>
              </w:rPr>
              <w:t>需要专用施工机具和专业施工队伍，造价昂贵，占用场地大，砂土地区慎用。</w:t>
            </w:r>
          </w:p>
        </w:tc>
      </w:tr>
    </w:tbl>
    <w:p>
      <w:r>
        <w:rPr>
          <w:b/>
          <w:bCs/>
        </w:rPr>
        <w:t>7.1.5</w:t>
      </w:r>
      <w:r>
        <w:t xml:space="preserve">  本条对穿墙洞止水装置的设置进行了规定，所提及盘根止水穿墙管适用于透水层（包括砂土、粉土和砾石）、地下水压力大于0.08MPa以及穿墙管兼作释放管道温度应力伸缩结构的情况。橡胶止水穿墙管适用于渗透系数小的黏性土层以及地下水压力小于或等于0.08MPa的情况。</w:t>
      </w:r>
    </w:p>
    <w:p>
      <w:pPr>
        <w:ind w:firstLine="482" w:firstLineChars="200"/>
      </w:pPr>
      <w:r>
        <w:rPr>
          <w:b/>
        </w:rPr>
        <w:t>4</w:t>
      </w:r>
      <w:r>
        <w:t xml:space="preserve">  对于顶管结束后，永久性工作井上的橡胶止水穿墙管应改造成永久性柔性堵头。管道与穿墙管间隙封填材料可根据工作井围护结构的不同进行选用：a、沉井穿墙管可采用砖砌体或低强度水泥土；b、地下连续墙穿墙管可采用低强度水泥土或钢板。</w:t>
      </w:r>
    </w:p>
    <w:p/>
    <w:p>
      <w:pPr>
        <w:pStyle w:val="3"/>
        <w:rPr>
          <w:rFonts w:eastAsia="黑体" w:cs="Times New Roman"/>
          <w:b w:val="0"/>
        </w:rPr>
      </w:pPr>
      <w:bookmarkStart w:id="812" w:name="_Toc6305"/>
      <w:bookmarkStart w:id="813" w:name="_Toc60173847"/>
      <w:bookmarkStart w:id="814" w:name="_Toc60172960"/>
      <w:bookmarkStart w:id="815" w:name="_Toc28922"/>
      <w:bookmarkStart w:id="816" w:name="_Toc33214155"/>
      <w:bookmarkStart w:id="817" w:name="_Toc28447"/>
      <w:bookmarkStart w:id="818" w:name="_Toc10586"/>
      <w:bookmarkStart w:id="819" w:name="_Toc60173320"/>
      <w:bookmarkStart w:id="820" w:name="_Toc18540"/>
      <w:bookmarkStart w:id="821" w:name="_Toc7600"/>
      <w:r>
        <w:rPr>
          <w:rFonts w:eastAsia="黑体" w:cs="Times New Roman"/>
        </w:rPr>
        <w:t>7.2</w:t>
      </w:r>
      <w:r>
        <w:rPr>
          <w:rFonts w:eastAsia="黑体" w:cs="Times New Roman"/>
          <w:b w:val="0"/>
        </w:rPr>
        <w:t xml:space="preserve">  土体加固</w:t>
      </w:r>
      <w:bookmarkEnd w:id="812"/>
      <w:bookmarkEnd w:id="813"/>
      <w:bookmarkEnd w:id="814"/>
      <w:bookmarkEnd w:id="815"/>
      <w:bookmarkEnd w:id="816"/>
      <w:bookmarkEnd w:id="817"/>
      <w:bookmarkEnd w:id="818"/>
      <w:bookmarkEnd w:id="819"/>
      <w:bookmarkEnd w:id="820"/>
      <w:bookmarkEnd w:id="821"/>
    </w:p>
    <w:p>
      <w:r>
        <w:rPr>
          <w:b/>
          <w:bCs/>
        </w:rPr>
        <w:t>7.2.1</w:t>
      </w:r>
      <w:r>
        <w:t xml:space="preserve">  顶管洞口加固需要综合考虑地质条件、工程水文条件、周边环境以及工程造价等，选用不同的加固方式。</w:t>
      </w:r>
    </w:p>
    <w:p>
      <w:r>
        <w:rPr>
          <w:b/>
          <w:bCs/>
        </w:rPr>
        <w:t>7.2.2</w:t>
      </w:r>
      <w:r>
        <w:t xml:space="preserve">  洞口土体采取加固措施的主要目的是：</w:t>
      </w:r>
      <w:r>
        <w:rPr>
          <w:rFonts w:hint="eastAsia" w:ascii="宋体" w:hAnsi="宋体" w:cs="宋体"/>
        </w:rPr>
        <w:t>①</w:t>
      </w:r>
      <w:r>
        <w:t>确保开洞门时土体具有一定的强度，防止土体坍塌涌入井内；</w:t>
      </w:r>
      <w:r>
        <w:rPr>
          <w:rFonts w:hint="eastAsia" w:ascii="宋体" w:hAnsi="宋体" w:cs="宋体"/>
        </w:rPr>
        <w:t>②</w:t>
      </w:r>
      <w:r>
        <w:t>确保开洞门时土体具有一定的抗渗透性，防止地下水通过土体涌入井内；所以在顶管穿墙前应确保洞口土体加固的有效性。</w:t>
      </w:r>
    </w:p>
    <w:p>
      <w:r>
        <w:t>洞口土体加固可参照现行行业标准《高压喷射注浆施工技术规范》HG/T 20691、《注浆技术规程》YS/T 5211、《建筑工程水泥-水玻璃双液注浆技术规程》JGJ/T 211、《建筑地基工程施工质量验收标准》GB 50202等确定检测方法。</w:t>
      </w:r>
    </w:p>
    <w:p>
      <w:pPr>
        <w:ind w:firstLine="480" w:firstLineChars="200"/>
      </w:pPr>
    </w:p>
    <w:p>
      <w:pPr>
        <w:ind w:firstLine="480" w:firstLineChars="200"/>
        <w:sectPr>
          <w:pgSz w:w="11850" w:h="16783"/>
          <w:pgMar w:top="1440" w:right="1800" w:bottom="1440" w:left="1800" w:header="720" w:footer="720" w:gutter="0"/>
          <w:cols w:space="720" w:num="1"/>
          <w:docGrid w:linePitch="360" w:charSpace="0"/>
        </w:sectPr>
      </w:pPr>
    </w:p>
    <w:p>
      <w:pPr>
        <w:pStyle w:val="2"/>
        <w:rPr>
          <w:rFonts w:cs="Times New Roman"/>
        </w:rPr>
      </w:pPr>
      <w:bookmarkStart w:id="822" w:name="_Toc60172961"/>
      <w:bookmarkStart w:id="823" w:name="_Toc1142"/>
      <w:bookmarkStart w:id="824" w:name="_Toc23334"/>
      <w:bookmarkStart w:id="825" w:name="_Toc27238"/>
      <w:bookmarkStart w:id="826" w:name="_Toc33214156"/>
      <w:bookmarkStart w:id="827" w:name="_Toc17536"/>
      <w:bookmarkStart w:id="828" w:name="_Toc18470"/>
      <w:bookmarkStart w:id="829" w:name="_Toc9230"/>
      <w:bookmarkStart w:id="830" w:name="_Toc60173848"/>
      <w:bookmarkStart w:id="831" w:name="_Toc60173321"/>
      <w:r>
        <w:rPr>
          <w:rFonts w:cs="Times New Roman"/>
        </w:rPr>
        <w:t>8  顶管设备及安装</w:t>
      </w:r>
      <w:bookmarkEnd w:id="822"/>
      <w:bookmarkEnd w:id="823"/>
      <w:bookmarkEnd w:id="824"/>
      <w:bookmarkEnd w:id="825"/>
      <w:bookmarkEnd w:id="826"/>
      <w:bookmarkEnd w:id="827"/>
      <w:bookmarkEnd w:id="828"/>
      <w:bookmarkEnd w:id="829"/>
      <w:bookmarkEnd w:id="830"/>
      <w:bookmarkEnd w:id="831"/>
    </w:p>
    <w:p>
      <w:pPr>
        <w:pStyle w:val="3"/>
        <w:rPr>
          <w:rFonts w:eastAsia="黑体" w:cs="Times New Roman"/>
          <w:b w:val="0"/>
        </w:rPr>
      </w:pPr>
      <w:bookmarkStart w:id="832" w:name="_Toc60173849"/>
      <w:bookmarkStart w:id="833" w:name="_Toc16937"/>
      <w:bookmarkStart w:id="834" w:name="_Toc60173322"/>
      <w:bookmarkStart w:id="835" w:name="_Toc32634"/>
      <w:bookmarkStart w:id="836" w:name="_Toc20343"/>
      <w:bookmarkStart w:id="837" w:name="_Toc14164"/>
      <w:bookmarkStart w:id="838" w:name="_Toc20473"/>
      <w:bookmarkStart w:id="839" w:name="_Toc60172962"/>
      <w:bookmarkStart w:id="840" w:name="_Toc23578"/>
      <w:bookmarkStart w:id="841" w:name="_Toc33214157"/>
      <w:r>
        <w:rPr>
          <w:rFonts w:eastAsia="黑体" w:cs="Times New Roman"/>
        </w:rPr>
        <w:t>8.2</w:t>
      </w:r>
      <w:r>
        <w:rPr>
          <w:rFonts w:eastAsia="黑体" w:cs="Times New Roman"/>
          <w:b w:val="0"/>
        </w:rPr>
        <w:t xml:space="preserve">  矩形顶管机设计与选型</w:t>
      </w:r>
      <w:bookmarkEnd w:id="832"/>
      <w:bookmarkEnd w:id="833"/>
      <w:bookmarkEnd w:id="834"/>
      <w:bookmarkEnd w:id="835"/>
      <w:bookmarkEnd w:id="836"/>
      <w:bookmarkEnd w:id="837"/>
      <w:bookmarkEnd w:id="838"/>
      <w:bookmarkEnd w:id="839"/>
      <w:bookmarkEnd w:id="840"/>
      <w:bookmarkEnd w:id="841"/>
    </w:p>
    <w:p>
      <w:r>
        <w:rPr>
          <w:b/>
          <w:bCs/>
        </w:rPr>
        <w:t>8.2.1</w:t>
      </w:r>
      <w:r>
        <w:t xml:space="preserve">  本条对矩形顶管机设计作出了规定。</w:t>
      </w:r>
    </w:p>
    <w:p>
      <w:pPr>
        <w:ind w:firstLine="482" w:firstLineChars="200"/>
      </w:pPr>
      <w:r>
        <w:rPr>
          <w:b/>
        </w:rPr>
        <w:t>2</w:t>
      </w:r>
      <w:r>
        <w:t xml:space="preserve">  对矩形顶管机工作环境的规定中，若采取加热、降温、除湿等辅助措施，适应的环境范围可适当放宽。</w:t>
      </w:r>
    </w:p>
    <w:p>
      <w:r>
        <w:rPr>
          <w:rFonts w:eastAsia="仿宋"/>
          <w:b/>
          <w:bCs/>
        </w:rPr>
        <w:t>8.2.2</w:t>
      </w:r>
      <w:r>
        <w:rPr>
          <w:rFonts w:eastAsia="仿宋"/>
        </w:rPr>
        <w:t xml:space="preserve">  </w:t>
      </w:r>
      <w:r>
        <w:t>本规程所规定的矩形顶管机类型主要包括矩形土压平衡顶管机（图1）和矩形泥水平衡顶管机（图2），具体选型可通过专家会确定。</w:t>
      </w:r>
    </w:p>
    <w:p>
      <w:pPr>
        <w:pStyle w:val="89"/>
        <w:ind w:firstLine="0" w:firstLineChars="0"/>
        <w:jc w:val="center"/>
        <w:rPr>
          <w:rFonts w:ascii="Times New Roman"/>
        </w:rPr>
      </w:pPr>
      <w:r>
        <w:rPr>
          <w:rFonts w:ascii="Times New Roman"/>
        </w:rPr>
        <w:drawing>
          <wp:inline distT="0" distB="0" distL="0" distR="0">
            <wp:extent cx="5547360" cy="18453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a:xfrm>
                      <a:off x="0" y="0"/>
                      <a:ext cx="5547360" cy="1845310"/>
                    </a:xfrm>
                    <a:prstGeom prst="rect">
                      <a:avLst/>
                    </a:prstGeom>
                    <a:noFill/>
                    <a:ln>
                      <a:noFill/>
                    </a:ln>
                  </pic:spPr>
                </pic:pic>
              </a:graphicData>
            </a:graphic>
          </wp:inline>
        </w:drawing>
      </w:r>
    </w:p>
    <w:p>
      <w:pPr>
        <w:spacing w:before="120" w:beforeLines="50"/>
        <w:jc w:val="center"/>
        <w:rPr>
          <w:b/>
          <w:sz w:val="21"/>
          <w:szCs w:val="18"/>
        </w:rPr>
      </w:pPr>
      <w:r>
        <w:rPr>
          <w:b/>
          <w:sz w:val="21"/>
          <w:szCs w:val="18"/>
        </w:rPr>
        <w:t>图1  矩形土压平衡顶管机结构示意图</w:t>
      </w:r>
    </w:p>
    <w:p>
      <w:pPr>
        <w:widowControl/>
        <w:tabs>
          <w:tab w:val="left" w:pos="4350"/>
          <w:tab w:val="left" w:pos="12180"/>
        </w:tabs>
        <w:autoSpaceDE w:val="0"/>
        <w:autoSpaceDN w:val="0"/>
        <w:jc w:val="center"/>
        <w:rPr>
          <w:kern w:val="0"/>
          <w:sz w:val="18"/>
          <w:szCs w:val="18"/>
        </w:rPr>
      </w:pPr>
      <w:r>
        <w:rPr>
          <w:kern w:val="0"/>
          <w:sz w:val="18"/>
          <w:szCs w:val="18"/>
        </w:rPr>
        <w:t>1 —开挖系统；2 —盾体；3 —主驱动单元； 4 —纠偏系统；5 —脱离装置；</w:t>
      </w:r>
    </w:p>
    <w:p>
      <w:pPr>
        <w:widowControl/>
        <w:tabs>
          <w:tab w:val="left" w:pos="4350"/>
          <w:tab w:val="left" w:pos="12180"/>
        </w:tabs>
        <w:autoSpaceDE w:val="0"/>
        <w:autoSpaceDN w:val="0"/>
        <w:jc w:val="center"/>
        <w:rPr>
          <w:kern w:val="0"/>
          <w:sz w:val="18"/>
          <w:szCs w:val="18"/>
        </w:rPr>
      </w:pPr>
      <w:r>
        <w:rPr>
          <w:kern w:val="0"/>
          <w:sz w:val="18"/>
          <w:szCs w:val="18"/>
        </w:rPr>
        <w:t>6 —螺旋输送机；7 —管节；8 —中继间；9 —顶铁；10 —顶推装置；11 —后靠；</w:t>
      </w:r>
    </w:p>
    <w:p>
      <w:pPr>
        <w:widowControl/>
        <w:tabs>
          <w:tab w:val="left" w:pos="4350"/>
          <w:tab w:val="left" w:pos="12180"/>
        </w:tabs>
        <w:autoSpaceDE w:val="0"/>
        <w:autoSpaceDN w:val="0"/>
        <w:jc w:val="center"/>
        <w:rPr>
          <w:kern w:val="0"/>
          <w:sz w:val="18"/>
          <w:szCs w:val="18"/>
        </w:rPr>
      </w:pPr>
      <w:r>
        <w:rPr>
          <w:kern w:val="0"/>
          <w:sz w:val="18"/>
          <w:szCs w:val="18"/>
        </w:rPr>
        <w:t>12 —导向系统；13 —反力墙；14 —止退装置；15 —渣土输送系统。</w:t>
      </w:r>
    </w:p>
    <w:p>
      <w:pPr>
        <w:pStyle w:val="89"/>
        <w:tabs>
          <w:tab w:val="center" w:pos="4201"/>
          <w:tab w:val="right" w:leader="dot" w:pos="9298"/>
        </w:tabs>
        <w:ind w:firstLine="0" w:firstLineChars="0"/>
        <w:jc w:val="center"/>
        <w:rPr>
          <w:rFonts w:ascii="Times New Roman"/>
        </w:rPr>
      </w:pPr>
      <w:r>
        <w:rPr>
          <w:rFonts w:ascii="Times New Roman"/>
        </w:rPr>
        <w:drawing>
          <wp:inline distT="0" distB="0" distL="0" distR="0">
            <wp:extent cx="5521960" cy="1737360"/>
            <wp:effectExtent l="0" t="0" r="0"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a:xfrm>
                      <a:off x="0" y="0"/>
                      <a:ext cx="5521960" cy="1737360"/>
                    </a:xfrm>
                    <a:prstGeom prst="rect">
                      <a:avLst/>
                    </a:prstGeom>
                    <a:noFill/>
                    <a:ln>
                      <a:noFill/>
                    </a:ln>
                  </pic:spPr>
                </pic:pic>
              </a:graphicData>
            </a:graphic>
          </wp:inline>
        </w:drawing>
      </w:r>
    </w:p>
    <w:p>
      <w:pPr>
        <w:spacing w:before="120" w:beforeLines="50"/>
        <w:jc w:val="center"/>
        <w:rPr>
          <w:rFonts w:eastAsia="仿宋"/>
          <w:sz w:val="21"/>
          <w:szCs w:val="18"/>
        </w:rPr>
      </w:pPr>
      <w:r>
        <w:rPr>
          <w:b/>
          <w:sz w:val="21"/>
          <w:szCs w:val="18"/>
        </w:rPr>
        <w:t>图2  矩形泥水平衡顶管机结构示意图</w:t>
      </w:r>
    </w:p>
    <w:p>
      <w:pPr>
        <w:widowControl/>
        <w:tabs>
          <w:tab w:val="left" w:pos="6510"/>
          <w:tab w:val="left" w:pos="12180"/>
        </w:tabs>
        <w:autoSpaceDE w:val="0"/>
        <w:autoSpaceDN w:val="0"/>
        <w:jc w:val="center"/>
        <w:rPr>
          <w:kern w:val="0"/>
          <w:sz w:val="18"/>
          <w:szCs w:val="18"/>
        </w:rPr>
      </w:pPr>
      <w:r>
        <w:rPr>
          <w:kern w:val="0"/>
          <w:sz w:val="18"/>
          <w:szCs w:val="18"/>
        </w:rPr>
        <w:t>1 —开挖系统；2 —盾体；3 —主驱动单元；4 —纠偏系统；5 —脱离装置；</w:t>
      </w:r>
    </w:p>
    <w:p>
      <w:pPr>
        <w:widowControl/>
        <w:tabs>
          <w:tab w:val="left" w:pos="6510"/>
          <w:tab w:val="left" w:pos="12180"/>
        </w:tabs>
        <w:autoSpaceDE w:val="0"/>
        <w:autoSpaceDN w:val="0"/>
        <w:jc w:val="center"/>
        <w:rPr>
          <w:kern w:val="0"/>
          <w:sz w:val="18"/>
          <w:szCs w:val="18"/>
        </w:rPr>
      </w:pPr>
      <w:r>
        <w:rPr>
          <w:kern w:val="0"/>
          <w:sz w:val="18"/>
          <w:szCs w:val="18"/>
        </w:rPr>
        <w:t>6 —泥水循环系统；7 —管节；8 —中继间；9 —顶铁；10 —顶推装置；</w:t>
      </w:r>
    </w:p>
    <w:p>
      <w:pPr>
        <w:widowControl/>
        <w:tabs>
          <w:tab w:val="left" w:pos="6510"/>
          <w:tab w:val="left" w:pos="12180"/>
        </w:tabs>
        <w:autoSpaceDE w:val="0"/>
        <w:autoSpaceDN w:val="0"/>
        <w:jc w:val="center"/>
        <w:rPr>
          <w:kern w:val="0"/>
          <w:sz w:val="18"/>
          <w:szCs w:val="18"/>
        </w:rPr>
      </w:pPr>
      <w:r>
        <w:rPr>
          <w:kern w:val="0"/>
          <w:sz w:val="18"/>
          <w:szCs w:val="18"/>
        </w:rPr>
        <w:t>11 —后靠；12 —导向系统；13 —反力墙；14 —止退装置。</w:t>
      </w:r>
    </w:p>
    <w:p>
      <w:r>
        <w:rPr>
          <w:b/>
          <w:bCs/>
        </w:rPr>
        <w:t xml:space="preserve">8.2.5  </w:t>
      </w:r>
      <w:r>
        <w:t>本条对排渣系统选型与设计进行了规定。</w:t>
      </w:r>
    </w:p>
    <w:p>
      <w:pPr>
        <w:ind w:firstLine="482" w:firstLineChars="200"/>
      </w:pPr>
      <w:r>
        <w:rPr>
          <w:b/>
        </w:rPr>
        <w:t>2</w:t>
      </w:r>
      <w:r>
        <w:t xml:space="preserve">  矩形土压平衡顶管机螺旋输送机的选用需要考虑地质条件的影响，一般而言，软土地层选用有轴的输送机，砾石层视砾石粒径大小选用有轴式或带式的螺旋输送机。</w:t>
      </w:r>
    </w:p>
    <w:p>
      <w:r>
        <w:rPr>
          <w:b/>
          <w:bCs/>
        </w:rPr>
        <w:t>8.2.6</w:t>
      </w:r>
      <w:r>
        <w:t xml:space="preserve">  为了改善矩形断面土仓内渣土的流动性、塑性、止水性，提高压力平衡控制精度和排渣效率，矩形顶管机应设置渣土改良系统。</w:t>
      </w:r>
    </w:p>
    <w:p>
      <w:r>
        <w:rPr>
          <w:b/>
          <w:bCs/>
        </w:rPr>
        <w:t>8.2.7</w:t>
      </w:r>
      <w:r>
        <w:t xml:space="preserve">  带压进仓作业包括刀具更换、土仓异物处理等。</w:t>
      </w:r>
    </w:p>
    <w:p>
      <w:pPr>
        <w:pStyle w:val="3"/>
        <w:rPr>
          <w:rFonts w:eastAsia="黑体" w:cs="Times New Roman"/>
          <w:b w:val="0"/>
        </w:rPr>
      </w:pPr>
      <w:bookmarkStart w:id="842" w:name="_Toc5303"/>
      <w:bookmarkStart w:id="843" w:name="_Toc14503"/>
      <w:bookmarkStart w:id="844" w:name="_Toc13570"/>
      <w:bookmarkStart w:id="845" w:name="_Toc26850"/>
      <w:bookmarkStart w:id="846" w:name="_Toc6187"/>
      <w:bookmarkStart w:id="847" w:name="_Toc15239"/>
      <w:bookmarkStart w:id="848" w:name="_Toc60173850"/>
      <w:bookmarkStart w:id="849" w:name="_Toc60172963"/>
      <w:bookmarkStart w:id="850" w:name="_Toc60173323"/>
      <w:bookmarkStart w:id="851" w:name="_Toc33214158"/>
      <w:r>
        <w:rPr>
          <w:rFonts w:eastAsia="黑体" w:cs="Times New Roman"/>
        </w:rPr>
        <w:t>8.4</w:t>
      </w:r>
      <w:r>
        <w:rPr>
          <w:rFonts w:eastAsia="黑体" w:cs="Times New Roman"/>
          <w:b w:val="0"/>
        </w:rPr>
        <w:t xml:space="preserve">  导轨选择与安装</w:t>
      </w:r>
      <w:bookmarkEnd w:id="842"/>
      <w:bookmarkEnd w:id="843"/>
      <w:bookmarkEnd w:id="844"/>
      <w:bookmarkEnd w:id="845"/>
      <w:bookmarkEnd w:id="846"/>
      <w:bookmarkEnd w:id="847"/>
      <w:bookmarkEnd w:id="848"/>
      <w:bookmarkEnd w:id="849"/>
      <w:bookmarkEnd w:id="850"/>
      <w:bookmarkEnd w:id="851"/>
    </w:p>
    <w:p>
      <w:r>
        <w:rPr>
          <w:b/>
          <w:bCs/>
        </w:rPr>
        <w:t>8.4.1</w:t>
      </w:r>
      <w:r>
        <w:t xml:space="preserve">  始发导轨推荐采用整轨，以避免轨道接口不平，错台影响顶管机、管节正常顶进。</w:t>
      </w:r>
    </w:p>
    <w:p>
      <w:r>
        <w:rPr>
          <w:b/>
          <w:bCs/>
        </w:rPr>
        <w:t xml:space="preserve">8.4.2 </w:t>
      </w:r>
      <w:r>
        <w:t xml:space="preserve"> 轨道前端离始发洞口预留0.5m～0.7m流水槽，流水槽上方可不布置导轨。</w:t>
      </w:r>
    </w:p>
    <w:p>
      <w:r>
        <w:rPr>
          <w:b/>
          <w:bCs/>
        </w:rPr>
        <w:t>8.4.6</w:t>
      </w:r>
      <w:r>
        <w:t xml:space="preserve">  为防止顶管机进洞栽头，可在拟合线路始发的基础上整体抬高0～20mm进行始发。</w:t>
      </w:r>
    </w:p>
    <w:p>
      <w:pPr>
        <w:pStyle w:val="3"/>
        <w:rPr>
          <w:rFonts w:eastAsia="黑体" w:cs="Times New Roman"/>
          <w:b w:val="0"/>
        </w:rPr>
      </w:pPr>
      <w:bookmarkStart w:id="852" w:name="_Toc33214159"/>
      <w:bookmarkStart w:id="853" w:name="_Toc26081"/>
      <w:bookmarkStart w:id="854" w:name="_Toc15921"/>
      <w:bookmarkStart w:id="855" w:name="_Toc14925"/>
      <w:bookmarkStart w:id="856" w:name="_Toc60172964"/>
      <w:bookmarkStart w:id="857" w:name="_Toc11913"/>
      <w:bookmarkStart w:id="858" w:name="_Toc28242"/>
      <w:bookmarkStart w:id="859" w:name="_Toc60173324"/>
      <w:bookmarkStart w:id="860" w:name="_Toc14662"/>
      <w:bookmarkStart w:id="861" w:name="_Toc60173851"/>
      <w:r>
        <w:rPr>
          <w:rFonts w:eastAsia="黑体" w:cs="Times New Roman"/>
        </w:rPr>
        <w:t>8.5</w:t>
      </w:r>
      <w:r>
        <w:rPr>
          <w:rFonts w:eastAsia="黑体" w:cs="Times New Roman"/>
          <w:b w:val="0"/>
        </w:rPr>
        <w:t xml:space="preserve">  顶管机安装和调试</w:t>
      </w:r>
      <w:bookmarkEnd w:id="852"/>
      <w:bookmarkEnd w:id="853"/>
      <w:bookmarkEnd w:id="854"/>
      <w:bookmarkEnd w:id="855"/>
      <w:bookmarkEnd w:id="856"/>
      <w:bookmarkEnd w:id="857"/>
      <w:bookmarkEnd w:id="858"/>
      <w:bookmarkEnd w:id="859"/>
      <w:bookmarkEnd w:id="860"/>
      <w:bookmarkEnd w:id="861"/>
    </w:p>
    <w:p>
      <w:r>
        <w:rPr>
          <w:b/>
          <w:bCs/>
        </w:rPr>
        <w:t>8.5.5</w:t>
      </w:r>
      <w:r>
        <w:t xml:space="preserve">  设置限位装置的目的是在顶管机吊放至导轨时、以及矩形顶管机向前移动进入土体之前保证始发左右精度。</w:t>
      </w:r>
    </w:p>
    <w:p>
      <w:r>
        <w:rPr>
          <w:b/>
          <w:bCs/>
        </w:rPr>
        <w:t xml:space="preserve">8.5.7  </w:t>
      </w:r>
      <w:r>
        <w:t>本条规定顶管机主机组装工作遵循由前向后、先下后上、先机械后液压电气考虑以下几点原则：</w:t>
      </w:r>
    </w:p>
    <w:p>
      <w:pPr>
        <w:ind w:firstLine="482" w:firstLineChars="200"/>
      </w:pPr>
      <w:r>
        <w:rPr>
          <w:b/>
          <w:bCs/>
        </w:rPr>
        <w:t xml:space="preserve">1  </w:t>
      </w:r>
      <w:r>
        <w:t>组装过程中严禁踩踏扳动传感器、仪表、电磁阀、液压缸等易损部件。</w:t>
      </w:r>
    </w:p>
    <w:p>
      <w:pPr>
        <w:ind w:firstLine="482" w:firstLineChars="200"/>
      </w:pPr>
      <w:r>
        <w:rPr>
          <w:b/>
          <w:bCs/>
        </w:rPr>
        <w:t xml:space="preserve">2  </w:t>
      </w:r>
      <w:r>
        <w:t>常规矩形顶管机主机一般组装步骤为：</w:t>
      </w:r>
    </w:p>
    <w:p>
      <w:pPr>
        <w:ind w:firstLine="480" w:firstLineChars="200"/>
      </w:pPr>
      <w:r>
        <w:t>前盾总成→安装刀盘→尾盾总成→铰接密封→前盾与尾盾合拢→前盾通过纠偏液压缸与尾盾连接→安装螺旋输送机</w:t>
      </w:r>
    </w:p>
    <w:p>
      <w:pPr>
        <w:ind w:firstLine="482" w:firstLineChars="200"/>
      </w:pPr>
      <w:r>
        <w:rPr>
          <w:b/>
          <w:bCs/>
        </w:rPr>
        <w:t xml:space="preserve">3  </w:t>
      </w:r>
      <w:r>
        <w:t>采用多刀盘的矩形顶管机开挖系统安装：按先后再前、先下再上、先中间再两边的顺序安装刀盘。</w:t>
      </w:r>
    </w:p>
    <w:p>
      <w:pPr>
        <w:ind w:firstLine="482" w:firstLineChars="200"/>
      </w:pPr>
      <w:r>
        <w:rPr>
          <w:b/>
          <w:bCs/>
        </w:rPr>
        <w:t xml:space="preserve">4  </w:t>
      </w:r>
      <w:r>
        <w:t>液压管线的连接应保证清洁，禁止使用棉纱等易脱落线头的物品擦拭。</w:t>
      </w:r>
    </w:p>
    <w:p>
      <w:pPr>
        <w:ind w:firstLine="482" w:firstLineChars="200"/>
      </w:pPr>
      <w:r>
        <w:rPr>
          <w:b/>
          <w:bCs/>
        </w:rPr>
        <w:t xml:space="preserve">5  </w:t>
      </w:r>
      <w:r>
        <w:t>液压油箱加油前需检查是否清洁，并对加油口进行必要的清洁，同时要在指定的加油口加油。</w:t>
      </w:r>
    </w:p>
    <w:p>
      <w:pPr>
        <w:ind w:firstLine="482" w:firstLineChars="200"/>
      </w:pPr>
      <w:r>
        <w:rPr>
          <w:b/>
          <w:bCs/>
        </w:rPr>
        <w:t xml:space="preserve">6  </w:t>
      </w:r>
      <w:r>
        <w:t>将顶管机主机结构和电路、油路、水路、气路、泥浆管路、控制系统等进行逐一连接，要求各部件安装正确、连接牢固、不得渗漏，要求安装后对各分系统进行认真检查和试运行，达到按照设计参数正常运转的状态。</w:t>
      </w:r>
    </w:p>
    <w:p>
      <w:pPr>
        <w:pStyle w:val="3"/>
        <w:rPr>
          <w:rFonts w:eastAsia="黑体" w:cs="Times New Roman"/>
          <w:b w:val="0"/>
        </w:rPr>
      </w:pPr>
      <w:bookmarkStart w:id="862" w:name="_Toc6901"/>
      <w:bookmarkStart w:id="863" w:name="_Toc60173325"/>
      <w:bookmarkStart w:id="864" w:name="_Toc60173852"/>
      <w:bookmarkStart w:id="865" w:name="_Toc60172965"/>
      <w:r>
        <w:rPr>
          <w:rFonts w:eastAsia="黑体" w:cs="Times New Roman"/>
        </w:rPr>
        <w:t>8.9</w:t>
      </w:r>
      <w:r>
        <w:rPr>
          <w:rFonts w:eastAsia="黑体" w:cs="Times New Roman"/>
          <w:b w:val="0"/>
        </w:rPr>
        <w:t xml:space="preserve">  顶管辅助施工与设备</w:t>
      </w:r>
      <w:bookmarkEnd w:id="862"/>
      <w:bookmarkEnd w:id="863"/>
      <w:bookmarkEnd w:id="864"/>
      <w:bookmarkEnd w:id="865"/>
    </w:p>
    <w:p>
      <w:r>
        <w:rPr>
          <w:rFonts w:hint="eastAsia"/>
          <w:b/>
          <w:bCs/>
        </w:rPr>
        <w:t>8.9.3</w:t>
      </w:r>
      <w:r>
        <w:rPr>
          <w:rFonts w:hint="eastAsia"/>
        </w:rPr>
        <w:t xml:space="preserve">  本条第1款的目的是用以调整垂直和水平的轴线偏差。</w:t>
      </w:r>
    </w:p>
    <w:p>
      <w:pPr>
        <w:ind w:firstLine="480" w:firstLineChars="200"/>
        <w:sectPr>
          <w:pgSz w:w="11850" w:h="16783"/>
          <w:pgMar w:top="1440" w:right="1644" w:bottom="1440" w:left="1800" w:header="720" w:footer="720" w:gutter="0"/>
          <w:cols w:space="720" w:num="1"/>
          <w:docGrid w:linePitch="360" w:charSpace="0"/>
        </w:sectPr>
      </w:pPr>
    </w:p>
    <w:p>
      <w:pPr>
        <w:pStyle w:val="2"/>
        <w:spacing w:before="0" w:after="0"/>
        <w:rPr>
          <w:rFonts w:cs="Times New Roman"/>
        </w:rPr>
      </w:pPr>
      <w:bookmarkStart w:id="866" w:name="_Toc60173326"/>
      <w:bookmarkStart w:id="867" w:name="_Toc29315"/>
      <w:bookmarkStart w:id="868" w:name="_Toc14672"/>
      <w:bookmarkStart w:id="869" w:name="_Toc60173853"/>
      <w:bookmarkStart w:id="870" w:name="_Toc20598"/>
      <w:bookmarkStart w:id="871" w:name="_Toc33214160"/>
      <w:bookmarkStart w:id="872" w:name="_Toc21545"/>
      <w:bookmarkStart w:id="873" w:name="_Toc60172966"/>
      <w:bookmarkStart w:id="874" w:name="_Toc29858"/>
      <w:bookmarkStart w:id="875" w:name="_Toc11717"/>
      <w:r>
        <w:rPr>
          <w:rFonts w:cs="Times New Roman"/>
        </w:rPr>
        <w:t>9  顶进施工</w:t>
      </w:r>
      <w:bookmarkEnd w:id="866"/>
      <w:bookmarkEnd w:id="867"/>
      <w:bookmarkEnd w:id="868"/>
      <w:bookmarkEnd w:id="869"/>
      <w:bookmarkEnd w:id="870"/>
      <w:bookmarkEnd w:id="871"/>
      <w:bookmarkEnd w:id="872"/>
      <w:bookmarkEnd w:id="873"/>
      <w:bookmarkEnd w:id="874"/>
      <w:bookmarkEnd w:id="875"/>
    </w:p>
    <w:p>
      <w:pPr>
        <w:pStyle w:val="3"/>
        <w:rPr>
          <w:rFonts w:eastAsia="黑体" w:cs="Times New Roman"/>
          <w:b w:val="0"/>
        </w:rPr>
      </w:pPr>
      <w:bookmarkStart w:id="876" w:name="_Toc23465"/>
      <w:bookmarkStart w:id="877" w:name="_Toc15036"/>
      <w:bookmarkStart w:id="878" w:name="_Toc5396"/>
      <w:bookmarkStart w:id="879" w:name="_Toc60173854"/>
      <w:bookmarkStart w:id="880" w:name="_Toc5325"/>
      <w:bookmarkStart w:id="881" w:name="_Toc13276"/>
      <w:bookmarkStart w:id="882" w:name="_Toc60173327"/>
      <w:bookmarkStart w:id="883" w:name="_Toc33214161"/>
      <w:bookmarkStart w:id="884" w:name="_Toc10800"/>
      <w:bookmarkStart w:id="885" w:name="_Toc60172967"/>
      <w:r>
        <w:rPr>
          <w:rFonts w:eastAsia="黑体" w:cs="Times New Roman"/>
        </w:rPr>
        <w:t>9.2</w:t>
      </w:r>
      <w:r>
        <w:rPr>
          <w:rFonts w:eastAsia="黑体" w:cs="Times New Roman"/>
          <w:b w:val="0"/>
        </w:rPr>
        <w:t xml:space="preserve">  施工组织设计</w:t>
      </w:r>
      <w:bookmarkEnd w:id="876"/>
      <w:bookmarkEnd w:id="877"/>
      <w:bookmarkEnd w:id="878"/>
      <w:bookmarkEnd w:id="879"/>
      <w:bookmarkEnd w:id="880"/>
      <w:bookmarkEnd w:id="881"/>
      <w:bookmarkEnd w:id="882"/>
      <w:bookmarkEnd w:id="883"/>
      <w:bookmarkEnd w:id="884"/>
      <w:bookmarkEnd w:id="885"/>
    </w:p>
    <w:p>
      <w:r>
        <w:rPr>
          <w:b/>
          <w:bCs/>
        </w:rPr>
        <w:t>9.2.2</w:t>
      </w:r>
      <w:r>
        <w:t xml:space="preserve">  顶管施工属于地下工程，影响施工的因素很多，除了施工工艺方法多、技术要求差异大等特点外，工程地质条件、原有地下设施和地下障碍物情况以及施工现场环境等因素均可对施工进度、工程质量、施工安全和施工成本造成影响。为了保证顶管施工项目的顺利进行，取得良好的经济效益和社会效益，编写好顶管施工组织设计是十分关键的。</w:t>
      </w:r>
    </w:p>
    <w:p>
      <w:pPr>
        <w:ind w:firstLine="482" w:firstLineChars="200"/>
      </w:pPr>
      <w:r>
        <w:rPr>
          <w:rFonts w:hint="eastAsia"/>
          <w:b/>
          <w:bCs/>
        </w:rPr>
        <w:t>6</w:t>
      </w:r>
      <w:r>
        <w:rPr>
          <w:rFonts w:hint="eastAsia"/>
        </w:rPr>
        <w:t xml:space="preserve">  顶管设备的选型与配置应符合可靠性、安全性、地层适应性等原则，并应根据断面大小、掘进距离、地质条件、估算总顶力、顶管施工方法等确定顶管机设备类型和合适的刀盘布置形式。</w:t>
      </w:r>
    </w:p>
    <w:p/>
    <w:p>
      <w:pPr>
        <w:pStyle w:val="3"/>
        <w:rPr>
          <w:rFonts w:eastAsia="黑体" w:cs="Times New Roman"/>
          <w:b w:val="0"/>
        </w:rPr>
      </w:pPr>
      <w:bookmarkStart w:id="886" w:name="_Toc33214162"/>
      <w:bookmarkStart w:id="887" w:name="_Toc2175"/>
      <w:bookmarkStart w:id="888" w:name="_Toc26110"/>
      <w:bookmarkStart w:id="889" w:name="_Toc20242"/>
      <w:bookmarkStart w:id="890" w:name="_Toc30370"/>
      <w:bookmarkStart w:id="891" w:name="_Toc60173328"/>
      <w:bookmarkStart w:id="892" w:name="_Toc14604"/>
      <w:bookmarkStart w:id="893" w:name="_Toc60173855"/>
      <w:bookmarkStart w:id="894" w:name="_Toc60172968"/>
      <w:bookmarkStart w:id="895" w:name="_Toc10223"/>
      <w:r>
        <w:rPr>
          <w:rFonts w:eastAsia="黑体" w:cs="Times New Roman"/>
        </w:rPr>
        <w:t>9.3</w:t>
      </w:r>
      <w:r>
        <w:rPr>
          <w:rFonts w:eastAsia="黑体" w:cs="Times New Roman"/>
          <w:b w:val="0"/>
        </w:rPr>
        <w:t xml:space="preserve">  顶管始发与接收</w:t>
      </w:r>
      <w:bookmarkEnd w:id="886"/>
      <w:bookmarkEnd w:id="887"/>
      <w:bookmarkEnd w:id="888"/>
      <w:bookmarkEnd w:id="889"/>
      <w:bookmarkEnd w:id="890"/>
      <w:bookmarkEnd w:id="891"/>
      <w:bookmarkEnd w:id="892"/>
      <w:bookmarkEnd w:id="893"/>
      <w:bookmarkEnd w:id="894"/>
      <w:bookmarkEnd w:id="895"/>
    </w:p>
    <w:p>
      <w:pPr>
        <w:jc w:val="left"/>
      </w:pPr>
      <w:r>
        <w:rPr>
          <w:rFonts w:eastAsia="仿宋"/>
          <w:b/>
          <w:bCs/>
        </w:rPr>
        <w:t xml:space="preserve">9.3.1  </w:t>
      </w:r>
      <w:r>
        <w:t>本条对顶管洞口的施工作出了规定。</w:t>
      </w:r>
    </w:p>
    <w:p>
      <w:pPr>
        <w:ind w:firstLine="424" w:firstLineChars="176"/>
        <w:jc w:val="left"/>
      </w:pPr>
      <w:r>
        <w:rPr>
          <w:b/>
        </w:rPr>
        <w:t>4</w:t>
      </w:r>
      <w:r>
        <w:t xml:space="preserve">  工作井洞口设置止水装置的目的是为了防止顶管机始发时发生水土流失，造成洞门塌方，并保证顶管机迅速穿越始发洞口进入加固土体，止住渗漏。顶管机与洞门的间隙及时封堵，主要是为了防止管道移动和管节端头的位移，同时也可防止地下水的浸入和顶进施工时泥浆外漏，止水装置一般采用帘布橡胶板止水。</w:t>
      </w:r>
    </w:p>
    <w:p>
      <w:pPr>
        <w:jc w:val="left"/>
      </w:pPr>
      <w:r>
        <w:rPr>
          <w:rFonts w:hint="eastAsia"/>
          <w:b/>
        </w:rPr>
        <w:t xml:space="preserve">9.3.4  </w:t>
      </w:r>
      <w:r>
        <w:rPr>
          <w:rFonts w:hint="eastAsia"/>
        </w:rPr>
        <w:t>加固区顶进时，因刀盘转速一般宜为1—1.5r/min，为使刀盘转动有效切削加固土体和搅拌改良切削下来的土体，同时盲区位置的三角锥和齿刀切削加固土体时速度慢刀具不易损坏，根据施工经验顶进速度一般控制在2-3mm/min。</w:t>
      </w:r>
    </w:p>
    <w:p>
      <w:pPr>
        <w:ind w:firstLine="480" w:firstLineChars="200"/>
        <w:jc w:val="left"/>
      </w:pPr>
      <w:r>
        <w:rPr>
          <w:rFonts w:hint="eastAsia"/>
        </w:rPr>
        <w:t>正常顶进时，应使刀盘转速、土体改良搅拌时间、螺旋出土器的出土速度三者相匹配，根据施工经验一般控制在10-20mm/min，实际顶进时还应根据顶管覆土深度，掌子面水土压力，地质变化，地面沉降变化等因素做适当的调整。</w:t>
      </w:r>
    </w:p>
    <w:p>
      <w:r>
        <w:rPr>
          <w:b/>
          <w:bCs/>
        </w:rPr>
        <w:t>9.3.</w:t>
      </w:r>
      <w:r>
        <w:rPr>
          <w:rFonts w:hint="eastAsia"/>
          <w:b/>
          <w:bCs/>
        </w:rPr>
        <w:t>5</w:t>
      </w:r>
      <w:r>
        <w:rPr>
          <w:b/>
          <w:bCs/>
        </w:rPr>
        <w:t xml:space="preserve">  </w:t>
      </w:r>
      <w:r>
        <w:t>本条对顶管接收作出了规定。</w:t>
      </w:r>
    </w:p>
    <w:p>
      <w:pPr>
        <w:ind w:firstLine="482" w:firstLineChars="200"/>
      </w:pPr>
      <w:r>
        <w:rPr>
          <w:b/>
        </w:rPr>
        <w:t>5</w:t>
      </w:r>
      <w:r>
        <w:t xml:space="preserve">  水下接收是指在接收井内回填水，接收时矩形顶管机进入接收井回填的水中。一般情况下，为减少回填水的工作量，需建立封闭空间，空间应满足矩形顶管机接收需要的尺寸，且满足顶管机拆除的工作空间需要。封堵墙应专项设计，且满足抵抗隧道埋深的水压力和抗渗的性能要求。水下接收需要计算顶管机和隧道的抗浮安全性，同时加强顶管机姿态的测量工作。</w:t>
      </w:r>
    </w:p>
    <w:p>
      <w:pPr>
        <w:ind w:firstLine="480" w:firstLineChars="200"/>
      </w:pPr>
    </w:p>
    <w:p>
      <w:pPr>
        <w:pStyle w:val="3"/>
        <w:rPr>
          <w:rFonts w:eastAsia="黑体" w:cs="Times New Roman"/>
          <w:b w:val="0"/>
        </w:rPr>
      </w:pPr>
      <w:bookmarkStart w:id="896" w:name="_Toc24569"/>
      <w:bookmarkStart w:id="897" w:name="_Toc4470"/>
      <w:bookmarkStart w:id="898" w:name="_Toc13020"/>
      <w:bookmarkStart w:id="899" w:name="_Toc11194"/>
      <w:bookmarkStart w:id="900" w:name="_Toc33214163"/>
      <w:bookmarkStart w:id="901" w:name="_Toc60173856"/>
      <w:bookmarkStart w:id="902" w:name="_Toc31752"/>
      <w:bookmarkStart w:id="903" w:name="_Toc60173329"/>
      <w:bookmarkStart w:id="904" w:name="_Toc60172969"/>
      <w:bookmarkStart w:id="905" w:name="_Toc2919"/>
      <w:r>
        <w:rPr>
          <w:rFonts w:eastAsia="黑体" w:cs="Times New Roman"/>
        </w:rPr>
        <w:t>9.4</w:t>
      </w:r>
      <w:r>
        <w:rPr>
          <w:rFonts w:eastAsia="黑体" w:cs="Times New Roman"/>
          <w:b w:val="0"/>
        </w:rPr>
        <w:t xml:space="preserve">  顶管掘进</w:t>
      </w:r>
      <w:bookmarkEnd w:id="896"/>
      <w:bookmarkEnd w:id="897"/>
      <w:bookmarkEnd w:id="898"/>
      <w:bookmarkEnd w:id="899"/>
      <w:bookmarkEnd w:id="900"/>
      <w:bookmarkEnd w:id="901"/>
      <w:bookmarkEnd w:id="902"/>
      <w:bookmarkEnd w:id="903"/>
      <w:bookmarkEnd w:id="904"/>
      <w:bookmarkEnd w:id="905"/>
    </w:p>
    <w:p>
      <w:r>
        <w:rPr>
          <w:b/>
          <w:bCs/>
        </w:rPr>
        <w:t>9.4</w:t>
      </w:r>
      <w:r>
        <w:rPr>
          <w:rFonts w:hint="eastAsia"/>
          <w:b/>
          <w:bCs/>
        </w:rPr>
        <w:t>.4~9.4.5</w:t>
      </w:r>
      <w:r>
        <w:t xml:space="preserve">  本条对顶管掘进进行了规定。</w:t>
      </w:r>
    </w:p>
    <w:p>
      <w:pPr>
        <w:ind w:firstLine="482" w:firstLineChars="200"/>
      </w:pPr>
      <w:r>
        <w:rPr>
          <w:b/>
        </w:rPr>
        <w:t>1</w:t>
      </w:r>
      <w:r>
        <w:t xml:space="preserve">  顶管初始掘进时应控制掘进速度，不宜过快，在此过程中应摸索掘进的相关数据，为正常掘进提供依据。</w:t>
      </w:r>
    </w:p>
    <w:p>
      <w:pPr>
        <w:ind w:firstLine="426" w:firstLineChars="177"/>
      </w:pPr>
      <w:r>
        <w:rPr>
          <w:b/>
        </w:rPr>
        <w:t>2</w:t>
      </w:r>
      <w:r>
        <w:t xml:space="preserve">  顶管正常掘进确定掘进速度、正面土压力与出渣量的最佳匹配值，以取保控制开挖量与出渣量的平衡。</w:t>
      </w:r>
    </w:p>
    <w:p>
      <w:pPr>
        <w:ind w:firstLine="426" w:firstLineChars="177"/>
      </w:pPr>
      <w:r>
        <w:rPr>
          <w:b/>
        </w:rPr>
        <w:t>3</w:t>
      </w:r>
      <w:r>
        <w:t xml:space="preserve">  控制土舱内压力的方法有以下三种：</w:t>
      </w:r>
    </w:p>
    <w:p>
      <w:pPr>
        <w:tabs>
          <w:tab w:val="left" w:pos="1134"/>
          <w:tab w:val="left" w:pos="1276"/>
        </w:tabs>
        <w:ind w:firstLine="566" w:firstLineChars="236"/>
      </w:pPr>
      <w:r>
        <w:t>1</w:t>
      </w:r>
      <w:r>
        <w:rPr>
          <w:rFonts w:hint="eastAsia"/>
        </w:rPr>
        <w:t xml:space="preserve">） </w:t>
      </w:r>
      <w:r>
        <w:t>用主顶油缸或第一个中继间的推进速度来调节，在排土量不变的条件下，推进速度快，则土压力上升，反之则下降。</w:t>
      </w:r>
    </w:p>
    <w:p>
      <w:pPr>
        <w:tabs>
          <w:tab w:val="left" w:pos="1134"/>
          <w:tab w:val="left" w:pos="1276"/>
        </w:tabs>
        <w:ind w:firstLine="566" w:firstLineChars="236"/>
      </w:pPr>
      <w:r>
        <w:t>2</w:t>
      </w:r>
      <w:r>
        <w:rPr>
          <w:rFonts w:hint="eastAsia"/>
        </w:rPr>
        <w:t>）</w:t>
      </w:r>
      <w:r>
        <w:t xml:space="preserve"> 利用调节螺旋输送机转速和快慢来调节土压力。在推进速度保持不变的条件下，螺旋输送机的转速较快，排土量则越大，土舱内的压力就下降，反之则上升。</w:t>
      </w:r>
    </w:p>
    <w:p>
      <w:pPr>
        <w:tabs>
          <w:tab w:val="left" w:pos="1134"/>
          <w:tab w:val="left" w:pos="1276"/>
        </w:tabs>
        <w:ind w:firstLine="566" w:firstLineChars="236"/>
      </w:pPr>
      <w:r>
        <w:t>3</w:t>
      </w:r>
      <w:r>
        <w:rPr>
          <w:rFonts w:hint="eastAsia"/>
        </w:rPr>
        <w:t xml:space="preserve">） </w:t>
      </w:r>
      <w:r>
        <w:t>利用顶管机后的主推装置和调速螺旋输送机共同来控制土舱内土压力，用这种调节方法最好，但施工成本高。</w:t>
      </w:r>
    </w:p>
    <w:p>
      <w:pPr>
        <w:tabs>
          <w:tab w:val="left" w:pos="1134"/>
          <w:tab w:val="left" w:pos="1276"/>
        </w:tabs>
        <w:ind w:firstLine="566" w:firstLineChars="236"/>
      </w:pPr>
      <w:r>
        <w:rPr>
          <w:rFonts w:hint="eastAsia"/>
        </w:rPr>
        <w:t>加固区顶进时，因刀盘转速一般宜为1r/min~1.5r/min，为使刀盘转动有效切削加固土体和搅拌改良切削下来的土体，同时盲区位置的三角锥和齿刀切削加固土体时速度慢刀具不易损坏，根据施工经验顶进速度一般控制在2mm/min~3mm/min。</w:t>
      </w:r>
    </w:p>
    <w:p>
      <w:pPr>
        <w:tabs>
          <w:tab w:val="left" w:pos="1134"/>
          <w:tab w:val="left" w:pos="1276"/>
        </w:tabs>
        <w:ind w:firstLine="566" w:firstLineChars="236"/>
      </w:pPr>
      <w:r>
        <w:rPr>
          <w:rFonts w:hint="eastAsia"/>
        </w:rPr>
        <w:t>正常顶进时，应使刀盘转速、土体改良搅拌时间、螺旋出土器的出土速度三者相匹配，根据施工经验一般控制在10mm/min~20mm/min，实际顶进时还应根据顶管覆土深度，掌子面水土压力，地质变化，地面沉降变化等因素做适当的调整。</w:t>
      </w:r>
    </w:p>
    <w:p>
      <w:pPr>
        <w:tabs>
          <w:tab w:val="left" w:pos="1134"/>
          <w:tab w:val="left" w:pos="1276"/>
        </w:tabs>
        <w:ind w:firstLine="566" w:firstLineChars="236"/>
      </w:pPr>
    </w:p>
    <w:p>
      <w:pPr>
        <w:pStyle w:val="3"/>
        <w:rPr>
          <w:rFonts w:eastAsia="黑体" w:cs="Times New Roman"/>
          <w:b w:val="0"/>
        </w:rPr>
      </w:pPr>
      <w:bookmarkStart w:id="906" w:name="_Toc60172970"/>
      <w:bookmarkStart w:id="907" w:name="_Toc11797"/>
      <w:bookmarkStart w:id="908" w:name="_Toc21891"/>
      <w:bookmarkStart w:id="909" w:name="_Toc60173330"/>
      <w:bookmarkStart w:id="910" w:name="_Toc5073"/>
      <w:bookmarkStart w:id="911" w:name="_Toc17617"/>
      <w:bookmarkStart w:id="912" w:name="_Toc33214164"/>
      <w:bookmarkStart w:id="913" w:name="_Toc17865"/>
      <w:bookmarkStart w:id="914" w:name="_Toc16960"/>
      <w:bookmarkStart w:id="915" w:name="_Toc60173857"/>
      <w:r>
        <w:rPr>
          <w:rFonts w:eastAsia="黑体" w:cs="Times New Roman"/>
        </w:rPr>
        <w:t>9.5</w:t>
      </w:r>
      <w:r>
        <w:rPr>
          <w:rFonts w:eastAsia="黑体" w:cs="Times New Roman"/>
          <w:b w:val="0"/>
        </w:rPr>
        <w:t xml:space="preserve">  注浆减阻</w:t>
      </w:r>
      <w:bookmarkEnd w:id="906"/>
      <w:bookmarkEnd w:id="907"/>
      <w:bookmarkEnd w:id="908"/>
      <w:bookmarkEnd w:id="909"/>
      <w:bookmarkEnd w:id="910"/>
      <w:bookmarkEnd w:id="911"/>
      <w:bookmarkEnd w:id="912"/>
      <w:bookmarkEnd w:id="913"/>
      <w:bookmarkEnd w:id="914"/>
      <w:bookmarkEnd w:id="915"/>
    </w:p>
    <w:p>
      <w:r>
        <w:rPr>
          <w:rFonts w:hint="eastAsia"/>
          <w:b/>
          <w:bCs/>
        </w:rPr>
        <w:t>9.5.</w:t>
      </w:r>
      <w:r>
        <w:rPr>
          <w:b/>
          <w:bCs/>
        </w:rPr>
        <w:t>2</w:t>
      </w:r>
      <w:r>
        <w:t>注浆压力可按下列公式计算</w:t>
      </w:r>
      <w:r>
        <w:rPr>
          <w:rFonts w:hint="eastAsia"/>
        </w:rPr>
        <w:t>，</w:t>
      </w:r>
      <w:r>
        <w:t>并</w:t>
      </w:r>
      <w:r>
        <w:rPr>
          <w:rFonts w:hint="eastAsia"/>
        </w:rPr>
        <w:t>应</w:t>
      </w:r>
      <w:r>
        <w:t>取各计算值的最大值：</w:t>
      </w:r>
    </w:p>
    <w:p>
      <w:pPr>
        <w:jc w:val="right"/>
      </w:pPr>
      <w:r>
        <w:rPr>
          <w:position w:val="-12"/>
        </w:rPr>
        <w:object>
          <v:shape id="_x0000_i1161" o:spt="75" type="#_x0000_t75" style="height:19.5pt;width:80.25pt;" o:ole="t" filled="f" o:preferrelative="t" stroked="f" coordsize="21600,21600">
            <v:path/>
            <v:fill on="f" focussize="0,0"/>
            <v:stroke on="f" joinstyle="miter"/>
            <v:imagedata r:id="rId288" o:title=""/>
            <o:lock v:ext="edit" aspectratio="t"/>
            <w10:wrap type="none"/>
            <w10:anchorlock/>
          </v:shape>
          <o:OLEObject Type="Embed" ProgID="Equation.DSMT4" ShapeID="_x0000_i1161" DrawAspect="Content" ObjectID="_1468075861" r:id="rId287">
            <o:LockedField>false</o:LockedField>
          </o:OLEObject>
        </w:object>
      </w:r>
      <w:r>
        <w:t xml:space="preserve">                          （2）</w:t>
      </w:r>
    </w:p>
    <w:p>
      <w:pPr>
        <w:wordWrap w:val="0"/>
        <w:jc w:val="right"/>
      </w:pPr>
      <w:r>
        <w:rPr>
          <w:position w:val="-10"/>
        </w:rPr>
        <w:object>
          <v:shape id="_x0000_i1162" o:spt="75" type="#_x0000_t75" style="height:15.75pt;width:82.5pt;" o:ole="t" filled="f" o:preferrelative="t" stroked="f" coordsize="21600,21600">
            <v:path/>
            <v:fill on="f" focussize="0,0"/>
            <v:stroke on="f" joinstyle="miter"/>
            <v:imagedata r:id="rId290" o:title=""/>
            <o:lock v:ext="edit" aspectratio="t"/>
            <w10:wrap type="none"/>
            <w10:anchorlock/>
          </v:shape>
          <o:OLEObject Type="Embed" ProgID="Equation.3" ShapeID="_x0000_i1162" DrawAspect="Content" ObjectID="_1468075862" r:id="rId289">
            <o:LockedField>false</o:LockedField>
          </o:OLEObject>
        </w:object>
      </w:r>
      <w:r>
        <w:t xml:space="preserve">                         （3）</w:t>
      </w:r>
    </w:p>
    <w:p>
      <w:pPr>
        <w:wordWrap w:val="0"/>
        <w:ind w:firstLine="1440" w:firstLineChars="600"/>
        <w:jc w:val="right"/>
      </w:pPr>
      <w:r>
        <w:rPr>
          <w:position w:val="-28"/>
        </w:rPr>
        <w:object>
          <v:shape id="_x0000_i1163" o:spt="75" type="#_x0000_t75" style="height:34.5pt;width:194.25pt;" o:ole="t" filled="f" o:preferrelative="t" stroked="f" coordsize="21600,21600">
            <v:path/>
            <v:fill on="f" focussize="0,0"/>
            <v:stroke on="f" joinstyle="miter"/>
            <v:imagedata r:id="rId292" o:title=""/>
            <o:lock v:ext="edit" aspectratio="t"/>
            <w10:wrap type="none"/>
            <w10:anchorlock/>
          </v:shape>
          <o:OLEObject Type="Embed" ProgID="Equation.DSMT4" ShapeID="_x0000_i1163" DrawAspect="Content" ObjectID="_1468075863" r:id="rId291">
            <o:LockedField>false</o:LockedField>
          </o:OLEObject>
        </w:object>
      </w:r>
      <w:r>
        <w:t xml:space="preserve">            （4）</w:t>
      </w:r>
    </w:p>
    <w:p>
      <w:pPr>
        <w:wordWrap w:val="0"/>
        <w:ind w:firstLine="1440" w:firstLineChars="600"/>
        <w:jc w:val="right"/>
      </w:pPr>
      <w:r>
        <w:rPr>
          <w:position w:val="-28"/>
        </w:rPr>
        <w:object>
          <v:shape id="_x0000_i1164" o:spt="75" type="#_x0000_t75" style="height:34.5pt;width:236.25pt;" o:ole="t" filled="f" o:preferrelative="t" stroked="f" coordsize="21600,21600">
            <v:path/>
            <v:fill on="f" focussize="0,0"/>
            <v:stroke on="f" joinstyle="miter"/>
            <v:imagedata r:id="rId294" o:title=""/>
            <o:lock v:ext="edit" aspectratio="t"/>
            <w10:wrap type="none"/>
            <w10:anchorlock/>
          </v:shape>
          <o:OLEObject Type="Embed" ProgID="Equation.3" ShapeID="_x0000_i1164" DrawAspect="Content" ObjectID="_1468075864" r:id="rId293">
            <o:LockedField>false</o:LockedField>
          </o:OLEObject>
        </w:object>
      </w:r>
      <w:r>
        <w:t xml:space="preserve">         （5）</w:t>
      </w:r>
    </w:p>
    <w:p>
      <w:pPr>
        <w:wordWrap w:val="0"/>
        <w:ind w:firstLine="480" w:firstLineChars="200"/>
        <w:jc w:val="right"/>
      </w:pPr>
      <w:r>
        <w:rPr>
          <w:position w:val="-12"/>
        </w:rPr>
        <w:object>
          <v:shape id="_x0000_i1165" o:spt="75" type="#_x0000_t75" style="height:19.5pt;width:88.5pt;" o:ole="t" filled="f" o:preferrelative="t" stroked="f" coordsize="21600,21600">
            <v:path/>
            <v:fill on="f" focussize="0,0"/>
            <v:stroke on="f" joinstyle="miter"/>
            <v:imagedata r:id="rId296" o:title=""/>
            <o:lock v:ext="edit" aspectratio="t"/>
            <w10:wrap type="none"/>
            <w10:anchorlock/>
          </v:shape>
          <o:OLEObject Type="Embed" ProgID="Equation.DSMT4" ShapeID="_x0000_i1165" DrawAspect="Content" ObjectID="_1468075865" r:id="rId295">
            <o:LockedField>false</o:LockedField>
          </o:OLEObject>
        </w:object>
      </w:r>
      <w:r>
        <w:rPr>
          <w:rFonts w:hint="eastAsia"/>
        </w:rPr>
        <w:t>(管顶</w:t>
      </w:r>
      <w:r>
        <w:t>存在卸力拱时</w:t>
      </w:r>
      <w:r>
        <w:rPr>
          <w:rFonts w:hint="eastAsia"/>
        </w:rPr>
        <w:t>)</w:t>
      </w:r>
      <w:r>
        <w:t xml:space="preserve">           （6）</w:t>
      </w:r>
    </w:p>
    <w:p>
      <w:pPr>
        <w:wordWrap w:val="0"/>
        <w:ind w:firstLine="1920" w:firstLineChars="800"/>
        <w:jc w:val="right"/>
      </w:pPr>
      <w:r>
        <w:rPr>
          <w:position w:val="-28"/>
        </w:rPr>
        <w:object>
          <v:shape id="_x0000_i1166" o:spt="75" type="#_x0000_t75" style="height:51pt;width:127.5pt;" o:ole="t" filled="f" o:preferrelative="t" stroked="f" coordsize="21600,21600">
            <v:path/>
            <v:fill on="f" focussize="0,0"/>
            <v:stroke on="f" joinstyle="miter"/>
            <v:imagedata r:id="rId298" o:title=""/>
            <o:lock v:ext="edit" aspectratio="t"/>
            <w10:wrap type="none"/>
            <w10:anchorlock/>
          </v:shape>
          <o:OLEObject Type="Embed" ProgID="Equation.3" ShapeID="_x0000_i1166" DrawAspect="Content" ObjectID="_1468075866" r:id="rId297">
            <o:LockedField>false</o:LockedField>
          </o:OLEObject>
        </w:object>
      </w:r>
      <w:r>
        <w:rPr>
          <w:rFonts w:hint="eastAsia"/>
        </w:rPr>
        <w:t>(管顶</w:t>
      </w:r>
      <w:r>
        <w:t>存在卸力拱时</w:t>
      </w:r>
      <w:r>
        <w:rPr>
          <w:rFonts w:hint="eastAsia"/>
        </w:rPr>
        <w:t xml:space="preserve">）  </w:t>
      </w:r>
      <w:r>
        <w:t xml:space="preserve">   （7）</w:t>
      </w:r>
    </w:p>
    <w:p>
      <w:pPr>
        <w:adjustRightInd w:val="0"/>
        <w:snapToGrid w:val="0"/>
        <w:ind w:firstLine="480" w:firstLineChars="200"/>
      </w:pPr>
      <w:r>
        <w:t>式中：</w:t>
      </w:r>
      <w:r>
        <w:rPr>
          <w:position w:val="-12"/>
        </w:rPr>
        <w:object>
          <v:shape id="_x0000_i1167" o:spt="75" type="#_x0000_t75" style="height:19.5pt;width:14.25pt;" o:ole="t" filled="f" o:preferrelative="t" stroked="f" coordsize="21600,21600">
            <v:path/>
            <v:fill on="f" focussize="0,0"/>
            <v:stroke on="f" joinstyle="miter"/>
            <v:imagedata r:id="rId300" o:title=""/>
            <o:lock v:ext="edit" aspectratio="t"/>
            <w10:wrap type="none"/>
            <w10:anchorlock/>
          </v:shape>
          <o:OLEObject Type="Embed" ProgID="Equation.DSMT4" ShapeID="_x0000_i1167" DrawAspect="Content" ObjectID="_1468075867" r:id="rId299">
            <o:LockedField>false</o:LockedField>
          </o:OLEObject>
        </w:object>
      </w:r>
      <w:r>
        <w:t>——泥浆套顶部的水压力和主动土压力（kPa）；</w:t>
      </w:r>
    </w:p>
    <w:p>
      <w:pPr>
        <w:adjustRightInd w:val="0"/>
        <w:snapToGrid w:val="0"/>
        <w:ind w:firstLine="1200" w:firstLineChars="500"/>
      </w:pPr>
      <w:r>
        <w:rPr>
          <w:position w:val="-12"/>
        </w:rPr>
        <w:object>
          <v:shape id="_x0000_i1168" o:spt="75" type="#_x0000_t75" style="height:19.5pt;width:14.25pt;" o:ole="t" filled="f" o:preferrelative="t" stroked="f" coordsize="21600,21600">
            <v:path/>
            <v:fill on="f" focussize="0,0"/>
            <v:stroke on="f" joinstyle="miter"/>
            <v:imagedata r:id="rId302" o:title=""/>
            <o:lock v:ext="edit" aspectratio="t"/>
            <w10:wrap type="none"/>
            <w10:anchorlock/>
          </v:shape>
          <o:OLEObject Type="Embed" ProgID="Equation.DSMT4" ShapeID="_x0000_i1168" DrawAspect="Content" ObjectID="_1468075868" r:id="rId301">
            <o:LockedField>false</o:LockedField>
          </o:OLEObject>
        </w:object>
      </w:r>
      <w:r>
        <w:t>——主动土压力（kPa）；</w:t>
      </w:r>
    </w:p>
    <w:p>
      <w:pPr>
        <w:adjustRightInd w:val="0"/>
        <w:snapToGrid w:val="0"/>
        <w:ind w:firstLine="1272" w:firstLineChars="530"/>
      </w:pPr>
      <w:r>
        <w:rPr>
          <w:position w:val="-10"/>
        </w:rPr>
        <w:object>
          <v:shape id="_x0000_i1169" o:spt="75" type="#_x0000_t75" style="height:13.5pt;width:9.75pt;" o:ole="t" filled="f" o:preferrelative="t" stroked="f" coordsize="21600,21600">
            <v:path/>
            <v:fill on="f" focussize="0,0"/>
            <v:stroke on="f" joinstyle="miter"/>
            <v:imagedata r:id="rId304" o:title=""/>
            <o:lock v:ext="edit" aspectratio="t"/>
            <w10:wrap type="none"/>
            <w10:anchorlock/>
          </v:shape>
          <o:OLEObject Type="Embed" ProgID="Equation.DSMT4" ShapeID="_x0000_i1169" DrawAspect="Content" ObjectID="_1468075869" r:id="rId303">
            <o:LockedField>false</o:LockedField>
          </o:OLEObject>
        </w:object>
      </w:r>
      <w:r>
        <w:t>——土的重度（kN/m</w:t>
      </w:r>
      <w:r>
        <w:rPr>
          <w:vertAlign w:val="superscript"/>
        </w:rPr>
        <w:t>3</w:t>
      </w:r>
      <w:r>
        <w:t>）；</w:t>
      </w:r>
    </w:p>
    <w:p>
      <w:pPr>
        <w:adjustRightInd w:val="0"/>
        <w:snapToGrid w:val="0"/>
        <w:ind w:firstLine="1200" w:firstLineChars="500"/>
      </w:pPr>
      <w:r>
        <w:rPr>
          <w:position w:val="-12"/>
        </w:rPr>
        <w:object>
          <v:shape id="_x0000_i1170" o:spt="75" type="#_x0000_t75" style="height:19.5pt;width:15pt;" o:ole="t" filled="f" o:preferrelative="t" stroked="f" coordsize="21600,21600">
            <v:path/>
            <v:fill on="f" focussize="0,0"/>
            <v:stroke on="f" joinstyle="miter"/>
            <v:imagedata r:id="rId306" o:title=""/>
            <o:lock v:ext="edit" aspectratio="t"/>
            <w10:wrap type="none"/>
            <w10:anchorlock/>
          </v:shape>
          <o:OLEObject Type="Embed" ProgID="Equation.DSMT4" ShapeID="_x0000_i1170" DrawAspect="Content" ObjectID="_1468075870" r:id="rId305">
            <o:LockedField>false</o:LockedField>
          </o:OLEObject>
        </w:object>
      </w:r>
      <w:r>
        <w:t>——水的重度（kN/m</w:t>
      </w:r>
      <w:r>
        <w:rPr>
          <w:vertAlign w:val="superscript"/>
        </w:rPr>
        <w:t>3</w:t>
      </w:r>
      <w:r>
        <w:t>）；</w:t>
      </w:r>
    </w:p>
    <w:p>
      <w:pPr>
        <w:adjustRightInd w:val="0"/>
        <w:snapToGrid w:val="0"/>
        <w:ind w:firstLine="1152" w:firstLineChars="480"/>
      </w:pPr>
      <w:r>
        <w:rPr>
          <w:position w:val="-12"/>
        </w:rPr>
        <w:object>
          <v:shape id="_x0000_i1171" o:spt="75" type="#_x0000_t75" style="height:19.5pt;width:20.25pt;" o:ole="t" filled="f" o:preferrelative="t" stroked="f" coordsize="21600,21600">
            <v:path/>
            <v:fill on="f" focussize="0,0"/>
            <v:stroke on="f" joinstyle="miter"/>
            <v:imagedata r:id="rId308" o:title=""/>
            <o:lock v:ext="edit" aspectratio="t"/>
            <w10:wrap type="none"/>
            <w10:anchorlock/>
          </v:shape>
          <o:OLEObject Type="Embed" ProgID="Equation.DSMT4" ShapeID="_x0000_i1171" DrawAspect="Content" ObjectID="_1468075871" r:id="rId307">
            <o:LockedField>false</o:LockedField>
          </o:OLEObject>
        </w:object>
      </w:r>
      <w:r>
        <w:t>——工作面或卸力拱以上的水柱高度（m）；</w:t>
      </w:r>
    </w:p>
    <w:p>
      <w:pPr>
        <w:adjustRightInd w:val="0"/>
        <w:snapToGrid w:val="0"/>
        <w:ind w:firstLine="1245" w:firstLineChars="519"/>
        <w:rPr>
          <w:kern w:val="24"/>
        </w:rPr>
      </w:pPr>
      <w:r>
        <w:rPr>
          <w:position w:val="-12"/>
        </w:rPr>
        <w:object>
          <v:shape id="_x0000_i1172" o:spt="75" type="#_x0000_t75" style="height:15pt;width:15pt;" o:ole="t" filled="f" o:preferrelative="t" stroked="f" coordsize="21600,21600">
            <v:path/>
            <v:fill on="f" focussize="0,0"/>
            <v:stroke on="f" joinstyle="miter"/>
            <v:imagedata r:id="rId186" o:title=""/>
            <o:lock v:ext="edit" aspectratio="t"/>
            <w10:wrap type="none"/>
            <w10:anchorlock/>
          </v:shape>
          <o:OLEObject Type="Embed" ProgID="Equation.DSMT4" ShapeID="_x0000_i1172" DrawAspect="Content" ObjectID="_1468075872" r:id="rId309">
            <o:LockedField>false</o:LockedField>
          </o:OLEObject>
        </w:object>
      </w:r>
      <w:r>
        <w:t>——管顶至原状土地面覆土层厚度（m）；</w:t>
      </w:r>
    </w:p>
    <w:p>
      <w:pPr>
        <w:adjustRightInd w:val="0"/>
        <w:snapToGrid w:val="0"/>
        <w:ind w:firstLine="1320" w:firstLineChars="550"/>
      </w:pPr>
      <w:r>
        <w:rPr>
          <w:position w:val="-10"/>
        </w:rPr>
        <w:object>
          <v:shape id="_x0000_i1173" o:spt="75" type="#_x0000_t75" style="height:13.5pt;width:12pt;" o:ole="t" filled="f" o:preferrelative="t" stroked="f" coordsize="21600,21600">
            <v:path/>
            <v:fill on="f" focussize="0,0"/>
            <v:stroke on="f" joinstyle="miter"/>
            <v:imagedata r:id="rId311" o:title=""/>
            <o:lock v:ext="edit" aspectratio="t"/>
            <w10:wrap type="none"/>
            <w10:anchorlock/>
          </v:shape>
          <o:OLEObject Type="Embed" ProgID="Equation.3" ShapeID="_x0000_i1173" DrawAspect="Content" ObjectID="_1468075873" r:id="rId310">
            <o:LockedField>false</o:LockedField>
          </o:OLEObject>
        </w:object>
      </w:r>
      <w:r>
        <w:t>——土的内摩擦角（°）；</w:t>
      </w:r>
    </w:p>
    <w:p>
      <w:pPr>
        <w:adjustRightInd w:val="0"/>
        <w:snapToGrid w:val="0"/>
        <w:ind w:firstLine="1320" w:firstLineChars="550"/>
      </w:pPr>
      <w:r>
        <w:rPr>
          <w:position w:val="-12"/>
        </w:rPr>
        <w:object>
          <v:shape id="_x0000_i1174" o:spt="75" type="#_x0000_t75" style="height:19.5pt;width:13.5pt;" o:ole="t" filled="f" o:preferrelative="t" stroked="f" coordsize="21600,21600">
            <v:path/>
            <v:fill on="f" focussize="0,0"/>
            <v:stroke on="f" joinstyle="miter"/>
            <v:imagedata r:id="rId313" o:title=""/>
            <o:lock v:ext="edit" aspectratio="t"/>
            <w10:wrap type="none"/>
            <w10:anchorlock/>
          </v:shape>
          <o:OLEObject Type="Embed" ProgID="Equation.DSMT4" ShapeID="_x0000_i1174" DrawAspect="Content" ObjectID="_1468075874" r:id="rId312">
            <o:LockedField>false</o:LockedField>
          </o:OLEObject>
        </w:object>
      </w:r>
      <w:r>
        <w:t>——卸力拱的高度（m）；</w:t>
      </w:r>
    </w:p>
    <w:p>
      <w:pPr>
        <w:ind w:firstLine="1200" w:firstLineChars="500"/>
        <w:rPr>
          <w:b/>
          <w:bCs/>
        </w:rPr>
      </w:pPr>
      <w:r>
        <w:rPr>
          <w:position w:val="-6"/>
        </w:rPr>
        <w:object>
          <v:shape id="_x0000_i1175" o:spt="75" type="#_x0000_t75" style="height:12pt;width:8.25pt;" o:ole="t" filled="f" o:preferrelative="t" stroked="f" coordsize="21600,21600">
            <v:path/>
            <v:fill on="f" focussize="0,0"/>
            <v:stroke on="f" joinstyle="miter"/>
            <v:imagedata r:id="rId315" o:title=""/>
            <o:lock v:ext="edit" aspectratio="t"/>
            <w10:wrap type="none"/>
            <w10:anchorlock/>
          </v:shape>
          <o:OLEObject Type="Embed" ProgID="Equation.3" ShapeID="_x0000_i1175" DrawAspect="Content" ObjectID="_1468075875" r:id="rId314">
            <o:LockedField>false</o:LockedField>
          </o:OLEObject>
        </w:object>
      </w:r>
      <w:r>
        <w:t>——土的黏聚力（kPa）。</w:t>
      </w:r>
    </w:p>
    <w:p>
      <w:r>
        <w:rPr>
          <w:b/>
          <w:bCs/>
        </w:rPr>
        <w:t>9.5.3</w:t>
      </w:r>
      <w:r>
        <w:t xml:space="preserve">  触变泥浆注浆要求是保证掘进管道外壁与土体之间形成稳定的、连续的泥浆套，实际效果可以通过掘进力降低程度来验证。</w:t>
      </w:r>
    </w:p>
    <w:p>
      <w:pPr>
        <w:ind w:firstLine="482" w:firstLineChars="200"/>
      </w:pPr>
      <w:r>
        <w:rPr>
          <w:b/>
        </w:rPr>
        <w:t>4</w:t>
      </w:r>
      <w:r>
        <w:t xml:space="preserve">  在掘进过程中要经常检查各掘进段的浆液形成情况，以便及时补浆形成完整的泥浆套。</w:t>
      </w:r>
    </w:p>
    <w:p>
      <w:pPr>
        <w:ind w:firstLine="482" w:firstLineChars="200"/>
      </w:pPr>
      <w:r>
        <w:rPr>
          <w:b/>
        </w:rPr>
        <w:t>5</w:t>
      </w:r>
      <w:r>
        <w:t xml:space="preserve">  注浆设备应可靠，在注浆孔中设置</w:t>
      </w:r>
      <w:r>
        <w:rPr>
          <w:rFonts w:hint="eastAsia"/>
        </w:rPr>
        <w:t>1</w:t>
      </w:r>
      <w:r>
        <w:t>个单向阀，使注浆管外的土不能倒灌而堵塞注浆孔，从而影响注浆效果。</w:t>
      </w:r>
    </w:p>
    <w:p>
      <w:pPr>
        <w:jc w:val="left"/>
      </w:pPr>
      <w:r>
        <w:rPr>
          <w:rFonts w:eastAsia="仿宋"/>
          <w:b/>
          <w:bCs/>
        </w:rPr>
        <w:t xml:space="preserve">9.5.5  </w:t>
      </w:r>
      <w:r>
        <w:t>本条对触变泥浆注浆系统作出了规定。</w:t>
      </w:r>
    </w:p>
    <w:p>
      <w:pPr>
        <w:ind w:firstLine="482" w:firstLineChars="200"/>
        <w:jc w:val="left"/>
        <w:rPr>
          <w:b/>
          <w:bCs/>
        </w:rPr>
      </w:pPr>
      <w:r>
        <w:rPr>
          <w:b/>
        </w:rPr>
        <w:t>1</w:t>
      </w:r>
      <w:r>
        <w:t xml:space="preserve">  注浆装置容积计算建议按5倍～10倍管道外壁与周围土层之间的环形间隙的体积来设置拌浆装置、注浆装置；对于浆液难以到达的区域，可以在切削刀盘位置或顶管机尾部进行注浆；对于浆液容易到达的区域，可通过管节上的注浆孔进行注浆，注浆结束后需要对注浆孔进行密封。</w:t>
      </w:r>
    </w:p>
    <w:p>
      <w:pPr>
        <w:ind w:firstLine="480" w:firstLineChars="200"/>
        <w:rPr>
          <w:b/>
          <w:bCs/>
        </w:rPr>
      </w:pPr>
      <w:r>
        <w:t>为保障注浆减阻效果，地层和管道之间的环状间隙要足够大，在松散地层不宜小于20mm，并要求在整个施工过程中和整个施工管节都要保持这样的间隙。注浆材料在任何施工阶段都应保持其流动性，不宜通过孔壁漏失到地层中，如有渗漏应及时补充。</w:t>
      </w:r>
    </w:p>
    <w:p>
      <w:r>
        <w:rPr>
          <w:b/>
          <w:bCs/>
        </w:rPr>
        <w:t>9.5.6</w:t>
      </w:r>
      <w:r>
        <w:t xml:space="preserve">  一般情况下，在现场按配合比进行泥浆的配置，所用的主要材料包括：膨润土、水、Na</w:t>
      </w:r>
      <w:r>
        <w:rPr>
          <w:vertAlign w:val="subscript"/>
        </w:rPr>
        <w:t>2</w:t>
      </w:r>
      <w:r>
        <w:t>CO</w:t>
      </w:r>
      <w:r>
        <w:rPr>
          <w:vertAlign w:val="subscript"/>
        </w:rPr>
        <w:t>3</w:t>
      </w:r>
      <w:r>
        <w:t>和CMC，有时也可以加入其他掺和剂，如废机油、粉煤灰和其他高分子化合物等。材料的配比通常为：</w:t>
      </w:r>
    </w:p>
    <w:p>
      <w:pPr>
        <w:ind w:firstLine="480" w:firstLineChars="200"/>
      </w:pPr>
      <w:r>
        <w:t>水：土=（4～5）：1</w:t>
      </w:r>
    </w:p>
    <w:p>
      <w:pPr>
        <w:ind w:firstLine="480" w:firstLineChars="200"/>
      </w:pPr>
      <w:r>
        <w:t>土：掺和剂=（20～30）：1</w:t>
      </w:r>
    </w:p>
    <w:p>
      <w:r>
        <w:rPr>
          <w:b/>
          <w:bCs/>
        </w:rPr>
        <w:t>9.5.8</w:t>
      </w:r>
      <w:r>
        <w:t xml:space="preserve">  本条是指补浆量的控制和注浆压力的控制。一般情况下是以注浆压力为控制目标。在注浆过程中，需要注意注浆孔堵塞与否，要使得管外壁形成完整的触变泥浆润滑套，防止单侧有泥浆，形成制动效应。</w:t>
      </w:r>
    </w:p>
    <w:p/>
    <w:p>
      <w:pPr>
        <w:pStyle w:val="3"/>
        <w:rPr>
          <w:rFonts w:eastAsia="黑体" w:cs="Times New Roman"/>
          <w:b w:val="0"/>
        </w:rPr>
      </w:pPr>
      <w:bookmarkStart w:id="916" w:name="_Toc2921"/>
      <w:bookmarkStart w:id="917" w:name="_Toc1238"/>
      <w:bookmarkStart w:id="918" w:name="_Toc23542"/>
      <w:bookmarkStart w:id="919" w:name="_Toc6634"/>
      <w:bookmarkStart w:id="920" w:name="_Toc60173331"/>
      <w:bookmarkStart w:id="921" w:name="_Toc33214165"/>
      <w:bookmarkStart w:id="922" w:name="_Toc60172971"/>
      <w:bookmarkStart w:id="923" w:name="_Toc13341"/>
      <w:bookmarkStart w:id="924" w:name="_Toc12363"/>
      <w:bookmarkStart w:id="925" w:name="_Toc60173858"/>
      <w:r>
        <w:rPr>
          <w:rFonts w:eastAsia="黑体" w:cs="Times New Roman"/>
        </w:rPr>
        <w:t>9.6</w:t>
      </w:r>
      <w:r>
        <w:rPr>
          <w:rFonts w:eastAsia="黑体" w:cs="Times New Roman"/>
          <w:b w:val="0"/>
        </w:rPr>
        <w:t xml:space="preserve">  渣土改良</w:t>
      </w:r>
      <w:bookmarkEnd w:id="916"/>
      <w:bookmarkEnd w:id="917"/>
      <w:bookmarkEnd w:id="918"/>
      <w:bookmarkEnd w:id="919"/>
      <w:bookmarkEnd w:id="920"/>
      <w:bookmarkEnd w:id="921"/>
      <w:bookmarkEnd w:id="922"/>
      <w:bookmarkEnd w:id="923"/>
      <w:bookmarkEnd w:id="924"/>
      <w:bookmarkEnd w:id="925"/>
    </w:p>
    <w:p>
      <w:r>
        <w:rPr>
          <w:b/>
          <w:bCs/>
        </w:rPr>
        <w:t>9.6.1</w:t>
      </w:r>
      <w:r>
        <w:t xml:space="preserve">  顶管机遇到不良土体时，由于土体流动性差，给出土造成很大困难，通过注浆对土体进行改良，可以控制开挖量与出渣量的平衡，加快掘进速度。</w:t>
      </w:r>
    </w:p>
    <w:p>
      <w:pPr>
        <w:ind w:firstLine="480" w:firstLineChars="200"/>
      </w:pPr>
      <w:r>
        <w:rPr>
          <w:rFonts w:hint="eastAsia"/>
        </w:rPr>
        <w:t>渣土改良作泥材料配比宜为：膨润土98kg、黏土392kg、水892kg。</w:t>
      </w:r>
    </w:p>
    <w:p/>
    <w:p>
      <w:pPr>
        <w:pStyle w:val="3"/>
        <w:rPr>
          <w:rFonts w:eastAsia="黑体" w:cs="Times New Roman"/>
          <w:b w:val="0"/>
        </w:rPr>
      </w:pPr>
      <w:bookmarkStart w:id="926" w:name="_Toc6110"/>
      <w:bookmarkStart w:id="927" w:name="_Toc6543"/>
      <w:bookmarkStart w:id="928" w:name="_Toc33214166"/>
      <w:bookmarkStart w:id="929" w:name="_Toc9028"/>
      <w:bookmarkStart w:id="930" w:name="_Toc60173859"/>
      <w:bookmarkStart w:id="931" w:name="_Toc60172972"/>
      <w:bookmarkStart w:id="932" w:name="_Toc60173332"/>
      <w:bookmarkStart w:id="933" w:name="_Toc32443"/>
      <w:bookmarkStart w:id="934" w:name="_Toc15078"/>
      <w:bookmarkStart w:id="935" w:name="_Toc19578"/>
      <w:r>
        <w:rPr>
          <w:rFonts w:eastAsia="黑体" w:cs="Times New Roman"/>
        </w:rPr>
        <w:t xml:space="preserve">9.7 </w:t>
      </w:r>
      <w:r>
        <w:rPr>
          <w:rFonts w:eastAsia="黑体" w:cs="Times New Roman"/>
          <w:b w:val="0"/>
        </w:rPr>
        <w:t xml:space="preserve"> 测量和姿态控制</w:t>
      </w:r>
      <w:bookmarkEnd w:id="926"/>
      <w:bookmarkEnd w:id="927"/>
      <w:bookmarkEnd w:id="928"/>
      <w:bookmarkEnd w:id="929"/>
      <w:bookmarkEnd w:id="930"/>
      <w:bookmarkEnd w:id="931"/>
      <w:bookmarkEnd w:id="932"/>
      <w:bookmarkEnd w:id="933"/>
      <w:bookmarkEnd w:id="934"/>
      <w:bookmarkEnd w:id="935"/>
    </w:p>
    <w:p>
      <w:r>
        <w:rPr>
          <w:b/>
          <w:bCs/>
        </w:rPr>
        <w:t>9.7.6</w:t>
      </w:r>
      <w:r>
        <w:t xml:space="preserve">  顶管机的姿态包括顶管机轴线空间位置、垂直方向倾角、水平方向偏转角、机身自转的转角。纠偏基本纲领：及时纠偏和小角度纠偏；挖土纠偏和调整合力方向的纠偏；刀盘式矩形顶管机纠偏时，可采用调整挖土方法、调整掘进合力方向、改变切削刀盘的转动方向、在管内相对于机头旋转的方向增加配重等措施。</w:t>
      </w:r>
    </w:p>
    <w:p>
      <w:pPr>
        <w:rPr>
          <w:b/>
          <w:bCs/>
        </w:rPr>
      </w:pPr>
      <w:r>
        <w:rPr>
          <w:rFonts w:hint="eastAsia"/>
          <w:b/>
          <w:bCs/>
        </w:rPr>
        <w:t>9.7.</w:t>
      </w:r>
      <w:r>
        <w:rPr>
          <w:b/>
          <w:bCs/>
        </w:rPr>
        <w:t>9</w:t>
      </w:r>
      <w:r>
        <w:rPr>
          <w:rFonts w:hint="eastAsia"/>
          <w:b/>
          <w:bCs/>
        </w:rPr>
        <w:t xml:space="preserve">  </w:t>
      </w:r>
      <w:r>
        <w:rPr>
          <w:rFonts w:hint="eastAsia"/>
        </w:rPr>
        <w:t>为防止顶管机头扭转可遵循以下原则：</w:t>
      </w:r>
    </w:p>
    <w:p>
      <w:pPr>
        <w:ind w:firstLine="472" w:firstLineChars="196"/>
      </w:pPr>
      <w:r>
        <w:rPr>
          <w:b/>
          <w:bCs/>
        </w:rPr>
        <w:t>1</w:t>
      </w:r>
      <w:r>
        <w:t xml:space="preserve">  在壳体两侧安装纠扭装置，根据需要将翼板伸出壳体插入土体内，在机头向前推进时，土体在翼板上产生一侧向分力，形成力偶使机头按所需的方向旋转，以达到纠扭目的；</w:t>
      </w:r>
    </w:p>
    <w:p>
      <w:pPr>
        <w:ind w:firstLine="472" w:firstLineChars="196"/>
      </w:pPr>
      <w:r>
        <w:rPr>
          <w:b/>
          <w:bCs/>
        </w:rPr>
        <w:t>2</w:t>
      </w:r>
      <w:r>
        <w:t xml:space="preserve">  在壳体上安装压浆管注浆，将浆液分隔成四个区域，根据纠转方向的要求，选择适当的压浆点，使压出的浆液在机头形成力偶，使机头按所需的方向旋转，以达到纠扭目的；</w:t>
      </w:r>
    </w:p>
    <w:p>
      <w:pPr>
        <w:ind w:firstLine="482" w:firstLineChars="200"/>
      </w:pPr>
      <w:r>
        <w:rPr>
          <w:b/>
          <w:bCs/>
        </w:rPr>
        <w:t>3</w:t>
      </w:r>
      <w:r>
        <w:t xml:space="preserve">  偏差较大时调整两个矩形刀盘同向旋转，并与机头的扭转方向一致，将产生反向力偶，以控制机头的姿态，达到纠转的目的。</w:t>
      </w:r>
    </w:p>
    <w:p>
      <w:pPr>
        <w:pStyle w:val="3"/>
        <w:rPr>
          <w:rFonts w:eastAsia="黑体" w:cs="Times New Roman"/>
          <w:b w:val="0"/>
        </w:rPr>
      </w:pPr>
      <w:bookmarkStart w:id="936" w:name="_Toc13376"/>
      <w:bookmarkStart w:id="937" w:name="_Toc33214167"/>
      <w:bookmarkStart w:id="938" w:name="_Toc8224"/>
      <w:bookmarkStart w:id="939" w:name="_Toc15291"/>
      <w:bookmarkStart w:id="940" w:name="_Toc60173860"/>
      <w:bookmarkStart w:id="941" w:name="_Toc60173333"/>
      <w:bookmarkStart w:id="942" w:name="_Toc15760"/>
      <w:bookmarkStart w:id="943" w:name="_Toc12289"/>
      <w:bookmarkStart w:id="944" w:name="_Toc60172973"/>
      <w:bookmarkStart w:id="945" w:name="_Toc26559"/>
      <w:r>
        <w:rPr>
          <w:rFonts w:eastAsia="黑体" w:cs="Times New Roman"/>
        </w:rPr>
        <w:t>9.8</w:t>
      </w:r>
      <w:r>
        <w:rPr>
          <w:rFonts w:eastAsia="黑体" w:cs="Times New Roman"/>
          <w:b w:val="0"/>
        </w:rPr>
        <w:t xml:space="preserve">  监测与变形控制</w:t>
      </w:r>
      <w:bookmarkEnd w:id="936"/>
      <w:bookmarkEnd w:id="937"/>
      <w:bookmarkEnd w:id="938"/>
      <w:bookmarkEnd w:id="939"/>
      <w:bookmarkEnd w:id="940"/>
      <w:bookmarkEnd w:id="941"/>
      <w:bookmarkEnd w:id="942"/>
      <w:bookmarkEnd w:id="943"/>
      <w:bookmarkEnd w:id="944"/>
      <w:bookmarkEnd w:id="945"/>
    </w:p>
    <w:p>
      <w:r>
        <w:rPr>
          <w:b/>
          <w:bCs/>
        </w:rPr>
        <w:t>9.8.1</w:t>
      </w:r>
      <w:r>
        <w:t xml:space="preserve">  通过运用科学合理的监测方法，获取矩形顶管施工过程中重要的监测数据，为顶管的设计和施工提供依据。通过数据反馈，及时调整施工参数，减小对地面、周边建筑物或构筑物及重要设施的影响；同时监测资料还可作为检验和评价支护结构稳定性的重要依据。</w:t>
      </w:r>
    </w:p>
    <w:p>
      <w:pPr>
        <w:ind w:firstLine="480" w:firstLineChars="200"/>
        <w:rPr>
          <w:bCs/>
          <w:kern w:val="44"/>
        </w:rPr>
      </w:pPr>
      <w:r>
        <w:rPr>
          <w:rFonts w:hint="eastAsia"/>
          <w:bCs/>
          <w:kern w:val="44"/>
        </w:rPr>
        <w:t>监测点布置需考虑顶管长度和断面大小及覆土厚度，一般纵向间距不大于20m，横向间距不大于10m。如遇下穿地下管线，监测点应在管线正上方布设且纵线间距适当加密。浅覆土顶管施工，监测点宜在距离顶管机前方10~20m范围开始监测。</w:t>
      </w:r>
    </w:p>
    <w:p/>
    <w:p>
      <w:r>
        <w:rPr>
          <w:b/>
          <w:bCs/>
        </w:rPr>
        <w:t>9.8.3</w:t>
      </w:r>
      <w:r>
        <w:t xml:space="preserve">  顶管在路面下掘进，不可避免的会造成土体扰动变形。如果掘进中出现超量出泥的情况，路面一般不会立刻下沉，如果顶管施工时已经发生较大的坍塌，会使路面下方塌方严重，并产生孔洞。</w:t>
      </w:r>
    </w:p>
    <w:p/>
    <w:p>
      <w:pPr>
        <w:pStyle w:val="3"/>
        <w:rPr>
          <w:rFonts w:eastAsia="黑体" w:cs="Times New Roman"/>
          <w:b w:val="0"/>
        </w:rPr>
      </w:pPr>
      <w:bookmarkStart w:id="946" w:name="_Toc28592"/>
      <w:bookmarkStart w:id="947" w:name="_Toc60173334"/>
      <w:bookmarkStart w:id="948" w:name="_Toc33214168"/>
      <w:bookmarkStart w:id="949" w:name="_Toc22558"/>
      <w:bookmarkStart w:id="950" w:name="_Toc60172974"/>
      <w:bookmarkStart w:id="951" w:name="_Toc18960"/>
      <w:bookmarkStart w:id="952" w:name="_Toc60173861"/>
      <w:bookmarkStart w:id="953" w:name="_Toc12263"/>
      <w:bookmarkStart w:id="954" w:name="_Toc30468"/>
      <w:bookmarkStart w:id="955" w:name="_Toc19608"/>
      <w:r>
        <w:rPr>
          <w:rFonts w:eastAsia="黑体" w:cs="Times New Roman"/>
        </w:rPr>
        <w:t>9.9</w:t>
      </w:r>
      <w:r>
        <w:rPr>
          <w:rFonts w:eastAsia="黑体" w:cs="Times New Roman"/>
          <w:b w:val="0"/>
        </w:rPr>
        <w:t xml:space="preserve">  顶管机拆解与吊出</w:t>
      </w:r>
      <w:bookmarkEnd w:id="946"/>
      <w:bookmarkEnd w:id="947"/>
      <w:bookmarkEnd w:id="948"/>
      <w:bookmarkEnd w:id="949"/>
      <w:bookmarkEnd w:id="950"/>
      <w:bookmarkEnd w:id="951"/>
      <w:bookmarkEnd w:id="952"/>
      <w:bookmarkEnd w:id="953"/>
      <w:bookmarkEnd w:id="954"/>
      <w:bookmarkEnd w:id="955"/>
    </w:p>
    <w:p>
      <w:r>
        <w:rPr>
          <w:b/>
          <w:bCs/>
        </w:rPr>
        <w:t>9.9.3</w:t>
      </w:r>
      <w:r>
        <w:t xml:space="preserve">  本条根据常规顶管机拆机的要求作出了几点规定，顶管机拆机过程中需要保证顶管机各连接部件清洁并按照合理顺利依次拆除，确保整个拆机过程的安全。</w:t>
      </w:r>
    </w:p>
    <w:p>
      <w:r>
        <w:rPr>
          <w:b/>
          <w:bCs/>
        </w:rPr>
        <w:t>9.9.5</w:t>
      </w:r>
      <w:r>
        <w:t xml:space="preserve">  矩形顶管机的拆解与吊出需要根据场地大小、构件重量大小、吊装费用等因素综合考虑选择性能匹配的吊装机械。</w:t>
      </w:r>
    </w:p>
    <w:sectPr>
      <w:pgSz w:w="11850" w:h="16783"/>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25"/>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25"/>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jc w:val="center"/>
                          </w:pPr>
                          <w:r>
                            <w:rPr>
                              <w:b/>
                              <w:sz w:val="24"/>
                              <w:szCs w:val="24"/>
                            </w:rPr>
                            <w:fldChar w:fldCharType="begin"/>
                          </w:r>
                          <w:r>
                            <w:rPr>
                              <w:b/>
                            </w:rPr>
                            <w:instrText xml:space="preserve">PAGE</w:instrText>
                          </w:r>
                          <w:r>
                            <w:rPr>
                              <w:b/>
                              <w:sz w:val="24"/>
                              <w:szCs w:val="24"/>
                            </w:rPr>
                            <w:fldChar w:fldCharType="separate"/>
                          </w:r>
                          <w:r>
                            <w:rPr>
                              <w:b/>
                            </w:rPr>
                            <w:t>97</w:t>
                          </w:r>
                          <w:r>
                            <w:rPr>
                              <w:b/>
                              <w:sz w:val="24"/>
                              <w:szCs w:val="24"/>
                            </w:rPr>
                            <w:fldChar w:fldCharType="end"/>
                          </w:r>
                          <w:r>
                            <w:rPr>
                              <w:lang w:val="zh-CN"/>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&#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BEkaiw4CAAAHBAAADgAAAAAAAAABACAAAAAf&#10;AQAAZHJzL2Uyb0RvYy54bWxQSwUGAAAAAAYABgBZAQAAnwUAAAAA&#10;">
              <v:fill on="f" focussize="0,0"/>
              <v:stroke on="f" weight="0.5pt"/>
              <v:imagedata o:title=""/>
              <o:lock v:ext="edit" aspectratio="f"/>
              <v:textbox inset="0mm,0mm,0mm,0mm" style="mso-fit-shape-to-text:t;">
                <w:txbxContent>
                  <w:p>
                    <w:pPr>
                      <w:pStyle w:val="25"/>
                      <w:jc w:val="center"/>
                    </w:pPr>
                    <w:r>
                      <w:rPr>
                        <w:b/>
                        <w:sz w:val="24"/>
                        <w:szCs w:val="24"/>
                      </w:rPr>
                      <w:fldChar w:fldCharType="begin"/>
                    </w:r>
                    <w:r>
                      <w:rPr>
                        <w:b/>
                      </w:rPr>
                      <w:instrText xml:space="preserve">PAGE</w:instrText>
                    </w:r>
                    <w:r>
                      <w:rPr>
                        <w:b/>
                        <w:sz w:val="24"/>
                        <w:szCs w:val="24"/>
                      </w:rPr>
                      <w:fldChar w:fldCharType="separate"/>
                    </w:r>
                    <w:r>
                      <w:rPr>
                        <w:b/>
                      </w:rPr>
                      <w:t>97</w:t>
                    </w:r>
                    <w:r>
                      <w:rPr>
                        <w:b/>
                        <w:sz w:val="24"/>
                        <w:szCs w:val="24"/>
                      </w:rPr>
                      <w:fldChar w:fldCharType="end"/>
                    </w:r>
                    <w:r>
                      <w:rPr>
                        <w:lang w:val="zh-CN"/>
                      </w:rPr>
                      <w:t xml:space="preserve"> </w:t>
                    </w:r>
                  </w:p>
                </w:txbxContent>
              </v:textbox>
            </v:shape>
          </w:pict>
        </mc:Fallback>
      </mc:AlternateContent>
    </w:r>
  </w:p>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A70"/>
    <w:multiLevelType w:val="multilevel"/>
    <w:tmpl w:val="03F45A70"/>
    <w:lvl w:ilvl="0" w:tentative="0">
      <w:start w:val="1"/>
      <w:numFmt w:val="decimal"/>
      <w:pStyle w:val="9"/>
      <w:lvlText w:val="%1）"/>
      <w:lvlJc w:val="left"/>
      <w:pPr>
        <w:ind w:left="1446" w:hanging="397"/>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6CD6532"/>
    <w:multiLevelType w:val="multilevel"/>
    <w:tmpl w:val="16CD6532"/>
    <w:lvl w:ilvl="0" w:tentative="0">
      <w:start w:val="6"/>
      <w:numFmt w:val="decimal"/>
      <w:lvlText w:val="%1"/>
      <w:lvlJc w:val="left"/>
      <w:pPr>
        <w:tabs>
          <w:tab w:val="left" w:pos="660"/>
        </w:tabs>
        <w:ind w:left="660" w:hanging="660"/>
      </w:pPr>
      <w:rPr>
        <w:rFonts w:hint="eastAsia"/>
        <w:b w:val="0"/>
      </w:rPr>
    </w:lvl>
    <w:lvl w:ilvl="1" w:tentative="0">
      <w:start w:val="6"/>
      <w:numFmt w:val="decimal"/>
      <w:pStyle w:val="82"/>
      <w:lvlText w:val="%1.%2"/>
      <w:lvlJc w:val="left"/>
      <w:pPr>
        <w:tabs>
          <w:tab w:val="left" w:pos="720"/>
        </w:tabs>
        <w:ind w:left="720" w:hanging="720"/>
      </w:pPr>
      <w:rPr>
        <w:rFonts w:hint="eastAsia"/>
        <w:b/>
      </w:rPr>
    </w:lvl>
    <w:lvl w:ilvl="2" w:tentative="0">
      <w:start w:val="1"/>
      <w:numFmt w:val="decimal"/>
      <w:lvlText w:val="%1.%2.%3"/>
      <w:lvlJc w:val="left"/>
      <w:pPr>
        <w:tabs>
          <w:tab w:val="left" w:pos="720"/>
        </w:tabs>
        <w:ind w:left="720" w:hanging="720"/>
      </w:pPr>
      <w:rPr>
        <w:rFonts w:hint="eastAsia"/>
        <w:b w:val="0"/>
      </w:rPr>
    </w:lvl>
    <w:lvl w:ilvl="3" w:tentative="0">
      <w:start w:val="1"/>
      <w:numFmt w:val="decimal"/>
      <w:lvlText w:val="%1.%2.%3.%4"/>
      <w:lvlJc w:val="left"/>
      <w:pPr>
        <w:tabs>
          <w:tab w:val="left" w:pos="1080"/>
        </w:tabs>
        <w:ind w:left="1080" w:hanging="1080"/>
      </w:pPr>
      <w:rPr>
        <w:rFonts w:hint="eastAsia"/>
        <w:b w:val="0"/>
      </w:rPr>
    </w:lvl>
    <w:lvl w:ilvl="4" w:tentative="0">
      <w:start w:val="1"/>
      <w:numFmt w:val="decimal"/>
      <w:lvlText w:val="%1.%2.%3.%4.%5"/>
      <w:lvlJc w:val="left"/>
      <w:pPr>
        <w:tabs>
          <w:tab w:val="left" w:pos="1440"/>
        </w:tabs>
        <w:ind w:left="1440" w:hanging="1440"/>
      </w:pPr>
      <w:rPr>
        <w:rFonts w:hint="eastAsia"/>
        <w:b w:val="0"/>
      </w:rPr>
    </w:lvl>
    <w:lvl w:ilvl="5" w:tentative="0">
      <w:start w:val="1"/>
      <w:numFmt w:val="decimal"/>
      <w:lvlText w:val="%1.%2.%3.%4.%5.%6"/>
      <w:lvlJc w:val="left"/>
      <w:pPr>
        <w:tabs>
          <w:tab w:val="left" w:pos="1440"/>
        </w:tabs>
        <w:ind w:left="1440" w:hanging="1440"/>
      </w:pPr>
      <w:rPr>
        <w:rFonts w:hint="eastAsia"/>
        <w:b w:val="0"/>
      </w:rPr>
    </w:lvl>
    <w:lvl w:ilvl="6" w:tentative="0">
      <w:start w:val="1"/>
      <w:numFmt w:val="decimal"/>
      <w:lvlText w:val="%1.%2.%3.%4.%5.%6.%7"/>
      <w:lvlJc w:val="left"/>
      <w:pPr>
        <w:tabs>
          <w:tab w:val="left" w:pos="1800"/>
        </w:tabs>
        <w:ind w:left="1800" w:hanging="1800"/>
      </w:pPr>
      <w:rPr>
        <w:rFonts w:hint="eastAsia"/>
        <w:b w:val="0"/>
      </w:rPr>
    </w:lvl>
    <w:lvl w:ilvl="7" w:tentative="0">
      <w:start w:val="1"/>
      <w:numFmt w:val="decimal"/>
      <w:lvlText w:val="%1.%2.%3.%4.%5.%6.%7.%8"/>
      <w:lvlJc w:val="left"/>
      <w:pPr>
        <w:tabs>
          <w:tab w:val="left" w:pos="1800"/>
        </w:tabs>
        <w:ind w:left="1800" w:hanging="1800"/>
      </w:pPr>
      <w:rPr>
        <w:rFonts w:hint="eastAsia"/>
        <w:b w:val="0"/>
      </w:rPr>
    </w:lvl>
    <w:lvl w:ilvl="8" w:tentative="0">
      <w:start w:val="1"/>
      <w:numFmt w:val="decimal"/>
      <w:lvlText w:val="%1.%2.%3.%4.%5.%6.%7.%8.%9"/>
      <w:lvlJc w:val="left"/>
      <w:pPr>
        <w:tabs>
          <w:tab w:val="left" w:pos="2160"/>
        </w:tabs>
        <w:ind w:left="2160" w:hanging="2160"/>
      </w:pPr>
      <w:rPr>
        <w:rFonts w:hint="eastAsia"/>
        <w:b w:val="0"/>
      </w:rPr>
    </w:lvl>
  </w:abstractNum>
  <w:abstractNum w:abstractNumId="2">
    <w:nsid w:val="6C9156BB"/>
    <w:multiLevelType w:val="multilevel"/>
    <w:tmpl w:val="6C9156BB"/>
    <w:lvl w:ilvl="0" w:tentative="0">
      <w:start w:val="1"/>
      <w:numFmt w:val="decimal"/>
      <w:lvlText w:val="%1"/>
      <w:lvlJc w:val="left"/>
      <w:pPr>
        <w:ind w:left="420" w:hanging="420"/>
      </w:pPr>
      <w:rPr>
        <w:rFonts w:hint="eastAsia"/>
        <w:b/>
        <w:i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E0B5280"/>
    <w:multiLevelType w:val="multilevel"/>
    <w:tmpl w:val="7E0B5280"/>
    <w:lvl w:ilvl="0" w:tentative="0">
      <w:start w:val="1"/>
      <w:numFmt w:val="decimal"/>
      <w:pStyle w:val="7"/>
      <w:lvlText w:val="%1"/>
      <w:lvlJc w:val="left"/>
      <w:pPr>
        <w:ind w:left="737" w:hanging="317"/>
      </w:pPr>
      <w:rPr>
        <w:rFonts w:hint="default" w:ascii="Times New Roman" w:hAnsi="Times New Roman"/>
        <w:b/>
        <w:i w:val="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E6B"/>
    <w:rsid w:val="00000231"/>
    <w:rsid w:val="0000031E"/>
    <w:rsid w:val="00000540"/>
    <w:rsid w:val="00003A12"/>
    <w:rsid w:val="00007632"/>
    <w:rsid w:val="00007997"/>
    <w:rsid w:val="00010DA2"/>
    <w:rsid w:val="00011376"/>
    <w:rsid w:val="000143D3"/>
    <w:rsid w:val="00014465"/>
    <w:rsid w:val="00014C03"/>
    <w:rsid w:val="00014DB2"/>
    <w:rsid w:val="000163D7"/>
    <w:rsid w:val="0002067A"/>
    <w:rsid w:val="00020BEA"/>
    <w:rsid w:val="00020EB6"/>
    <w:rsid w:val="000214C4"/>
    <w:rsid w:val="00024985"/>
    <w:rsid w:val="00025B3F"/>
    <w:rsid w:val="000306C4"/>
    <w:rsid w:val="00033B76"/>
    <w:rsid w:val="00034642"/>
    <w:rsid w:val="00041690"/>
    <w:rsid w:val="000419C4"/>
    <w:rsid w:val="00043F75"/>
    <w:rsid w:val="000441A0"/>
    <w:rsid w:val="00045267"/>
    <w:rsid w:val="00045E23"/>
    <w:rsid w:val="0005001B"/>
    <w:rsid w:val="00050604"/>
    <w:rsid w:val="00050C18"/>
    <w:rsid w:val="00051482"/>
    <w:rsid w:val="0005523A"/>
    <w:rsid w:val="000560C3"/>
    <w:rsid w:val="00056B02"/>
    <w:rsid w:val="00062486"/>
    <w:rsid w:val="000624B0"/>
    <w:rsid w:val="00062A4D"/>
    <w:rsid w:val="0006444D"/>
    <w:rsid w:val="00064FD6"/>
    <w:rsid w:val="000652AA"/>
    <w:rsid w:val="00065DF8"/>
    <w:rsid w:val="00067C65"/>
    <w:rsid w:val="00070FFC"/>
    <w:rsid w:val="00071196"/>
    <w:rsid w:val="00071E69"/>
    <w:rsid w:val="0007280C"/>
    <w:rsid w:val="00073D1D"/>
    <w:rsid w:val="00073D6C"/>
    <w:rsid w:val="00077737"/>
    <w:rsid w:val="0007794E"/>
    <w:rsid w:val="000825C3"/>
    <w:rsid w:val="00082F59"/>
    <w:rsid w:val="0008476A"/>
    <w:rsid w:val="00085598"/>
    <w:rsid w:val="00085896"/>
    <w:rsid w:val="00086228"/>
    <w:rsid w:val="000866AA"/>
    <w:rsid w:val="0008771D"/>
    <w:rsid w:val="00087AB8"/>
    <w:rsid w:val="0009097E"/>
    <w:rsid w:val="000912A3"/>
    <w:rsid w:val="00096204"/>
    <w:rsid w:val="000971A6"/>
    <w:rsid w:val="0009793D"/>
    <w:rsid w:val="00097ACA"/>
    <w:rsid w:val="000A08CF"/>
    <w:rsid w:val="000A1777"/>
    <w:rsid w:val="000A1D6E"/>
    <w:rsid w:val="000A2169"/>
    <w:rsid w:val="000A251F"/>
    <w:rsid w:val="000A2C91"/>
    <w:rsid w:val="000A3094"/>
    <w:rsid w:val="000A32D1"/>
    <w:rsid w:val="000A4047"/>
    <w:rsid w:val="000A56D2"/>
    <w:rsid w:val="000A59D4"/>
    <w:rsid w:val="000A705D"/>
    <w:rsid w:val="000B4CB1"/>
    <w:rsid w:val="000B5D4C"/>
    <w:rsid w:val="000B6904"/>
    <w:rsid w:val="000B6D9C"/>
    <w:rsid w:val="000B7264"/>
    <w:rsid w:val="000C0635"/>
    <w:rsid w:val="000C0993"/>
    <w:rsid w:val="000C1B3C"/>
    <w:rsid w:val="000C21E5"/>
    <w:rsid w:val="000D0E38"/>
    <w:rsid w:val="000D1B00"/>
    <w:rsid w:val="000D3CE1"/>
    <w:rsid w:val="000D54C0"/>
    <w:rsid w:val="000D6F2B"/>
    <w:rsid w:val="000E0A79"/>
    <w:rsid w:val="000E3C29"/>
    <w:rsid w:val="000E627D"/>
    <w:rsid w:val="000E6F76"/>
    <w:rsid w:val="000F092A"/>
    <w:rsid w:val="000F0ABB"/>
    <w:rsid w:val="000F1C6E"/>
    <w:rsid w:val="000F23A3"/>
    <w:rsid w:val="000F2AAE"/>
    <w:rsid w:val="000F5D6C"/>
    <w:rsid w:val="000F5E88"/>
    <w:rsid w:val="001016FB"/>
    <w:rsid w:val="00102A13"/>
    <w:rsid w:val="0010620B"/>
    <w:rsid w:val="00110FF4"/>
    <w:rsid w:val="001111DD"/>
    <w:rsid w:val="001114A0"/>
    <w:rsid w:val="00113A03"/>
    <w:rsid w:val="00115578"/>
    <w:rsid w:val="00121642"/>
    <w:rsid w:val="00122D4E"/>
    <w:rsid w:val="00123215"/>
    <w:rsid w:val="0012545B"/>
    <w:rsid w:val="001269FC"/>
    <w:rsid w:val="00126CA4"/>
    <w:rsid w:val="00127614"/>
    <w:rsid w:val="001302A2"/>
    <w:rsid w:val="001315D9"/>
    <w:rsid w:val="001316A9"/>
    <w:rsid w:val="00131D2C"/>
    <w:rsid w:val="00131DD2"/>
    <w:rsid w:val="00132C1E"/>
    <w:rsid w:val="00133DEB"/>
    <w:rsid w:val="00134406"/>
    <w:rsid w:val="0013487A"/>
    <w:rsid w:val="00134FF5"/>
    <w:rsid w:val="001361B8"/>
    <w:rsid w:val="00136DD4"/>
    <w:rsid w:val="00137E6C"/>
    <w:rsid w:val="00137E86"/>
    <w:rsid w:val="001405BF"/>
    <w:rsid w:val="00141879"/>
    <w:rsid w:val="00141C4F"/>
    <w:rsid w:val="00142326"/>
    <w:rsid w:val="001500B2"/>
    <w:rsid w:val="0015393C"/>
    <w:rsid w:val="00153CC2"/>
    <w:rsid w:val="00153CFC"/>
    <w:rsid w:val="0015637F"/>
    <w:rsid w:val="0015785F"/>
    <w:rsid w:val="00157E8D"/>
    <w:rsid w:val="00160D12"/>
    <w:rsid w:val="00160F3E"/>
    <w:rsid w:val="001610AB"/>
    <w:rsid w:val="00161B50"/>
    <w:rsid w:val="001623E0"/>
    <w:rsid w:val="00162A52"/>
    <w:rsid w:val="00162FAE"/>
    <w:rsid w:val="00166D4F"/>
    <w:rsid w:val="00167382"/>
    <w:rsid w:val="00170470"/>
    <w:rsid w:val="00170A62"/>
    <w:rsid w:val="001711A4"/>
    <w:rsid w:val="0017172B"/>
    <w:rsid w:val="00171C09"/>
    <w:rsid w:val="00172445"/>
    <w:rsid w:val="00172E20"/>
    <w:rsid w:val="001735DE"/>
    <w:rsid w:val="00174B31"/>
    <w:rsid w:val="00174C2B"/>
    <w:rsid w:val="00175A07"/>
    <w:rsid w:val="00175C41"/>
    <w:rsid w:val="00176621"/>
    <w:rsid w:val="00180103"/>
    <w:rsid w:val="001801A7"/>
    <w:rsid w:val="001824A4"/>
    <w:rsid w:val="001840B8"/>
    <w:rsid w:val="001850BA"/>
    <w:rsid w:val="00185BE9"/>
    <w:rsid w:val="001870EA"/>
    <w:rsid w:val="00192CBB"/>
    <w:rsid w:val="00193276"/>
    <w:rsid w:val="00193847"/>
    <w:rsid w:val="00194090"/>
    <w:rsid w:val="00194489"/>
    <w:rsid w:val="001944C0"/>
    <w:rsid w:val="00194AD3"/>
    <w:rsid w:val="00196948"/>
    <w:rsid w:val="001A05CF"/>
    <w:rsid w:val="001A1B82"/>
    <w:rsid w:val="001A1ECC"/>
    <w:rsid w:val="001A2008"/>
    <w:rsid w:val="001A49E7"/>
    <w:rsid w:val="001A5294"/>
    <w:rsid w:val="001A7DFB"/>
    <w:rsid w:val="001B21B5"/>
    <w:rsid w:val="001B23BA"/>
    <w:rsid w:val="001B2C62"/>
    <w:rsid w:val="001B2D97"/>
    <w:rsid w:val="001B3BCD"/>
    <w:rsid w:val="001B3F3B"/>
    <w:rsid w:val="001B79CD"/>
    <w:rsid w:val="001C023D"/>
    <w:rsid w:val="001C3CB8"/>
    <w:rsid w:val="001D1625"/>
    <w:rsid w:val="001D3398"/>
    <w:rsid w:val="001D5C97"/>
    <w:rsid w:val="001E0042"/>
    <w:rsid w:val="001E1B8F"/>
    <w:rsid w:val="001E1F39"/>
    <w:rsid w:val="001E39AC"/>
    <w:rsid w:val="001E5367"/>
    <w:rsid w:val="001E5379"/>
    <w:rsid w:val="001E57EA"/>
    <w:rsid w:val="001E74C3"/>
    <w:rsid w:val="001E7849"/>
    <w:rsid w:val="001E7917"/>
    <w:rsid w:val="001F0368"/>
    <w:rsid w:val="001F0E76"/>
    <w:rsid w:val="001F2557"/>
    <w:rsid w:val="001F3D6C"/>
    <w:rsid w:val="001F7606"/>
    <w:rsid w:val="0020065F"/>
    <w:rsid w:val="00200C79"/>
    <w:rsid w:val="00200CA4"/>
    <w:rsid w:val="0020137C"/>
    <w:rsid w:val="00201619"/>
    <w:rsid w:val="00201CEF"/>
    <w:rsid w:val="0020416E"/>
    <w:rsid w:val="0020423C"/>
    <w:rsid w:val="002050A2"/>
    <w:rsid w:val="002062C8"/>
    <w:rsid w:val="0020638E"/>
    <w:rsid w:val="00206969"/>
    <w:rsid w:val="002075BB"/>
    <w:rsid w:val="00210BD3"/>
    <w:rsid w:val="00211461"/>
    <w:rsid w:val="002121CA"/>
    <w:rsid w:val="00214C08"/>
    <w:rsid w:val="00215C36"/>
    <w:rsid w:val="00217227"/>
    <w:rsid w:val="00222932"/>
    <w:rsid w:val="00224CF0"/>
    <w:rsid w:val="002253EE"/>
    <w:rsid w:val="00227167"/>
    <w:rsid w:val="00227468"/>
    <w:rsid w:val="00232261"/>
    <w:rsid w:val="00233CCD"/>
    <w:rsid w:val="00233D92"/>
    <w:rsid w:val="00234FFA"/>
    <w:rsid w:val="00237799"/>
    <w:rsid w:val="002379BE"/>
    <w:rsid w:val="00240066"/>
    <w:rsid w:val="0024006A"/>
    <w:rsid w:val="00241455"/>
    <w:rsid w:val="002415F6"/>
    <w:rsid w:val="00244F6E"/>
    <w:rsid w:val="00245384"/>
    <w:rsid w:val="00246929"/>
    <w:rsid w:val="0024729B"/>
    <w:rsid w:val="0024789D"/>
    <w:rsid w:val="0025000D"/>
    <w:rsid w:val="00250224"/>
    <w:rsid w:val="00252794"/>
    <w:rsid w:val="00252873"/>
    <w:rsid w:val="002532DF"/>
    <w:rsid w:val="00253A08"/>
    <w:rsid w:val="00253E47"/>
    <w:rsid w:val="00254163"/>
    <w:rsid w:val="00254ED7"/>
    <w:rsid w:val="00254F9F"/>
    <w:rsid w:val="00254FC3"/>
    <w:rsid w:val="002562FF"/>
    <w:rsid w:val="00257FB6"/>
    <w:rsid w:val="00260394"/>
    <w:rsid w:val="002621DC"/>
    <w:rsid w:val="00263BC3"/>
    <w:rsid w:val="0026583E"/>
    <w:rsid w:val="0027007F"/>
    <w:rsid w:val="002701DD"/>
    <w:rsid w:val="002723EE"/>
    <w:rsid w:val="002739AF"/>
    <w:rsid w:val="00280153"/>
    <w:rsid w:val="002853A6"/>
    <w:rsid w:val="0028743E"/>
    <w:rsid w:val="002912AB"/>
    <w:rsid w:val="00291FC3"/>
    <w:rsid w:val="00294403"/>
    <w:rsid w:val="002A15A5"/>
    <w:rsid w:val="002A257A"/>
    <w:rsid w:val="002A7A80"/>
    <w:rsid w:val="002B0126"/>
    <w:rsid w:val="002B047B"/>
    <w:rsid w:val="002B323F"/>
    <w:rsid w:val="002B5DD0"/>
    <w:rsid w:val="002B5F45"/>
    <w:rsid w:val="002C0116"/>
    <w:rsid w:val="002C0ACB"/>
    <w:rsid w:val="002C0B84"/>
    <w:rsid w:val="002C1C22"/>
    <w:rsid w:val="002C291B"/>
    <w:rsid w:val="002C5D87"/>
    <w:rsid w:val="002C6BFD"/>
    <w:rsid w:val="002D3936"/>
    <w:rsid w:val="002D3BDC"/>
    <w:rsid w:val="002D4546"/>
    <w:rsid w:val="002D5680"/>
    <w:rsid w:val="002E0F94"/>
    <w:rsid w:val="002E132B"/>
    <w:rsid w:val="002E135D"/>
    <w:rsid w:val="002E22C2"/>
    <w:rsid w:val="002E468A"/>
    <w:rsid w:val="002E4859"/>
    <w:rsid w:val="002E50FD"/>
    <w:rsid w:val="002E632C"/>
    <w:rsid w:val="002F3CFE"/>
    <w:rsid w:val="002F50F4"/>
    <w:rsid w:val="002F7DAC"/>
    <w:rsid w:val="003014AD"/>
    <w:rsid w:val="00302C7E"/>
    <w:rsid w:val="00303212"/>
    <w:rsid w:val="003035CB"/>
    <w:rsid w:val="0030455B"/>
    <w:rsid w:val="00304BC3"/>
    <w:rsid w:val="00305194"/>
    <w:rsid w:val="00305468"/>
    <w:rsid w:val="00305C84"/>
    <w:rsid w:val="00306843"/>
    <w:rsid w:val="00306AFA"/>
    <w:rsid w:val="00307F95"/>
    <w:rsid w:val="00311D87"/>
    <w:rsid w:val="0031254D"/>
    <w:rsid w:val="0031336D"/>
    <w:rsid w:val="00316470"/>
    <w:rsid w:val="003164EB"/>
    <w:rsid w:val="00322141"/>
    <w:rsid w:val="00322931"/>
    <w:rsid w:val="00322A1E"/>
    <w:rsid w:val="00322E7B"/>
    <w:rsid w:val="00324E06"/>
    <w:rsid w:val="003256A9"/>
    <w:rsid w:val="00327740"/>
    <w:rsid w:val="00327ADB"/>
    <w:rsid w:val="00327BEF"/>
    <w:rsid w:val="003319C6"/>
    <w:rsid w:val="0033343F"/>
    <w:rsid w:val="00336C92"/>
    <w:rsid w:val="0033716B"/>
    <w:rsid w:val="00337449"/>
    <w:rsid w:val="0033768C"/>
    <w:rsid w:val="003417FB"/>
    <w:rsid w:val="00342209"/>
    <w:rsid w:val="00344A93"/>
    <w:rsid w:val="00345B26"/>
    <w:rsid w:val="00346057"/>
    <w:rsid w:val="003473AC"/>
    <w:rsid w:val="003478C3"/>
    <w:rsid w:val="00347D03"/>
    <w:rsid w:val="003503CA"/>
    <w:rsid w:val="0035057F"/>
    <w:rsid w:val="003506D5"/>
    <w:rsid w:val="003526A0"/>
    <w:rsid w:val="00352F70"/>
    <w:rsid w:val="00353882"/>
    <w:rsid w:val="003541C8"/>
    <w:rsid w:val="00354DE9"/>
    <w:rsid w:val="00355170"/>
    <w:rsid w:val="00355414"/>
    <w:rsid w:val="00355ADA"/>
    <w:rsid w:val="00357122"/>
    <w:rsid w:val="00357859"/>
    <w:rsid w:val="00357E5B"/>
    <w:rsid w:val="00357EBA"/>
    <w:rsid w:val="0036064B"/>
    <w:rsid w:val="00360EA4"/>
    <w:rsid w:val="003633C8"/>
    <w:rsid w:val="00363C69"/>
    <w:rsid w:val="0036426C"/>
    <w:rsid w:val="003671D3"/>
    <w:rsid w:val="00370EC5"/>
    <w:rsid w:val="00371198"/>
    <w:rsid w:val="003732C0"/>
    <w:rsid w:val="00373EE2"/>
    <w:rsid w:val="00375D1A"/>
    <w:rsid w:val="00377E26"/>
    <w:rsid w:val="003801E3"/>
    <w:rsid w:val="0038052F"/>
    <w:rsid w:val="00384FA6"/>
    <w:rsid w:val="003878AB"/>
    <w:rsid w:val="003914BD"/>
    <w:rsid w:val="0039188A"/>
    <w:rsid w:val="00392710"/>
    <w:rsid w:val="00393F70"/>
    <w:rsid w:val="00395EF9"/>
    <w:rsid w:val="00395F93"/>
    <w:rsid w:val="003A0883"/>
    <w:rsid w:val="003A1EE9"/>
    <w:rsid w:val="003A67CA"/>
    <w:rsid w:val="003B2519"/>
    <w:rsid w:val="003B3F58"/>
    <w:rsid w:val="003C0B92"/>
    <w:rsid w:val="003C2C10"/>
    <w:rsid w:val="003C3400"/>
    <w:rsid w:val="003C3AF8"/>
    <w:rsid w:val="003C4046"/>
    <w:rsid w:val="003C7DEF"/>
    <w:rsid w:val="003D0066"/>
    <w:rsid w:val="003D15CB"/>
    <w:rsid w:val="003D2219"/>
    <w:rsid w:val="003D2836"/>
    <w:rsid w:val="003D33CB"/>
    <w:rsid w:val="003D565E"/>
    <w:rsid w:val="003D6295"/>
    <w:rsid w:val="003D6497"/>
    <w:rsid w:val="003E0747"/>
    <w:rsid w:val="003E2DD5"/>
    <w:rsid w:val="003E4751"/>
    <w:rsid w:val="003E5AC3"/>
    <w:rsid w:val="003E7419"/>
    <w:rsid w:val="003E7E13"/>
    <w:rsid w:val="003F0AF1"/>
    <w:rsid w:val="003F3647"/>
    <w:rsid w:val="003F3CDF"/>
    <w:rsid w:val="003F4263"/>
    <w:rsid w:val="003F5511"/>
    <w:rsid w:val="003F55C6"/>
    <w:rsid w:val="003F5931"/>
    <w:rsid w:val="003F5A2C"/>
    <w:rsid w:val="003F71F2"/>
    <w:rsid w:val="00400322"/>
    <w:rsid w:val="00401336"/>
    <w:rsid w:val="00402294"/>
    <w:rsid w:val="004044E4"/>
    <w:rsid w:val="0040545B"/>
    <w:rsid w:val="00405AB2"/>
    <w:rsid w:val="00411578"/>
    <w:rsid w:val="0041492C"/>
    <w:rsid w:val="00415E4D"/>
    <w:rsid w:val="00415FB2"/>
    <w:rsid w:val="0041731E"/>
    <w:rsid w:val="00420742"/>
    <w:rsid w:val="00421956"/>
    <w:rsid w:val="00422227"/>
    <w:rsid w:val="00424628"/>
    <w:rsid w:val="00426FB1"/>
    <w:rsid w:val="00431B60"/>
    <w:rsid w:val="00432D03"/>
    <w:rsid w:val="00435A21"/>
    <w:rsid w:val="00440C82"/>
    <w:rsid w:val="00441E4E"/>
    <w:rsid w:val="004429A7"/>
    <w:rsid w:val="004449CA"/>
    <w:rsid w:val="00444AFA"/>
    <w:rsid w:val="0044531D"/>
    <w:rsid w:val="00445893"/>
    <w:rsid w:val="00451026"/>
    <w:rsid w:val="004511EA"/>
    <w:rsid w:val="00453A39"/>
    <w:rsid w:val="00453EAF"/>
    <w:rsid w:val="00462AB9"/>
    <w:rsid w:val="0046405E"/>
    <w:rsid w:val="0047189C"/>
    <w:rsid w:val="00474883"/>
    <w:rsid w:val="004757A9"/>
    <w:rsid w:val="00475A42"/>
    <w:rsid w:val="00476BE6"/>
    <w:rsid w:val="0048052D"/>
    <w:rsid w:val="00480EAA"/>
    <w:rsid w:val="004817A1"/>
    <w:rsid w:val="00482CFF"/>
    <w:rsid w:val="00484AF9"/>
    <w:rsid w:val="00484BBB"/>
    <w:rsid w:val="00485FC5"/>
    <w:rsid w:val="00486AC9"/>
    <w:rsid w:val="00492834"/>
    <w:rsid w:val="004934C7"/>
    <w:rsid w:val="004959D4"/>
    <w:rsid w:val="004972CE"/>
    <w:rsid w:val="00497878"/>
    <w:rsid w:val="00497C08"/>
    <w:rsid w:val="004A0F25"/>
    <w:rsid w:val="004B0984"/>
    <w:rsid w:val="004B0DAB"/>
    <w:rsid w:val="004B67EA"/>
    <w:rsid w:val="004B6F1E"/>
    <w:rsid w:val="004B72E1"/>
    <w:rsid w:val="004B7CFC"/>
    <w:rsid w:val="004B7CFE"/>
    <w:rsid w:val="004C00DC"/>
    <w:rsid w:val="004C1538"/>
    <w:rsid w:val="004C25EE"/>
    <w:rsid w:val="004C3E29"/>
    <w:rsid w:val="004C5B64"/>
    <w:rsid w:val="004C5C8A"/>
    <w:rsid w:val="004C5E46"/>
    <w:rsid w:val="004D0C7D"/>
    <w:rsid w:val="004D0CF6"/>
    <w:rsid w:val="004D1EC3"/>
    <w:rsid w:val="004D25BB"/>
    <w:rsid w:val="004E2AF4"/>
    <w:rsid w:val="004E2EAB"/>
    <w:rsid w:val="004E3254"/>
    <w:rsid w:val="004E4280"/>
    <w:rsid w:val="004F0924"/>
    <w:rsid w:val="004F10FB"/>
    <w:rsid w:val="004F3DA4"/>
    <w:rsid w:val="00501AEF"/>
    <w:rsid w:val="00502002"/>
    <w:rsid w:val="00502E97"/>
    <w:rsid w:val="005037A6"/>
    <w:rsid w:val="00507209"/>
    <w:rsid w:val="00512F8C"/>
    <w:rsid w:val="00514542"/>
    <w:rsid w:val="00517A38"/>
    <w:rsid w:val="00520127"/>
    <w:rsid w:val="005209D9"/>
    <w:rsid w:val="00520C70"/>
    <w:rsid w:val="005217C7"/>
    <w:rsid w:val="005234A0"/>
    <w:rsid w:val="00525F0E"/>
    <w:rsid w:val="00527012"/>
    <w:rsid w:val="00527A4F"/>
    <w:rsid w:val="00530B4A"/>
    <w:rsid w:val="005317C7"/>
    <w:rsid w:val="0053374E"/>
    <w:rsid w:val="00536644"/>
    <w:rsid w:val="005375ED"/>
    <w:rsid w:val="005377C0"/>
    <w:rsid w:val="00537ABC"/>
    <w:rsid w:val="00540CBD"/>
    <w:rsid w:val="00542352"/>
    <w:rsid w:val="00542AF8"/>
    <w:rsid w:val="005432F9"/>
    <w:rsid w:val="0054558C"/>
    <w:rsid w:val="005474D0"/>
    <w:rsid w:val="00547DBE"/>
    <w:rsid w:val="00550557"/>
    <w:rsid w:val="00550635"/>
    <w:rsid w:val="00550CFB"/>
    <w:rsid w:val="005546CF"/>
    <w:rsid w:val="00554EA4"/>
    <w:rsid w:val="00555507"/>
    <w:rsid w:val="00555E59"/>
    <w:rsid w:val="005566EF"/>
    <w:rsid w:val="00556707"/>
    <w:rsid w:val="00557323"/>
    <w:rsid w:val="005618A6"/>
    <w:rsid w:val="005619E1"/>
    <w:rsid w:val="00562258"/>
    <w:rsid w:val="00562299"/>
    <w:rsid w:val="00564DA7"/>
    <w:rsid w:val="00566606"/>
    <w:rsid w:val="00566F00"/>
    <w:rsid w:val="00571F55"/>
    <w:rsid w:val="00572B19"/>
    <w:rsid w:val="00573043"/>
    <w:rsid w:val="00575870"/>
    <w:rsid w:val="005776A5"/>
    <w:rsid w:val="005801D4"/>
    <w:rsid w:val="00580724"/>
    <w:rsid w:val="00584C12"/>
    <w:rsid w:val="00587CB5"/>
    <w:rsid w:val="00590B34"/>
    <w:rsid w:val="00590BB2"/>
    <w:rsid w:val="005919D5"/>
    <w:rsid w:val="00594EF1"/>
    <w:rsid w:val="0059642C"/>
    <w:rsid w:val="005A1BC0"/>
    <w:rsid w:val="005A2705"/>
    <w:rsid w:val="005A27C4"/>
    <w:rsid w:val="005A5440"/>
    <w:rsid w:val="005A583D"/>
    <w:rsid w:val="005B09FC"/>
    <w:rsid w:val="005B1F4E"/>
    <w:rsid w:val="005B2A8A"/>
    <w:rsid w:val="005B3085"/>
    <w:rsid w:val="005B4076"/>
    <w:rsid w:val="005B47AA"/>
    <w:rsid w:val="005C2BA0"/>
    <w:rsid w:val="005C3F9C"/>
    <w:rsid w:val="005C5955"/>
    <w:rsid w:val="005C764F"/>
    <w:rsid w:val="005C7FAB"/>
    <w:rsid w:val="005D2A17"/>
    <w:rsid w:val="005D3CD4"/>
    <w:rsid w:val="005D47BB"/>
    <w:rsid w:val="005D50D0"/>
    <w:rsid w:val="005D5135"/>
    <w:rsid w:val="005D5B0D"/>
    <w:rsid w:val="005D6FCD"/>
    <w:rsid w:val="005E05DD"/>
    <w:rsid w:val="005E170E"/>
    <w:rsid w:val="005F14FD"/>
    <w:rsid w:val="005F6100"/>
    <w:rsid w:val="006015A0"/>
    <w:rsid w:val="00601709"/>
    <w:rsid w:val="0060353D"/>
    <w:rsid w:val="00604975"/>
    <w:rsid w:val="0060760C"/>
    <w:rsid w:val="00610AFF"/>
    <w:rsid w:val="00612E17"/>
    <w:rsid w:val="00613A91"/>
    <w:rsid w:val="00614362"/>
    <w:rsid w:val="00614465"/>
    <w:rsid w:val="00617BE0"/>
    <w:rsid w:val="00621705"/>
    <w:rsid w:val="0062205A"/>
    <w:rsid w:val="00622496"/>
    <w:rsid w:val="00622599"/>
    <w:rsid w:val="006235DD"/>
    <w:rsid w:val="00625667"/>
    <w:rsid w:val="00625BB7"/>
    <w:rsid w:val="00626662"/>
    <w:rsid w:val="00630818"/>
    <w:rsid w:val="006327FF"/>
    <w:rsid w:val="00633148"/>
    <w:rsid w:val="00633A60"/>
    <w:rsid w:val="00634F08"/>
    <w:rsid w:val="006359DA"/>
    <w:rsid w:val="006403A0"/>
    <w:rsid w:val="006408EB"/>
    <w:rsid w:val="00641A78"/>
    <w:rsid w:val="0064574B"/>
    <w:rsid w:val="006465AC"/>
    <w:rsid w:val="00650972"/>
    <w:rsid w:val="00651D72"/>
    <w:rsid w:val="006540A1"/>
    <w:rsid w:val="0065648B"/>
    <w:rsid w:val="0065743E"/>
    <w:rsid w:val="00660724"/>
    <w:rsid w:val="00660BDB"/>
    <w:rsid w:val="00662EBB"/>
    <w:rsid w:val="00664DB0"/>
    <w:rsid w:val="00666E61"/>
    <w:rsid w:val="00667EB5"/>
    <w:rsid w:val="00671182"/>
    <w:rsid w:val="006721FD"/>
    <w:rsid w:val="0067312B"/>
    <w:rsid w:val="00674E17"/>
    <w:rsid w:val="00676265"/>
    <w:rsid w:val="00677FA2"/>
    <w:rsid w:val="0068080F"/>
    <w:rsid w:val="00680824"/>
    <w:rsid w:val="00681E77"/>
    <w:rsid w:val="00682AC5"/>
    <w:rsid w:val="00685BD2"/>
    <w:rsid w:val="006865C9"/>
    <w:rsid w:val="006868CA"/>
    <w:rsid w:val="00687108"/>
    <w:rsid w:val="0069061B"/>
    <w:rsid w:val="00694667"/>
    <w:rsid w:val="006A17CC"/>
    <w:rsid w:val="006A17F3"/>
    <w:rsid w:val="006A20A5"/>
    <w:rsid w:val="006A242A"/>
    <w:rsid w:val="006A3513"/>
    <w:rsid w:val="006A49A6"/>
    <w:rsid w:val="006A4AE0"/>
    <w:rsid w:val="006A519C"/>
    <w:rsid w:val="006A690C"/>
    <w:rsid w:val="006B1B89"/>
    <w:rsid w:val="006B2371"/>
    <w:rsid w:val="006B3D3B"/>
    <w:rsid w:val="006B436F"/>
    <w:rsid w:val="006B4617"/>
    <w:rsid w:val="006B4922"/>
    <w:rsid w:val="006B6E9A"/>
    <w:rsid w:val="006C157B"/>
    <w:rsid w:val="006C205E"/>
    <w:rsid w:val="006C2401"/>
    <w:rsid w:val="006C3253"/>
    <w:rsid w:val="006C40FD"/>
    <w:rsid w:val="006C5488"/>
    <w:rsid w:val="006C5E94"/>
    <w:rsid w:val="006C68C8"/>
    <w:rsid w:val="006C7AF4"/>
    <w:rsid w:val="006D1878"/>
    <w:rsid w:val="006D1E36"/>
    <w:rsid w:val="006D376B"/>
    <w:rsid w:val="006D3E1A"/>
    <w:rsid w:val="006D4213"/>
    <w:rsid w:val="006D6E31"/>
    <w:rsid w:val="006D769A"/>
    <w:rsid w:val="006D79FA"/>
    <w:rsid w:val="006E038E"/>
    <w:rsid w:val="006E11F0"/>
    <w:rsid w:val="006E1491"/>
    <w:rsid w:val="006E2988"/>
    <w:rsid w:val="006E33E6"/>
    <w:rsid w:val="006E55A5"/>
    <w:rsid w:val="006E6145"/>
    <w:rsid w:val="006E6B38"/>
    <w:rsid w:val="006E70E5"/>
    <w:rsid w:val="006F1750"/>
    <w:rsid w:val="006F332B"/>
    <w:rsid w:val="006F337E"/>
    <w:rsid w:val="006F3686"/>
    <w:rsid w:val="006F4222"/>
    <w:rsid w:val="007029F4"/>
    <w:rsid w:val="007032C3"/>
    <w:rsid w:val="00706E51"/>
    <w:rsid w:val="00711863"/>
    <w:rsid w:val="0071311B"/>
    <w:rsid w:val="00713C48"/>
    <w:rsid w:val="007141DA"/>
    <w:rsid w:val="00716B4E"/>
    <w:rsid w:val="00720059"/>
    <w:rsid w:val="00720B80"/>
    <w:rsid w:val="00720EB4"/>
    <w:rsid w:val="0072420E"/>
    <w:rsid w:val="00724E6B"/>
    <w:rsid w:val="0072601C"/>
    <w:rsid w:val="00726C57"/>
    <w:rsid w:val="007304BE"/>
    <w:rsid w:val="00731701"/>
    <w:rsid w:val="007327D8"/>
    <w:rsid w:val="007336B7"/>
    <w:rsid w:val="007349E5"/>
    <w:rsid w:val="00735275"/>
    <w:rsid w:val="00735D2C"/>
    <w:rsid w:val="00736DD3"/>
    <w:rsid w:val="00741C72"/>
    <w:rsid w:val="00744459"/>
    <w:rsid w:val="00746B53"/>
    <w:rsid w:val="00747E6C"/>
    <w:rsid w:val="0075019A"/>
    <w:rsid w:val="007507B4"/>
    <w:rsid w:val="00750FE5"/>
    <w:rsid w:val="00754B0B"/>
    <w:rsid w:val="00757A36"/>
    <w:rsid w:val="007600DA"/>
    <w:rsid w:val="007604F2"/>
    <w:rsid w:val="00761603"/>
    <w:rsid w:val="0076339D"/>
    <w:rsid w:val="00763845"/>
    <w:rsid w:val="00765727"/>
    <w:rsid w:val="00765D86"/>
    <w:rsid w:val="0076685D"/>
    <w:rsid w:val="00766A17"/>
    <w:rsid w:val="00767876"/>
    <w:rsid w:val="00773730"/>
    <w:rsid w:val="007737BB"/>
    <w:rsid w:val="007761BD"/>
    <w:rsid w:val="00776A1C"/>
    <w:rsid w:val="00776AA2"/>
    <w:rsid w:val="00777048"/>
    <w:rsid w:val="00777179"/>
    <w:rsid w:val="00780555"/>
    <w:rsid w:val="0078152B"/>
    <w:rsid w:val="007824F8"/>
    <w:rsid w:val="00783670"/>
    <w:rsid w:val="007852F9"/>
    <w:rsid w:val="00785F0B"/>
    <w:rsid w:val="0078617C"/>
    <w:rsid w:val="00786516"/>
    <w:rsid w:val="007871CD"/>
    <w:rsid w:val="00787EE6"/>
    <w:rsid w:val="00791155"/>
    <w:rsid w:val="0079123D"/>
    <w:rsid w:val="0079158B"/>
    <w:rsid w:val="007924EB"/>
    <w:rsid w:val="00793FAD"/>
    <w:rsid w:val="007941D6"/>
    <w:rsid w:val="00795581"/>
    <w:rsid w:val="00796729"/>
    <w:rsid w:val="007A02CB"/>
    <w:rsid w:val="007A1398"/>
    <w:rsid w:val="007A14A4"/>
    <w:rsid w:val="007A1A52"/>
    <w:rsid w:val="007A3719"/>
    <w:rsid w:val="007A384A"/>
    <w:rsid w:val="007A3933"/>
    <w:rsid w:val="007A5C97"/>
    <w:rsid w:val="007A719D"/>
    <w:rsid w:val="007A734F"/>
    <w:rsid w:val="007A7381"/>
    <w:rsid w:val="007B00BF"/>
    <w:rsid w:val="007B524E"/>
    <w:rsid w:val="007B5272"/>
    <w:rsid w:val="007B61F9"/>
    <w:rsid w:val="007B65EF"/>
    <w:rsid w:val="007B7264"/>
    <w:rsid w:val="007C0B41"/>
    <w:rsid w:val="007C18CC"/>
    <w:rsid w:val="007C549C"/>
    <w:rsid w:val="007C65FA"/>
    <w:rsid w:val="007C683A"/>
    <w:rsid w:val="007C6C91"/>
    <w:rsid w:val="007C78DA"/>
    <w:rsid w:val="007C7D8B"/>
    <w:rsid w:val="007D000A"/>
    <w:rsid w:val="007D04F1"/>
    <w:rsid w:val="007D2C40"/>
    <w:rsid w:val="007D3EA5"/>
    <w:rsid w:val="007D5CB2"/>
    <w:rsid w:val="007E14CE"/>
    <w:rsid w:val="007E387C"/>
    <w:rsid w:val="007E4E5B"/>
    <w:rsid w:val="007E5C5E"/>
    <w:rsid w:val="007E6DCE"/>
    <w:rsid w:val="007F236C"/>
    <w:rsid w:val="007F3985"/>
    <w:rsid w:val="007F5FF7"/>
    <w:rsid w:val="007F6008"/>
    <w:rsid w:val="007F65CC"/>
    <w:rsid w:val="007F7DCD"/>
    <w:rsid w:val="00802FDF"/>
    <w:rsid w:val="0080642E"/>
    <w:rsid w:val="008078D6"/>
    <w:rsid w:val="00810BDA"/>
    <w:rsid w:val="00812C02"/>
    <w:rsid w:val="00814221"/>
    <w:rsid w:val="008154EB"/>
    <w:rsid w:val="00816AE0"/>
    <w:rsid w:val="008176DE"/>
    <w:rsid w:val="008209F9"/>
    <w:rsid w:val="00821866"/>
    <w:rsid w:val="00821DD6"/>
    <w:rsid w:val="008225EE"/>
    <w:rsid w:val="00822E63"/>
    <w:rsid w:val="0082312B"/>
    <w:rsid w:val="00823209"/>
    <w:rsid w:val="00824E01"/>
    <w:rsid w:val="0083301F"/>
    <w:rsid w:val="00833C4F"/>
    <w:rsid w:val="008341C0"/>
    <w:rsid w:val="00835FA6"/>
    <w:rsid w:val="0083751D"/>
    <w:rsid w:val="008420ED"/>
    <w:rsid w:val="00846F12"/>
    <w:rsid w:val="00847768"/>
    <w:rsid w:val="0085131C"/>
    <w:rsid w:val="00852C14"/>
    <w:rsid w:val="00853739"/>
    <w:rsid w:val="00853CAC"/>
    <w:rsid w:val="00856783"/>
    <w:rsid w:val="00856A4E"/>
    <w:rsid w:val="00857117"/>
    <w:rsid w:val="008577D4"/>
    <w:rsid w:val="00857E4A"/>
    <w:rsid w:val="008606CD"/>
    <w:rsid w:val="00861049"/>
    <w:rsid w:val="008636FA"/>
    <w:rsid w:val="0086375A"/>
    <w:rsid w:val="008669CD"/>
    <w:rsid w:val="00867043"/>
    <w:rsid w:val="00867580"/>
    <w:rsid w:val="00871353"/>
    <w:rsid w:val="00871F56"/>
    <w:rsid w:val="00872CCB"/>
    <w:rsid w:val="008753D6"/>
    <w:rsid w:val="00876330"/>
    <w:rsid w:val="0087744C"/>
    <w:rsid w:val="00884466"/>
    <w:rsid w:val="0088646D"/>
    <w:rsid w:val="00886F2A"/>
    <w:rsid w:val="008870B3"/>
    <w:rsid w:val="00890067"/>
    <w:rsid w:val="0089118C"/>
    <w:rsid w:val="008912B9"/>
    <w:rsid w:val="008923D7"/>
    <w:rsid w:val="0089301D"/>
    <w:rsid w:val="00893A4C"/>
    <w:rsid w:val="008948E3"/>
    <w:rsid w:val="00895235"/>
    <w:rsid w:val="008961A4"/>
    <w:rsid w:val="00896A99"/>
    <w:rsid w:val="00896EFF"/>
    <w:rsid w:val="008971F2"/>
    <w:rsid w:val="0089760C"/>
    <w:rsid w:val="008A0669"/>
    <w:rsid w:val="008A0DD2"/>
    <w:rsid w:val="008A1053"/>
    <w:rsid w:val="008A33E1"/>
    <w:rsid w:val="008A49CE"/>
    <w:rsid w:val="008A508B"/>
    <w:rsid w:val="008A5224"/>
    <w:rsid w:val="008A5E2C"/>
    <w:rsid w:val="008A5E6D"/>
    <w:rsid w:val="008A5E85"/>
    <w:rsid w:val="008B0864"/>
    <w:rsid w:val="008B30DF"/>
    <w:rsid w:val="008B45F9"/>
    <w:rsid w:val="008B5A24"/>
    <w:rsid w:val="008C1257"/>
    <w:rsid w:val="008C50CE"/>
    <w:rsid w:val="008C553E"/>
    <w:rsid w:val="008D1621"/>
    <w:rsid w:val="008D1E42"/>
    <w:rsid w:val="008D274A"/>
    <w:rsid w:val="008D2871"/>
    <w:rsid w:val="008D36DF"/>
    <w:rsid w:val="008D433F"/>
    <w:rsid w:val="008D74AD"/>
    <w:rsid w:val="008E11F9"/>
    <w:rsid w:val="008E5898"/>
    <w:rsid w:val="008E6612"/>
    <w:rsid w:val="008E69C1"/>
    <w:rsid w:val="008E77CC"/>
    <w:rsid w:val="008F0EAB"/>
    <w:rsid w:val="008F25AD"/>
    <w:rsid w:val="008F2634"/>
    <w:rsid w:val="008F3E99"/>
    <w:rsid w:val="008F4831"/>
    <w:rsid w:val="008F4E21"/>
    <w:rsid w:val="008F74B9"/>
    <w:rsid w:val="008F79A6"/>
    <w:rsid w:val="008F7F85"/>
    <w:rsid w:val="00900BB6"/>
    <w:rsid w:val="00902915"/>
    <w:rsid w:val="00903252"/>
    <w:rsid w:val="00903472"/>
    <w:rsid w:val="009072B8"/>
    <w:rsid w:val="00907ACB"/>
    <w:rsid w:val="0091048D"/>
    <w:rsid w:val="009110D4"/>
    <w:rsid w:val="00911FA7"/>
    <w:rsid w:val="009134A8"/>
    <w:rsid w:val="0091437B"/>
    <w:rsid w:val="00914603"/>
    <w:rsid w:val="009154BA"/>
    <w:rsid w:val="009167EE"/>
    <w:rsid w:val="009172AD"/>
    <w:rsid w:val="00924620"/>
    <w:rsid w:val="00926644"/>
    <w:rsid w:val="0093049A"/>
    <w:rsid w:val="009332D4"/>
    <w:rsid w:val="00933AF3"/>
    <w:rsid w:val="009353F7"/>
    <w:rsid w:val="00935661"/>
    <w:rsid w:val="0093581B"/>
    <w:rsid w:val="00940A78"/>
    <w:rsid w:val="00942592"/>
    <w:rsid w:val="0094285A"/>
    <w:rsid w:val="009433FB"/>
    <w:rsid w:val="0094546D"/>
    <w:rsid w:val="0094679B"/>
    <w:rsid w:val="00947282"/>
    <w:rsid w:val="00950C85"/>
    <w:rsid w:val="00952273"/>
    <w:rsid w:val="00952864"/>
    <w:rsid w:val="00952DD8"/>
    <w:rsid w:val="009539F6"/>
    <w:rsid w:val="00953BC4"/>
    <w:rsid w:val="0095404E"/>
    <w:rsid w:val="009548F5"/>
    <w:rsid w:val="00954DCD"/>
    <w:rsid w:val="00955080"/>
    <w:rsid w:val="009562AE"/>
    <w:rsid w:val="00961DF2"/>
    <w:rsid w:val="00962181"/>
    <w:rsid w:val="00963335"/>
    <w:rsid w:val="00963B75"/>
    <w:rsid w:val="009665EB"/>
    <w:rsid w:val="00966AD5"/>
    <w:rsid w:val="009670F5"/>
    <w:rsid w:val="0096778D"/>
    <w:rsid w:val="00970547"/>
    <w:rsid w:val="009708D8"/>
    <w:rsid w:val="00971728"/>
    <w:rsid w:val="00971BA0"/>
    <w:rsid w:val="0097376E"/>
    <w:rsid w:val="009738FF"/>
    <w:rsid w:val="009744A7"/>
    <w:rsid w:val="0097485F"/>
    <w:rsid w:val="009762DC"/>
    <w:rsid w:val="00976797"/>
    <w:rsid w:val="00977259"/>
    <w:rsid w:val="0098030B"/>
    <w:rsid w:val="00980393"/>
    <w:rsid w:val="00981DA9"/>
    <w:rsid w:val="00983515"/>
    <w:rsid w:val="009841CF"/>
    <w:rsid w:val="00986034"/>
    <w:rsid w:val="0098665D"/>
    <w:rsid w:val="00987D63"/>
    <w:rsid w:val="00993B26"/>
    <w:rsid w:val="00993E1A"/>
    <w:rsid w:val="00993FE5"/>
    <w:rsid w:val="00995F99"/>
    <w:rsid w:val="009972C2"/>
    <w:rsid w:val="00997FF7"/>
    <w:rsid w:val="009A0EA9"/>
    <w:rsid w:val="009A19B0"/>
    <w:rsid w:val="009A2701"/>
    <w:rsid w:val="009A2A0A"/>
    <w:rsid w:val="009A2C21"/>
    <w:rsid w:val="009A3C86"/>
    <w:rsid w:val="009A437C"/>
    <w:rsid w:val="009A500C"/>
    <w:rsid w:val="009A56BD"/>
    <w:rsid w:val="009B2366"/>
    <w:rsid w:val="009B32E0"/>
    <w:rsid w:val="009B38E0"/>
    <w:rsid w:val="009B3AE3"/>
    <w:rsid w:val="009B5B6F"/>
    <w:rsid w:val="009B5F9A"/>
    <w:rsid w:val="009B6AF1"/>
    <w:rsid w:val="009B78D8"/>
    <w:rsid w:val="009B7CB7"/>
    <w:rsid w:val="009C0435"/>
    <w:rsid w:val="009C1209"/>
    <w:rsid w:val="009C1E2E"/>
    <w:rsid w:val="009C22D6"/>
    <w:rsid w:val="009C2B6D"/>
    <w:rsid w:val="009C3485"/>
    <w:rsid w:val="009D0F2B"/>
    <w:rsid w:val="009D24C7"/>
    <w:rsid w:val="009D312A"/>
    <w:rsid w:val="009D4B38"/>
    <w:rsid w:val="009D501E"/>
    <w:rsid w:val="009D56B1"/>
    <w:rsid w:val="009E0BC7"/>
    <w:rsid w:val="009E0BF0"/>
    <w:rsid w:val="009E1E82"/>
    <w:rsid w:val="009E1F62"/>
    <w:rsid w:val="009E3DFC"/>
    <w:rsid w:val="009E4BD9"/>
    <w:rsid w:val="009E65EE"/>
    <w:rsid w:val="009E65FD"/>
    <w:rsid w:val="009E7891"/>
    <w:rsid w:val="009F2240"/>
    <w:rsid w:val="009F334C"/>
    <w:rsid w:val="009F3753"/>
    <w:rsid w:val="009F5615"/>
    <w:rsid w:val="009F5FF6"/>
    <w:rsid w:val="009F64FC"/>
    <w:rsid w:val="009F6D37"/>
    <w:rsid w:val="009F6FFF"/>
    <w:rsid w:val="009F7B10"/>
    <w:rsid w:val="00A0160C"/>
    <w:rsid w:val="00A019CD"/>
    <w:rsid w:val="00A035DD"/>
    <w:rsid w:val="00A0497F"/>
    <w:rsid w:val="00A05536"/>
    <w:rsid w:val="00A06EE3"/>
    <w:rsid w:val="00A079B1"/>
    <w:rsid w:val="00A13C77"/>
    <w:rsid w:val="00A14D48"/>
    <w:rsid w:val="00A14D9F"/>
    <w:rsid w:val="00A15C02"/>
    <w:rsid w:val="00A15CAF"/>
    <w:rsid w:val="00A165E0"/>
    <w:rsid w:val="00A1716F"/>
    <w:rsid w:val="00A2042B"/>
    <w:rsid w:val="00A22135"/>
    <w:rsid w:val="00A226A9"/>
    <w:rsid w:val="00A251E4"/>
    <w:rsid w:val="00A2644E"/>
    <w:rsid w:val="00A27AC4"/>
    <w:rsid w:val="00A30812"/>
    <w:rsid w:val="00A30910"/>
    <w:rsid w:val="00A30FED"/>
    <w:rsid w:val="00A31894"/>
    <w:rsid w:val="00A33052"/>
    <w:rsid w:val="00A33341"/>
    <w:rsid w:val="00A33653"/>
    <w:rsid w:val="00A336E0"/>
    <w:rsid w:val="00A341B8"/>
    <w:rsid w:val="00A34DAA"/>
    <w:rsid w:val="00A35E26"/>
    <w:rsid w:val="00A368F8"/>
    <w:rsid w:val="00A3737F"/>
    <w:rsid w:val="00A37858"/>
    <w:rsid w:val="00A40D51"/>
    <w:rsid w:val="00A41610"/>
    <w:rsid w:val="00A41654"/>
    <w:rsid w:val="00A421B4"/>
    <w:rsid w:val="00A43BA4"/>
    <w:rsid w:val="00A447A4"/>
    <w:rsid w:val="00A454A2"/>
    <w:rsid w:val="00A4795E"/>
    <w:rsid w:val="00A47B89"/>
    <w:rsid w:val="00A500D2"/>
    <w:rsid w:val="00A5020F"/>
    <w:rsid w:val="00A50530"/>
    <w:rsid w:val="00A507DE"/>
    <w:rsid w:val="00A51624"/>
    <w:rsid w:val="00A53C5B"/>
    <w:rsid w:val="00A54A70"/>
    <w:rsid w:val="00A5751E"/>
    <w:rsid w:val="00A61136"/>
    <w:rsid w:val="00A61A8A"/>
    <w:rsid w:val="00A6238D"/>
    <w:rsid w:val="00A62AAD"/>
    <w:rsid w:val="00A62CFE"/>
    <w:rsid w:val="00A63957"/>
    <w:rsid w:val="00A63974"/>
    <w:rsid w:val="00A65905"/>
    <w:rsid w:val="00A674A6"/>
    <w:rsid w:val="00A70397"/>
    <w:rsid w:val="00A73CB6"/>
    <w:rsid w:val="00A77E56"/>
    <w:rsid w:val="00A827CE"/>
    <w:rsid w:val="00A833F5"/>
    <w:rsid w:val="00A836CB"/>
    <w:rsid w:val="00A83B9F"/>
    <w:rsid w:val="00A84754"/>
    <w:rsid w:val="00A855E5"/>
    <w:rsid w:val="00A86BF5"/>
    <w:rsid w:val="00A87556"/>
    <w:rsid w:val="00A903E9"/>
    <w:rsid w:val="00A9187C"/>
    <w:rsid w:val="00A92039"/>
    <w:rsid w:val="00A92126"/>
    <w:rsid w:val="00A92154"/>
    <w:rsid w:val="00A924A1"/>
    <w:rsid w:val="00A94273"/>
    <w:rsid w:val="00A95E6C"/>
    <w:rsid w:val="00A95F51"/>
    <w:rsid w:val="00A961F9"/>
    <w:rsid w:val="00A963BA"/>
    <w:rsid w:val="00AA202B"/>
    <w:rsid w:val="00AA2958"/>
    <w:rsid w:val="00AA2A92"/>
    <w:rsid w:val="00AA5046"/>
    <w:rsid w:val="00AA5C29"/>
    <w:rsid w:val="00AA6D7F"/>
    <w:rsid w:val="00AB0983"/>
    <w:rsid w:val="00AB315B"/>
    <w:rsid w:val="00AB3FA2"/>
    <w:rsid w:val="00AB48DF"/>
    <w:rsid w:val="00AB6EFD"/>
    <w:rsid w:val="00AC0F3A"/>
    <w:rsid w:val="00AC1773"/>
    <w:rsid w:val="00AC344F"/>
    <w:rsid w:val="00AC5CEF"/>
    <w:rsid w:val="00AC717C"/>
    <w:rsid w:val="00AD08E6"/>
    <w:rsid w:val="00AD0A9C"/>
    <w:rsid w:val="00AD0EF8"/>
    <w:rsid w:val="00AD1423"/>
    <w:rsid w:val="00AD19D4"/>
    <w:rsid w:val="00AD2D2F"/>
    <w:rsid w:val="00AD37F6"/>
    <w:rsid w:val="00AD3F25"/>
    <w:rsid w:val="00AD5699"/>
    <w:rsid w:val="00AD787D"/>
    <w:rsid w:val="00AE3E12"/>
    <w:rsid w:val="00AE7717"/>
    <w:rsid w:val="00AF000F"/>
    <w:rsid w:val="00AF0580"/>
    <w:rsid w:val="00AF0A76"/>
    <w:rsid w:val="00AF2369"/>
    <w:rsid w:val="00AF333C"/>
    <w:rsid w:val="00AF5229"/>
    <w:rsid w:val="00AF52B6"/>
    <w:rsid w:val="00B000FD"/>
    <w:rsid w:val="00B01071"/>
    <w:rsid w:val="00B01474"/>
    <w:rsid w:val="00B02740"/>
    <w:rsid w:val="00B027E5"/>
    <w:rsid w:val="00B03A46"/>
    <w:rsid w:val="00B06640"/>
    <w:rsid w:val="00B06A64"/>
    <w:rsid w:val="00B0714D"/>
    <w:rsid w:val="00B07238"/>
    <w:rsid w:val="00B075A1"/>
    <w:rsid w:val="00B10312"/>
    <w:rsid w:val="00B116E9"/>
    <w:rsid w:val="00B12084"/>
    <w:rsid w:val="00B124C9"/>
    <w:rsid w:val="00B13A73"/>
    <w:rsid w:val="00B146D8"/>
    <w:rsid w:val="00B1497E"/>
    <w:rsid w:val="00B14A3B"/>
    <w:rsid w:val="00B14A7E"/>
    <w:rsid w:val="00B21C4D"/>
    <w:rsid w:val="00B220AE"/>
    <w:rsid w:val="00B22DA1"/>
    <w:rsid w:val="00B24371"/>
    <w:rsid w:val="00B24DDF"/>
    <w:rsid w:val="00B2599A"/>
    <w:rsid w:val="00B263CD"/>
    <w:rsid w:val="00B272F1"/>
    <w:rsid w:val="00B307E2"/>
    <w:rsid w:val="00B31707"/>
    <w:rsid w:val="00B32288"/>
    <w:rsid w:val="00B33AB0"/>
    <w:rsid w:val="00B3429E"/>
    <w:rsid w:val="00B41A8A"/>
    <w:rsid w:val="00B43AE0"/>
    <w:rsid w:val="00B4459A"/>
    <w:rsid w:val="00B44A6F"/>
    <w:rsid w:val="00B452CA"/>
    <w:rsid w:val="00B4654C"/>
    <w:rsid w:val="00B4663F"/>
    <w:rsid w:val="00B47253"/>
    <w:rsid w:val="00B479FF"/>
    <w:rsid w:val="00B50B45"/>
    <w:rsid w:val="00B54B0E"/>
    <w:rsid w:val="00B55482"/>
    <w:rsid w:val="00B55BAC"/>
    <w:rsid w:val="00B5653D"/>
    <w:rsid w:val="00B56649"/>
    <w:rsid w:val="00B60CE2"/>
    <w:rsid w:val="00B60E3C"/>
    <w:rsid w:val="00B633C9"/>
    <w:rsid w:val="00B63F58"/>
    <w:rsid w:val="00B642B2"/>
    <w:rsid w:val="00B67004"/>
    <w:rsid w:val="00B6725D"/>
    <w:rsid w:val="00B67918"/>
    <w:rsid w:val="00B704F6"/>
    <w:rsid w:val="00B715C2"/>
    <w:rsid w:val="00B72257"/>
    <w:rsid w:val="00B72DB5"/>
    <w:rsid w:val="00B76C26"/>
    <w:rsid w:val="00B76E6A"/>
    <w:rsid w:val="00B77059"/>
    <w:rsid w:val="00B77CE3"/>
    <w:rsid w:val="00B814FC"/>
    <w:rsid w:val="00B82B74"/>
    <w:rsid w:val="00B8620B"/>
    <w:rsid w:val="00B86634"/>
    <w:rsid w:val="00B90323"/>
    <w:rsid w:val="00B91F04"/>
    <w:rsid w:val="00B941C6"/>
    <w:rsid w:val="00B959D7"/>
    <w:rsid w:val="00B97584"/>
    <w:rsid w:val="00BA04FD"/>
    <w:rsid w:val="00BA176F"/>
    <w:rsid w:val="00BA2D16"/>
    <w:rsid w:val="00BA384B"/>
    <w:rsid w:val="00BA42E8"/>
    <w:rsid w:val="00BA4537"/>
    <w:rsid w:val="00BA5686"/>
    <w:rsid w:val="00BA7D79"/>
    <w:rsid w:val="00BB141F"/>
    <w:rsid w:val="00BB353D"/>
    <w:rsid w:val="00BB58D1"/>
    <w:rsid w:val="00BB5D19"/>
    <w:rsid w:val="00BB60AA"/>
    <w:rsid w:val="00BB7AFA"/>
    <w:rsid w:val="00BC043A"/>
    <w:rsid w:val="00BC6E93"/>
    <w:rsid w:val="00BC76D8"/>
    <w:rsid w:val="00BC7A88"/>
    <w:rsid w:val="00BD09BE"/>
    <w:rsid w:val="00BD0FB0"/>
    <w:rsid w:val="00BD13B7"/>
    <w:rsid w:val="00BD3CDC"/>
    <w:rsid w:val="00BD3D36"/>
    <w:rsid w:val="00BD3FB3"/>
    <w:rsid w:val="00BD4F1A"/>
    <w:rsid w:val="00BD6069"/>
    <w:rsid w:val="00BE075A"/>
    <w:rsid w:val="00BE0EBB"/>
    <w:rsid w:val="00BE1426"/>
    <w:rsid w:val="00BE391A"/>
    <w:rsid w:val="00BE7DF6"/>
    <w:rsid w:val="00BF186C"/>
    <w:rsid w:val="00BF1B16"/>
    <w:rsid w:val="00BF1BD1"/>
    <w:rsid w:val="00BF36C4"/>
    <w:rsid w:val="00BF501C"/>
    <w:rsid w:val="00BF6725"/>
    <w:rsid w:val="00C002C0"/>
    <w:rsid w:val="00C008E7"/>
    <w:rsid w:val="00C01F99"/>
    <w:rsid w:val="00C032BB"/>
    <w:rsid w:val="00C03DC4"/>
    <w:rsid w:val="00C055CF"/>
    <w:rsid w:val="00C06D09"/>
    <w:rsid w:val="00C07790"/>
    <w:rsid w:val="00C10236"/>
    <w:rsid w:val="00C1072E"/>
    <w:rsid w:val="00C11CF1"/>
    <w:rsid w:val="00C1393B"/>
    <w:rsid w:val="00C15D03"/>
    <w:rsid w:val="00C15D2F"/>
    <w:rsid w:val="00C16F0B"/>
    <w:rsid w:val="00C171A4"/>
    <w:rsid w:val="00C20AE1"/>
    <w:rsid w:val="00C2189A"/>
    <w:rsid w:val="00C22C94"/>
    <w:rsid w:val="00C24734"/>
    <w:rsid w:val="00C248D8"/>
    <w:rsid w:val="00C35BBC"/>
    <w:rsid w:val="00C4059A"/>
    <w:rsid w:val="00C409F2"/>
    <w:rsid w:val="00C4549A"/>
    <w:rsid w:val="00C4557B"/>
    <w:rsid w:val="00C456C1"/>
    <w:rsid w:val="00C469E6"/>
    <w:rsid w:val="00C502FE"/>
    <w:rsid w:val="00C51E5B"/>
    <w:rsid w:val="00C575E3"/>
    <w:rsid w:val="00C61D0B"/>
    <w:rsid w:val="00C64C28"/>
    <w:rsid w:val="00C659AF"/>
    <w:rsid w:val="00C659F5"/>
    <w:rsid w:val="00C678CC"/>
    <w:rsid w:val="00C67A47"/>
    <w:rsid w:val="00C70E80"/>
    <w:rsid w:val="00C740A0"/>
    <w:rsid w:val="00C74D2F"/>
    <w:rsid w:val="00C77F4A"/>
    <w:rsid w:val="00C80150"/>
    <w:rsid w:val="00C803F3"/>
    <w:rsid w:val="00C81653"/>
    <w:rsid w:val="00C816BE"/>
    <w:rsid w:val="00C817E6"/>
    <w:rsid w:val="00C81BE9"/>
    <w:rsid w:val="00C81D4A"/>
    <w:rsid w:val="00C81D82"/>
    <w:rsid w:val="00C83882"/>
    <w:rsid w:val="00C84668"/>
    <w:rsid w:val="00C867E9"/>
    <w:rsid w:val="00C86E0B"/>
    <w:rsid w:val="00C903F9"/>
    <w:rsid w:val="00C918A6"/>
    <w:rsid w:val="00C91AD9"/>
    <w:rsid w:val="00C91EC7"/>
    <w:rsid w:val="00C923F5"/>
    <w:rsid w:val="00C9450D"/>
    <w:rsid w:val="00C96421"/>
    <w:rsid w:val="00C96646"/>
    <w:rsid w:val="00CA0D53"/>
    <w:rsid w:val="00CA1494"/>
    <w:rsid w:val="00CA1DA1"/>
    <w:rsid w:val="00CA35A8"/>
    <w:rsid w:val="00CA4128"/>
    <w:rsid w:val="00CA530A"/>
    <w:rsid w:val="00CB035B"/>
    <w:rsid w:val="00CB0F15"/>
    <w:rsid w:val="00CB309C"/>
    <w:rsid w:val="00CB5671"/>
    <w:rsid w:val="00CB582D"/>
    <w:rsid w:val="00CB5D94"/>
    <w:rsid w:val="00CB7C12"/>
    <w:rsid w:val="00CB7CCC"/>
    <w:rsid w:val="00CB7D8D"/>
    <w:rsid w:val="00CC1ABC"/>
    <w:rsid w:val="00CC3F65"/>
    <w:rsid w:val="00CC4A8E"/>
    <w:rsid w:val="00CC7154"/>
    <w:rsid w:val="00CD042D"/>
    <w:rsid w:val="00CD0488"/>
    <w:rsid w:val="00CD04EE"/>
    <w:rsid w:val="00CD1520"/>
    <w:rsid w:val="00CD1B49"/>
    <w:rsid w:val="00CD2709"/>
    <w:rsid w:val="00CD314C"/>
    <w:rsid w:val="00CD3343"/>
    <w:rsid w:val="00CD38CF"/>
    <w:rsid w:val="00CD4CF9"/>
    <w:rsid w:val="00CD5DB2"/>
    <w:rsid w:val="00CD626D"/>
    <w:rsid w:val="00CD67AD"/>
    <w:rsid w:val="00CE00E8"/>
    <w:rsid w:val="00CE1100"/>
    <w:rsid w:val="00CE1281"/>
    <w:rsid w:val="00CE15E3"/>
    <w:rsid w:val="00CE1655"/>
    <w:rsid w:val="00CE1902"/>
    <w:rsid w:val="00CE2468"/>
    <w:rsid w:val="00CE2671"/>
    <w:rsid w:val="00CE26C6"/>
    <w:rsid w:val="00CE334B"/>
    <w:rsid w:val="00CE3E0F"/>
    <w:rsid w:val="00CE6996"/>
    <w:rsid w:val="00CE7F8B"/>
    <w:rsid w:val="00CF058F"/>
    <w:rsid w:val="00CF1756"/>
    <w:rsid w:val="00CF3295"/>
    <w:rsid w:val="00CF357A"/>
    <w:rsid w:val="00CF625A"/>
    <w:rsid w:val="00CF7500"/>
    <w:rsid w:val="00CF7CB5"/>
    <w:rsid w:val="00D006EA"/>
    <w:rsid w:val="00D00EF2"/>
    <w:rsid w:val="00D0126F"/>
    <w:rsid w:val="00D015B7"/>
    <w:rsid w:val="00D02C79"/>
    <w:rsid w:val="00D03B7E"/>
    <w:rsid w:val="00D042C6"/>
    <w:rsid w:val="00D0549F"/>
    <w:rsid w:val="00D1040E"/>
    <w:rsid w:val="00D10C64"/>
    <w:rsid w:val="00D11492"/>
    <w:rsid w:val="00D11985"/>
    <w:rsid w:val="00D11B75"/>
    <w:rsid w:val="00D137A3"/>
    <w:rsid w:val="00D1578E"/>
    <w:rsid w:val="00D15E45"/>
    <w:rsid w:val="00D15F71"/>
    <w:rsid w:val="00D16530"/>
    <w:rsid w:val="00D174A8"/>
    <w:rsid w:val="00D207A4"/>
    <w:rsid w:val="00D22148"/>
    <w:rsid w:val="00D22BB1"/>
    <w:rsid w:val="00D22C01"/>
    <w:rsid w:val="00D24A0B"/>
    <w:rsid w:val="00D25464"/>
    <w:rsid w:val="00D25711"/>
    <w:rsid w:val="00D25902"/>
    <w:rsid w:val="00D26014"/>
    <w:rsid w:val="00D26BFD"/>
    <w:rsid w:val="00D277A6"/>
    <w:rsid w:val="00D27D63"/>
    <w:rsid w:val="00D30238"/>
    <w:rsid w:val="00D31349"/>
    <w:rsid w:val="00D34949"/>
    <w:rsid w:val="00D349F7"/>
    <w:rsid w:val="00D361DF"/>
    <w:rsid w:val="00D37F45"/>
    <w:rsid w:val="00D409A8"/>
    <w:rsid w:val="00D411E7"/>
    <w:rsid w:val="00D41338"/>
    <w:rsid w:val="00D414C3"/>
    <w:rsid w:val="00D419EC"/>
    <w:rsid w:val="00D44CCC"/>
    <w:rsid w:val="00D44FB5"/>
    <w:rsid w:val="00D45CCD"/>
    <w:rsid w:val="00D45DE2"/>
    <w:rsid w:val="00D52E2A"/>
    <w:rsid w:val="00D545CB"/>
    <w:rsid w:val="00D5622C"/>
    <w:rsid w:val="00D57CCF"/>
    <w:rsid w:val="00D60EA1"/>
    <w:rsid w:val="00D610EA"/>
    <w:rsid w:val="00D6159D"/>
    <w:rsid w:val="00D62FD6"/>
    <w:rsid w:val="00D652F1"/>
    <w:rsid w:val="00D7085B"/>
    <w:rsid w:val="00D70DF1"/>
    <w:rsid w:val="00D71473"/>
    <w:rsid w:val="00D7289D"/>
    <w:rsid w:val="00D758BF"/>
    <w:rsid w:val="00D77A84"/>
    <w:rsid w:val="00D821F0"/>
    <w:rsid w:val="00D82E0A"/>
    <w:rsid w:val="00D83C8E"/>
    <w:rsid w:val="00D855C7"/>
    <w:rsid w:val="00D85675"/>
    <w:rsid w:val="00D86212"/>
    <w:rsid w:val="00D87BA7"/>
    <w:rsid w:val="00D90423"/>
    <w:rsid w:val="00D908BE"/>
    <w:rsid w:val="00D90B93"/>
    <w:rsid w:val="00D90C87"/>
    <w:rsid w:val="00D9142C"/>
    <w:rsid w:val="00D92A8E"/>
    <w:rsid w:val="00D94BC1"/>
    <w:rsid w:val="00D972D8"/>
    <w:rsid w:val="00DA00C4"/>
    <w:rsid w:val="00DA2459"/>
    <w:rsid w:val="00DA5203"/>
    <w:rsid w:val="00DA5B11"/>
    <w:rsid w:val="00DA7062"/>
    <w:rsid w:val="00DA7308"/>
    <w:rsid w:val="00DB0155"/>
    <w:rsid w:val="00DB4EB7"/>
    <w:rsid w:val="00DB4F90"/>
    <w:rsid w:val="00DB561F"/>
    <w:rsid w:val="00DC002F"/>
    <w:rsid w:val="00DC2503"/>
    <w:rsid w:val="00DC2C2D"/>
    <w:rsid w:val="00DC4187"/>
    <w:rsid w:val="00DC50B1"/>
    <w:rsid w:val="00DC50D2"/>
    <w:rsid w:val="00DC6C34"/>
    <w:rsid w:val="00DC7361"/>
    <w:rsid w:val="00DD130F"/>
    <w:rsid w:val="00DD1E48"/>
    <w:rsid w:val="00DD2D16"/>
    <w:rsid w:val="00DD41F4"/>
    <w:rsid w:val="00DD7FDD"/>
    <w:rsid w:val="00DE0272"/>
    <w:rsid w:val="00DE0A1B"/>
    <w:rsid w:val="00DE1FE7"/>
    <w:rsid w:val="00DE2408"/>
    <w:rsid w:val="00DE255E"/>
    <w:rsid w:val="00DE3BB1"/>
    <w:rsid w:val="00DE5D9C"/>
    <w:rsid w:val="00DE75BA"/>
    <w:rsid w:val="00DF0406"/>
    <w:rsid w:val="00DF159C"/>
    <w:rsid w:val="00DF1E4E"/>
    <w:rsid w:val="00DF3B61"/>
    <w:rsid w:val="00DF4C42"/>
    <w:rsid w:val="00DF510F"/>
    <w:rsid w:val="00DF5183"/>
    <w:rsid w:val="00DF6517"/>
    <w:rsid w:val="00DF6704"/>
    <w:rsid w:val="00DF7480"/>
    <w:rsid w:val="00DF7FF1"/>
    <w:rsid w:val="00E00A05"/>
    <w:rsid w:val="00E029D5"/>
    <w:rsid w:val="00E06669"/>
    <w:rsid w:val="00E10091"/>
    <w:rsid w:val="00E10D2B"/>
    <w:rsid w:val="00E118BF"/>
    <w:rsid w:val="00E11C2B"/>
    <w:rsid w:val="00E11EDF"/>
    <w:rsid w:val="00E16F0D"/>
    <w:rsid w:val="00E1714B"/>
    <w:rsid w:val="00E17B8E"/>
    <w:rsid w:val="00E21B23"/>
    <w:rsid w:val="00E22518"/>
    <w:rsid w:val="00E22D7C"/>
    <w:rsid w:val="00E275F2"/>
    <w:rsid w:val="00E31C2D"/>
    <w:rsid w:val="00E33CD3"/>
    <w:rsid w:val="00E34177"/>
    <w:rsid w:val="00E352E9"/>
    <w:rsid w:val="00E37443"/>
    <w:rsid w:val="00E3785A"/>
    <w:rsid w:val="00E409D8"/>
    <w:rsid w:val="00E41EA3"/>
    <w:rsid w:val="00E423B9"/>
    <w:rsid w:val="00E4295F"/>
    <w:rsid w:val="00E455DC"/>
    <w:rsid w:val="00E46519"/>
    <w:rsid w:val="00E50579"/>
    <w:rsid w:val="00E50B0B"/>
    <w:rsid w:val="00E51463"/>
    <w:rsid w:val="00E51DD4"/>
    <w:rsid w:val="00E52952"/>
    <w:rsid w:val="00E5379E"/>
    <w:rsid w:val="00E5412F"/>
    <w:rsid w:val="00E5628E"/>
    <w:rsid w:val="00E619D6"/>
    <w:rsid w:val="00E61EC0"/>
    <w:rsid w:val="00E630B0"/>
    <w:rsid w:val="00E64366"/>
    <w:rsid w:val="00E65BB7"/>
    <w:rsid w:val="00E66545"/>
    <w:rsid w:val="00E66EFD"/>
    <w:rsid w:val="00E671EA"/>
    <w:rsid w:val="00E67AA3"/>
    <w:rsid w:val="00E67C5A"/>
    <w:rsid w:val="00E67CD9"/>
    <w:rsid w:val="00E719B9"/>
    <w:rsid w:val="00E7265E"/>
    <w:rsid w:val="00E7521B"/>
    <w:rsid w:val="00E77319"/>
    <w:rsid w:val="00E7774B"/>
    <w:rsid w:val="00E80022"/>
    <w:rsid w:val="00E802A5"/>
    <w:rsid w:val="00E80A28"/>
    <w:rsid w:val="00E849B5"/>
    <w:rsid w:val="00E85AE3"/>
    <w:rsid w:val="00E90B49"/>
    <w:rsid w:val="00E9119F"/>
    <w:rsid w:val="00E915B9"/>
    <w:rsid w:val="00E916F7"/>
    <w:rsid w:val="00E93F0B"/>
    <w:rsid w:val="00E940FE"/>
    <w:rsid w:val="00E94144"/>
    <w:rsid w:val="00E95B48"/>
    <w:rsid w:val="00EA0CE7"/>
    <w:rsid w:val="00EA1905"/>
    <w:rsid w:val="00EA565F"/>
    <w:rsid w:val="00EA6D90"/>
    <w:rsid w:val="00EA725A"/>
    <w:rsid w:val="00EA7A94"/>
    <w:rsid w:val="00EB0523"/>
    <w:rsid w:val="00EB265E"/>
    <w:rsid w:val="00EB26EE"/>
    <w:rsid w:val="00EB2C61"/>
    <w:rsid w:val="00EB308C"/>
    <w:rsid w:val="00EB3938"/>
    <w:rsid w:val="00EB4702"/>
    <w:rsid w:val="00EB7ED9"/>
    <w:rsid w:val="00EC5D3B"/>
    <w:rsid w:val="00ED069C"/>
    <w:rsid w:val="00ED1DAB"/>
    <w:rsid w:val="00ED3A8D"/>
    <w:rsid w:val="00ED530B"/>
    <w:rsid w:val="00ED5F92"/>
    <w:rsid w:val="00ED6940"/>
    <w:rsid w:val="00EE3568"/>
    <w:rsid w:val="00EE6072"/>
    <w:rsid w:val="00EE69B2"/>
    <w:rsid w:val="00EE74EC"/>
    <w:rsid w:val="00EE7E7D"/>
    <w:rsid w:val="00EF128E"/>
    <w:rsid w:val="00EF28DF"/>
    <w:rsid w:val="00EF35A5"/>
    <w:rsid w:val="00EF4449"/>
    <w:rsid w:val="00EF4638"/>
    <w:rsid w:val="00EF594C"/>
    <w:rsid w:val="00EF6E3A"/>
    <w:rsid w:val="00EF71D9"/>
    <w:rsid w:val="00F0126C"/>
    <w:rsid w:val="00F01395"/>
    <w:rsid w:val="00F0252C"/>
    <w:rsid w:val="00F0330C"/>
    <w:rsid w:val="00F03C7F"/>
    <w:rsid w:val="00F040A9"/>
    <w:rsid w:val="00F1247C"/>
    <w:rsid w:val="00F16FAC"/>
    <w:rsid w:val="00F17892"/>
    <w:rsid w:val="00F21B4F"/>
    <w:rsid w:val="00F21E29"/>
    <w:rsid w:val="00F2295A"/>
    <w:rsid w:val="00F23AF9"/>
    <w:rsid w:val="00F23BD3"/>
    <w:rsid w:val="00F2406E"/>
    <w:rsid w:val="00F2444A"/>
    <w:rsid w:val="00F25B2E"/>
    <w:rsid w:val="00F25D94"/>
    <w:rsid w:val="00F269F0"/>
    <w:rsid w:val="00F27713"/>
    <w:rsid w:val="00F27D99"/>
    <w:rsid w:val="00F32E32"/>
    <w:rsid w:val="00F33495"/>
    <w:rsid w:val="00F33717"/>
    <w:rsid w:val="00F3509B"/>
    <w:rsid w:val="00F356EE"/>
    <w:rsid w:val="00F370FE"/>
    <w:rsid w:val="00F40180"/>
    <w:rsid w:val="00F422C2"/>
    <w:rsid w:val="00F439C9"/>
    <w:rsid w:val="00F4480D"/>
    <w:rsid w:val="00F44F9A"/>
    <w:rsid w:val="00F47652"/>
    <w:rsid w:val="00F51990"/>
    <w:rsid w:val="00F52558"/>
    <w:rsid w:val="00F52AB7"/>
    <w:rsid w:val="00F54414"/>
    <w:rsid w:val="00F552C7"/>
    <w:rsid w:val="00F560ED"/>
    <w:rsid w:val="00F60DA1"/>
    <w:rsid w:val="00F61874"/>
    <w:rsid w:val="00F61ABE"/>
    <w:rsid w:val="00F66990"/>
    <w:rsid w:val="00F67311"/>
    <w:rsid w:val="00F76364"/>
    <w:rsid w:val="00F7767F"/>
    <w:rsid w:val="00F777A6"/>
    <w:rsid w:val="00F802A9"/>
    <w:rsid w:val="00F811FD"/>
    <w:rsid w:val="00F8319C"/>
    <w:rsid w:val="00F84C6D"/>
    <w:rsid w:val="00F86D35"/>
    <w:rsid w:val="00F90B74"/>
    <w:rsid w:val="00F9184F"/>
    <w:rsid w:val="00F93298"/>
    <w:rsid w:val="00F94DBC"/>
    <w:rsid w:val="00F94EFB"/>
    <w:rsid w:val="00F95E13"/>
    <w:rsid w:val="00F97244"/>
    <w:rsid w:val="00FA0839"/>
    <w:rsid w:val="00FA0D93"/>
    <w:rsid w:val="00FA6811"/>
    <w:rsid w:val="00FA6952"/>
    <w:rsid w:val="00FA7E5D"/>
    <w:rsid w:val="00FB0AFF"/>
    <w:rsid w:val="00FB34B3"/>
    <w:rsid w:val="00FB3997"/>
    <w:rsid w:val="00FB3A9A"/>
    <w:rsid w:val="00FB4181"/>
    <w:rsid w:val="00FB6259"/>
    <w:rsid w:val="00FB6ED6"/>
    <w:rsid w:val="00FC141F"/>
    <w:rsid w:val="00FC4DCD"/>
    <w:rsid w:val="00FC4F7E"/>
    <w:rsid w:val="00FC660A"/>
    <w:rsid w:val="00FD014C"/>
    <w:rsid w:val="00FD0B57"/>
    <w:rsid w:val="00FD3178"/>
    <w:rsid w:val="00FD50DA"/>
    <w:rsid w:val="00FD5C5C"/>
    <w:rsid w:val="00FD7C4D"/>
    <w:rsid w:val="00FE0242"/>
    <w:rsid w:val="00FE0E36"/>
    <w:rsid w:val="00FE18DC"/>
    <w:rsid w:val="00FE1FCB"/>
    <w:rsid w:val="00FE3FF3"/>
    <w:rsid w:val="00FE4272"/>
    <w:rsid w:val="00FE429C"/>
    <w:rsid w:val="00FE53BE"/>
    <w:rsid w:val="00FE5DB4"/>
    <w:rsid w:val="00FE65AC"/>
    <w:rsid w:val="00FE72CB"/>
    <w:rsid w:val="00FF24B4"/>
    <w:rsid w:val="00FF2DF9"/>
    <w:rsid w:val="00FF3B49"/>
    <w:rsid w:val="00FF4A2C"/>
    <w:rsid w:val="00FF4B6E"/>
    <w:rsid w:val="00FF4FB6"/>
    <w:rsid w:val="00FF5123"/>
    <w:rsid w:val="00FF5A33"/>
    <w:rsid w:val="01D77569"/>
    <w:rsid w:val="022A4001"/>
    <w:rsid w:val="026D0023"/>
    <w:rsid w:val="02A20E38"/>
    <w:rsid w:val="02F045EE"/>
    <w:rsid w:val="032E71FE"/>
    <w:rsid w:val="035F6CAF"/>
    <w:rsid w:val="03BF4748"/>
    <w:rsid w:val="03D05EBF"/>
    <w:rsid w:val="043D00CF"/>
    <w:rsid w:val="045910E2"/>
    <w:rsid w:val="04604819"/>
    <w:rsid w:val="047E3AB3"/>
    <w:rsid w:val="04D96B64"/>
    <w:rsid w:val="058E0455"/>
    <w:rsid w:val="05C72CEE"/>
    <w:rsid w:val="05F16DFD"/>
    <w:rsid w:val="05F55BF1"/>
    <w:rsid w:val="06A40C6B"/>
    <w:rsid w:val="06BE7E09"/>
    <w:rsid w:val="06E038FE"/>
    <w:rsid w:val="06F35EFD"/>
    <w:rsid w:val="073C0907"/>
    <w:rsid w:val="0774466A"/>
    <w:rsid w:val="07F45F97"/>
    <w:rsid w:val="088536B7"/>
    <w:rsid w:val="08974400"/>
    <w:rsid w:val="08F85609"/>
    <w:rsid w:val="09A31878"/>
    <w:rsid w:val="0A1138DF"/>
    <w:rsid w:val="0A521CD0"/>
    <w:rsid w:val="0A526D8D"/>
    <w:rsid w:val="0A8145B2"/>
    <w:rsid w:val="0AEE5592"/>
    <w:rsid w:val="0B974740"/>
    <w:rsid w:val="0BFC5028"/>
    <w:rsid w:val="0C2C6896"/>
    <w:rsid w:val="0C4E78C1"/>
    <w:rsid w:val="0CC76A11"/>
    <w:rsid w:val="0CF1566D"/>
    <w:rsid w:val="0D892CAE"/>
    <w:rsid w:val="0DEE3A66"/>
    <w:rsid w:val="0DEF04CB"/>
    <w:rsid w:val="0DFD3C84"/>
    <w:rsid w:val="0E7A2F63"/>
    <w:rsid w:val="0EB90429"/>
    <w:rsid w:val="0EC56FF0"/>
    <w:rsid w:val="0F24364C"/>
    <w:rsid w:val="0F74265F"/>
    <w:rsid w:val="0F9376BE"/>
    <w:rsid w:val="0FCD4AA6"/>
    <w:rsid w:val="1082528D"/>
    <w:rsid w:val="10D021E4"/>
    <w:rsid w:val="10DD1BA0"/>
    <w:rsid w:val="113E296E"/>
    <w:rsid w:val="11677548"/>
    <w:rsid w:val="116A1CC6"/>
    <w:rsid w:val="11BB0793"/>
    <w:rsid w:val="121465DB"/>
    <w:rsid w:val="12227168"/>
    <w:rsid w:val="125858AE"/>
    <w:rsid w:val="12FB59CB"/>
    <w:rsid w:val="139B6D98"/>
    <w:rsid w:val="13C6329C"/>
    <w:rsid w:val="14866CB9"/>
    <w:rsid w:val="14A1498C"/>
    <w:rsid w:val="14E74CB0"/>
    <w:rsid w:val="15A43BF7"/>
    <w:rsid w:val="160A4C3C"/>
    <w:rsid w:val="173268AC"/>
    <w:rsid w:val="17A909DD"/>
    <w:rsid w:val="17B16ACD"/>
    <w:rsid w:val="180835F2"/>
    <w:rsid w:val="18132FA4"/>
    <w:rsid w:val="18345CCE"/>
    <w:rsid w:val="18CE7AAB"/>
    <w:rsid w:val="192030D9"/>
    <w:rsid w:val="19A62955"/>
    <w:rsid w:val="1A325AD9"/>
    <w:rsid w:val="1A4C535A"/>
    <w:rsid w:val="1ADB411F"/>
    <w:rsid w:val="1B1A665C"/>
    <w:rsid w:val="1B265445"/>
    <w:rsid w:val="1B313749"/>
    <w:rsid w:val="1C7F0784"/>
    <w:rsid w:val="1D18240B"/>
    <w:rsid w:val="1D9E2B2D"/>
    <w:rsid w:val="1DA07700"/>
    <w:rsid w:val="1DA56541"/>
    <w:rsid w:val="1E451EC6"/>
    <w:rsid w:val="1E683DB2"/>
    <w:rsid w:val="1F133DA7"/>
    <w:rsid w:val="1F256047"/>
    <w:rsid w:val="1F4C600E"/>
    <w:rsid w:val="1F4D0BF2"/>
    <w:rsid w:val="1F600D99"/>
    <w:rsid w:val="203219C4"/>
    <w:rsid w:val="20D17970"/>
    <w:rsid w:val="211B4C05"/>
    <w:rsid w:val="21BE474F"/>
    <w:rsid w:val="21EB5EE8"/>
    <w:rsid w:val="225F02EC"/>
    <w:rsid w:val="2269581C"/>
    <w:rsid w:val="2272354E"/>
    <w:rsid w:val="22817940"/>
    <w:rsid w:val="22993C79"/>
    <w:rsid w:val="229E38BF"/>
    <w:rsid w:val="22A647FA"/>
    <w:rsid w:val="22CB0164"/>
    <w:rsid w:val="23595C48"/>
    <w:rsid w:val="23743631"/>
    <w:rsid w:val="23854086"/>
    <w:rsid w:val="23D1569C"/>
    <w:rsid w:val="246611EB"/>
    <w:rsid w:val="24BF54C8"/>
    <w:rsid w:val="25580D03"/>
    <w:rsid w:val="25F96F86"/>
    <w:rsid w:val="2649000C"/>
    <w:rsid w:val="26B61C14"/>
    <w:rsid w:val="2805587E"/>
    <w:rsid w:val="280A7B36"/>
    <w:rsid w:val="28B65FBC"/>
    <w:rsid w:val="29AF2102"/>
    <w:rsid w:val="29B246B2"/>
    <w:rsid w:val="2A47110C"/>
    <w:rsid w:val="2ACE2A0F"/>
    <w:rsid w:val="2AFF17F3"/>
    <w:rsid w:val="2B2A484F"/>
    <w:rsid w:val="2B2A7437"/>
    <w:rsid w:val="2B2D0F70"/>
    <w:rsid w:val="2B564B41"/>
    <w:rsid w:val="2BB7198D"/>
    <w:rsid w:val="2BF57EFD"/>
    <w:rsid w:val="2C2F2C65"/>
    <w:rsid w:val="2C5431A6"/>
    <w:rsid w:val="2CB2501C"/>
    <w:rsid w:val="2D0662A1"/>
    <w:rsid w:val="2D6C4252"/>
    <w:rsid w:val="2D866D80"/>
    <w:rsid w:val="2D8F6F61"/>
    <w:rsid w:val="2E48326B"/>
    <w:rsid w:val="2E8621EA"/>
    <w:rsid w:val="2F0156FE"/>
    <w:rsid w:val="2F9300AC"/>
    <w:rsid w:val="2FB83193"/>
    <w:rsid w:val="30782879"/>
    <w:rsid w:val="313E48F4"/>
    <w:rsid w:val="317C5D0B"/>
    <w:rsid w:val="318152DA"/>
    <w:rsid w:val="31B42473"/>
    <w:rsid w:val="31BD7858"/>
    <w:rsid w:val="31FD54DB"/>
    <w:rsid w:val="32444076"/>
    <w:rsid w:val="3249428A"/>
    <w:rsid w:val="329B4667"/>
    <w:rsid w:val="32A25844"/>
    <w:rsid w:val="336D631D"/>
    <w:rsid w:val="33DB35EB"/>
    <w:rsid w:val="34436CFD"/>
    <w:rsid w:val="345572F9"/>
    <w:rsid w:val="3461676A"/>
    <w:rsid w:val="34874D1E"/>
    <w:rsid w:val="349B02F2"/>
    <w:rsid w:val="34B456FD"/>
    <w:rsid w:val="34F269B9"/>
    <w:rsid w:val="354E7B97"/>
    <w:rsid w:val="35BF168E"/>
    <w:rsid w:val="35D11ED7"/>
    <w:rsid w:val="362C5E75"/>
    <w:rsid w:val="3644511A"/>
    <w:rsid w:val="36AC11DD"/>
    <w:rsid w:val="36CB3872"/>
    <w:rsid w:val="36E12460"/>
    <w:rsid w:val="371733C0"/>
    <w:rsid w:val="38F1425E"/>
    <w:rsid w:val="39DC26F2"/>
    <w:rsid w:val="3A566800"/>
    <w:rsid w:val="3A9C1CAF"/>
    <w:rsid w:val="3AA63AB6"/>
    <w:rsid w:val="3AD82423"/>
    <w:rsid w:val="3C1B5795"/>
    <w:rsid w:val="3C647DDE"/>
    <w:rsid w:val="3CB30E22"/>
    <w:rsid w:val="3D053263"/>
    <w:rsid w:val="3D244D11"/>
    <w:rsid w:val="3D680DCE"/>
    <w:rsid w:val="3DDD13AC"/>
    <w:rsid w:val="3DEF3255"/>
    <w:rsid w:val="3E0B03F4"/>
    <w:rsid w:val="3E2624A8"/>
    <w:rsid w:val="3EF26F22"/>
    <w:rsid w:val="3F89068C"/>
    <w:rsid w:val="3F982F89"/>
    <w:rsid w:val="3FFC62EE"/>
    <w:rsid w:val="407866BA"/>
    <w:rsid w:val="40A04590"/>
    <w:rsid w:val="40A125FC"/>
    <w:rsid w:val="40AC1B4A"/>
    <w:rsid w:val="40B45559"/>
    <w:rsid w:val="41297C6D"/>
    <w:rsid w:val="41643546"/>
    <w:rsid w:val="41A631C1"/>
    <w:rsid w:val="4247125A"/>
    <w:rsid w:val="439D525D"/>
    <w:rsid w:val="43D96399"/>
    <w:rsid w:val="442477B5"/>
    <w:rsid w:val="45725831"/>
    <w:rsid w:val="457437F7"/>
    <w:rsid w:val="45AA3A4E"/>
    <w:rsid w:val="45AC1DD1"/>
    <w:rsid w:val="45F059FD"/>
    <w:rsid w:val="45F67622"/>
    <w:rsid w:val="469F2D57"/>
    <w:rsid w:val="46B81815"/>
    <w:rsid w:val="471322A3"/>
    <w:rsid w:val="47EA3F28"/>
    <w:rsid w:val="481A73A0"/>
    <w:rsid w:val="489238F1"/>
    <w:rsid w:val="48FE1370"/>
    <w:rsid w:val="49CC67DE"/>
    <w:rsid w:val="49CE007B"/>
    <w:rsid w:val="49D47D19"/>
    <w:rsid w:val="4A275809"/>
    <w:rsid w:val="4B3918FE"/>
    <w:rsid w:val="4B607372"/>
    <w:rsid w:val="4BC106BC"/>
    <w:rsid w:val="4C693FCD"/>
    <w:rsid w:val="4C6A405E"/>
    <w:rsid w:val="4C79488B"/>
    <w:rsid w:val="4C9C75A2"/>
    <w:rsid w:val="4DFD3134"/>
    <w:rsid w:val="4E302A49"/>
    <w:rsid w:val="4E730903"/>
    <w:rsid w:val="4E863EC6"/>
    <w:rsid w:val="4E9F46B6"/>
    <w:rsid w:val="4EB51886"/>
    <w:rsid w:val="4ECA24E6"/>
    <w:rsid w:val="5035429A"/>
    <w:rsid w:val="509F0FD0"/>
    <w:rsid w:val="50C83108"/>
    <w:rsid w:val="50C856F0"/>
    <w:rsid w:val="50DA1F30"/>
    <w:rsid w:val="510D5C63"/>
    <w:rsid w:val="51BE4F04"/>
    <w:rsid w:val="523F167D"/>
    <w:rsid w:val="53035AF9"/>
    <w:rsid w:val="530C682B"/>
    <w:rsid w:val="53437AB8"/>
    <w:rsid w:val="536B0269"/>
    <w:rsid w:val="542A68BF"/>
    <w:rsid w:val="5432061C"/>
    <w:rsid w:val="54563F91"/>
    <w:rsid w:val="548A7716"/>
    <w:rsid w:val="55701241"/>
    <w:rsid w:val="55DC6678"/>
    <w:rsid w:val="56760158"/>
    <w:rsid w:val="57E62EE7"/>
    <w:rsid w:val="57EE5393"/>
    <w:rsid w:val="57FF7969"/>
    <w:rsid w:val="583F4FDC"/>
    <w:rsid w:val="58583625"/>
    <w:rsid w:val="58AF4BBE"/>
    <w:rsid w:val="58CB260F"/>
    <w:rsid w:val="58CC0D1D"/>
    <w:rsid w:val="58E339F3"/>
    <w:rsid w:val="5916216F"/>
    <w:rsid w:val="591D610C"/>
    <w:rsid w:val="592F77C8"/>
    <w:rsid w:val="59A43FC7"/>
    <w:rsid w:val="59C075D0"/>
    <w:rsid w:val="59E5265E"/>
    <w:rsid w:val="5AB252CB"/>
    <w:rsid w:val="5B113B70"/>
    <w:rsid w:val="5BB213F0"/>
    <w:rsid w:val="5BD73293"/>
    <w:rsid w:val="5D3C5363"/>
    <w:rsid w:val="5DA35F93"/>
    <w:rsid w:val="5E112AD7"/>
    <w:rsid w:val="5E8F1B3D"/>
    <w:rsid w:val="5F336485"/>
    <w:rsid w:val="600E20BF"/>
    <w:rsid w:val="60C76FE2"/>
    <w:rsid w:val="60D80421"/>
    <w:rsid w:val="610B2CD4"/>
    <w:rsid w:val="61377E54"/>
    <w:rsid w:val="61E77A1C"/>
    <w:rsid w:val="635C3ADF"/>
    <w:rsid w:val="63AD3734"/>
    <w:rsid w:val="63AF07F5"/>
    <w:rsid w:val="64A17BC3"/>
    <w:rsid w:val="64C24C00"/>
    <w:rsid w:val="65217832"/>
    <w:rsid w:val="65A370F3"/>
    <w:rsid w:val="65CC3743"/>
    <w:rsid w:val="65FC68CD"/>
    <w:rsid w:val="66162FEA"/>
    <w:rsid w:val="66336F73"/>
    <w:rsid w:val="6693606E"/>
    <w:rsid w:val="66A443E2"/>
    <w:rsid w:val="66EE3977"/>
    <w:rsid w:val="67163972"/>
    <w:rsid w:val="67746C30"/>
    <w:rsid w:val="67C479BD"/>
    <w:rsid w:val="6890416C"/>
    <w:rsid w:val="68FC6558"/>
    <w:rsid w:val="694A2709"/>
    <w:rsid w:val="6956585B"/>
    <w:rsid w:val="69751071"/>
    <w:rsid w:val="69791811"/>
    <w:rsid w:val="69AF6B46"/>
    <w:rsid w:val="69B25C42"/>
    <w:rsid w:val="69EF4A08"/>
    <w:rsid w:val="6A5E23FB"/>
    <w:rsid w:val="6B066EA0"/>
    <w:rsid w:val="6B946E83"/>
    <w:rsid w:val="6C8449F6"/>
    <w:rsid w:val="6CF34569"/>
    <w:rsid w:val="6DA36DE9"/>
    <w:rsid w:val="6E235550"/>
    <w:rsid w:val="6E4102EC"/>
    <w:rsid w:val="6E6125E2"/>
    <w:rsid w:val="6E6E5580"/>
    <w:rsid w:val="6E8D66E4"/>
    <w:rsid w:val="6F604C71"/>
    <w:rsid w:val="70391606"/>
    <w:rsid w:val="70414CE8"/>
    <w:rsid w:val="708700AA"/>
    <w:rsid w:val="714F67FE"/>
    <w:rsid w:val="719F13AD"/>
    <w:rsid w:val="721D08CD"/>
    <w:rsid w:val="725175DE"/>
    <w:rsid w:val="7263067B"/>
    <w:rsid w:val="729463EA"/>
    <w:rsid w:val="72D51BE3"/>
    <w:rsid w:val="72EC6342"/>
    <w:rsid w:val="73061E95"/>
    <w:rsid w:val="73504F10"/>
    <w:rsid w:val="737F3D78"/>
    <w:rsid w:val="749B3E0B"/>
    <w:rsid w:val="74B45AF6"/>
    <w:rsid w:val="74FD588F"/>
    <w:rsid w:val="758510F5"/>
    <w:rsid w:val="7614014F"/>
    <w:rsid w:val="76AB4DC0"/>
    <w:rsid w:val="76BF4BCC"/>
    <w:rsid w:val="76C24028"/>
    <w:rsid w:val="77823396"/>
    <w:rsid w:val="778D01D3"/>
    <w:rsid w:val="77A27C09"/>
    <w:rsid w:val="77AD00F2"/>
    <w:rsid w:val="784359A8"/>
    <w:rsid w:val="78536B1E"/>
    <w:rsid w:val="787239FB"/>
    <w:rsid w:val="79025F27"/>
    <w:rsid w:val="79FC78F7"/>
    <w:rsid w:val="7A5B315C"/>
    <w:rsid w:val="7AEF7BA7"/>
    <w:rsid w:val="7B0904E4"/>
    <w:rsid w:val="7B137BA9"/>
    <w:rsid w:val="7B471231"/>
    <w:rsid w:val="7B510878"/>
    <w:rsid w:val="7B913B2D"/>
    <w:rsid w:val="7D091D33"/>
    <w:rsid w:val="7D483003"/>
    <w:rsid w:val="7DD43EDE"/>
    <w:rsid w:val="7E58043F"/>
    <w:rsid w:val="7E6C4ECA"/>
    <w:rsid w:val="7EAB24AE"/>
    <w:rsid w:val="7EDD28A4"/>
    <w:rsid w:val="7F687C91"/>
    <w:rsid w:val="7FCC5B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semiHidden="0"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name="Body Text 2"/>
    <w:lsdException w:qFormat="1" w:unhideWhenUsed="0" w:uiPriority="0" w:name="Body Text 3"/>
    <w:lsdException w:qFormat="1" w:unhideWhenUsed="0" w:uiPriority="0" w:name="Body Text Indent 2"/>
    <w:lsdException w:qFormat="1" w:uiPriority="0" w:semiHidden="0"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qFormat="1"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51"/>
    <w:qFormat/>
    <w:uiPriority w:val="0"/>
    <w:pPr>
      <w:keepNext/>
      <w:keepLines/>
      <w:spacing w:before="100" w:after="100"/>
      <w:jc w:val="center"/>
      <w:outlineLvl w:val="0"/>
    </w:pPr>
    <w:rPr>
      <w:rFonts w:cstheme="minorBidi"/>
      <w:b/>
      <w:bCs/>
      <w:kern w:val="44"/>
      <w:sz w:val="32"/>
      <w:szCs w:val="44"/>
    </w:rPr>
  </w:style>
  <w:style w:type="paragraph" w:styleId="3">
    <w:name w:val="heading 2"/>
    <w:basedOn w:val="1"/>
    <w:next w:val="1"/>
    <w:link w:val="52"/>
    <w:unhideWhenUsed/>
    <w:qFormat/>
    <w:uiPriority w:val="0"/>
    <w:pPr>
      <w:keepNext/>
      <w:keepLines/>
      <w:jc w:val="center"/>
      <w:outlineLvl w:val="1"/>
    </w:pPr>
    <w:rPr>
      <w:rFonts w:cstheme="majorBidi"/>
      <w:b/>
      <w:bCs/>
      <w:sz w:val="28"/>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paragraph" w:styleId="5">
    <w:name w:val="heading 4"/>
    <w:basedOn w:val="1"/>
    <w:next w:val="1"/>
    <w:link w:val="54"/>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5"/>
    <w:semiHidden/>
    <w:unhideWhenUsed/>
    <w:qFormat/>
    <w:uiPriority w:val="9"/>
    <w:pPr>
      <w:keepNext/>
      <w:keepLines/>
      <w:spacing w:before="280" w:after="290" w:line="376" w:lineRule="auto"/>
      <w:outlineLvl w:val="4"/>
    </w:pPr>
    <w:rPr>
      <w:b/>
      <w:bCs/>
      <w:sz w:val="28"/>
      <w:szCs w:val="28"/>
    </w:rPr>
  </w:style>
  <w:style w:type="paragraph" w:styleId="7">
    <w:name w:val="heading 7"/>
    <w:next w:val="8"/>
    <w:link w:val="56"/>
    <w:unhideWhenUsed/>
    <w:qFormat/>
    <w:uiPriority w:val="9"/>
    <w:pPr>
      <w:numPr>
        <w:ilvl w:val="0"/>
        <w:numId w:val="1"/>
      </w:numPr>
      <w:outlineLvl w:val="6"/>
    </w:pPr>
    <w:rPr>
      <w:rFonts w:ascii="Times New Roman" w:hAnsi="Times New Roman" w:eastAsia="宋体" w:cstheme="minorBidi"/>
      <w:kern w:val="2"/>
      <w:sz w:val="21"/>
      <w:szCs w:val="21"/>
      <w:lang w:val="en-US" w:eastAsia="zh-CN" w:bidi="ar-SA"/>
    </w:rPr>
  </w:style>
  <w:style w:type="paragraph" w:styleId="9">
    <w:name w:val="heading 9"/>
    <w:basedOn w:val="8"/>
    <w:next w:val="8"/>
    <w:link w:val="57"/>
    <w:unhideWhenUsed/>
    <w:qFormat/>
    <w:uiPriority w:val="9"/>
    <w:pPr>
      <w:numPr>
        <w:ilvl w:val="0"/>
        <w:numId w:val="2"/>
      </w:numPr>
      <w:outlineLvl w:val="8"/>
    </w:pPr>
    <w:rPr>
      <w:rFonts w:ascii="Times New Roman" w:hAnsi="Times New Roman" w:cs="Times New Roman"/>
      <w:sz w:val="21"/>
      <w:szCs w:val="21"/>
    </w:rPr>
  </w:style>
  <w:style w:type="character" w:default="1" w:styleId="35">
    <w:name w:val="Default Paragraph Font"/>
    <w:semiHidden/>
    <w:unhideWhenUsed/>
    <w:qFormat/>
    <w:uiPriority w:val="1"/>
  </w:style>
  <w:style w:type="table" w:default="1" w:styleId="47">
    <w:name w:val="Normal Table"/>
    <w:semiHidden/>
    <w:unhideWhenUsed/>
    <w:uiPriority w:val="99"/>
    <w:tblPr>
      <w:tblLayout w:type="fixed"/>
      <w:tblCellMar>
        <w:top w:w="0" w:type="dxa"/>
        <w:left w:w="108" w:type="dxa"/>
        <w:bottom w:w="0" w:type="dxa"/>
        <w:right w:w="108" w:type="dxa"/>
      </w:tblCellMar>
    </w:tblPr>
  </w:style>
  <w:style w:type="paragraph" w:customStyle="1" w:styleId="8">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0">
    <w:name w:val="annotation subject"/>
    <w:basedOn w:val="11"/>
    <w:next w:val="11"/>
    <w:link w:val="72"/>
    <w:unhideWhenUsed/>
    <w:qFormat/>
    <w:uiPriority w:val="0"/>
    <w:rPr>
      <w:b/>
      <w:bCs/>
    </w:rPr>
  </w:style>
  <w:style w:type="paragraph" w:styleId="11">
    <w:name w:val="annotation text"/>
    <w:basedOn w:val="1"/>
    <w:link w:val="60"/>
    <w:unhideWhenUsed/>
    <w:qFormat/>
    <w:uiPriority w:val="99"/>
    <w:pPr>
      <w:jc w:val="left"/>
    </w:pPr>
    <w:rPr>
      <w:rFonts w:asciiTheme="minorHAnsi" w:hAnsiTheme="minorHAnsi" w:eastAsiaTheme="minorEastAsia" w:cstheme="minorBidi"/>
      <w:szCs w:val="22"/>
    </w:rPr>
  </w:style>
  <w:style w:type="paragraph" w:styleId="12">
    <w:name w:val="toc 7"/>
    <w:basedOn w:val="1"/>
    <w:next w:val="1"/>
    <w:unhideWhenUsed/>
    <w:qFormat/>
    <w:uiPriority w:val="39"/>
    <w:pPr>
      <w:ind w:left="1440"/>
      <w:jc w:val="left"/>
    </w:pPr>
    <w:rPr>
      <w:rFonts w:asciiTheme="minorHAnsi" w:hAnsiTheme="minorHAnsi" w:cstheme="minorHAnsi"/>
      <w:sz w:val="18"/>
      <w:szCs w:val="18"/>
    </w:rPr>
  </w:style>
  <w:style w:type="paragraph" w:styleId="13">
    <w:name w:val="Normal Indent"/>
    <w:basedOn w:val="1"/>
    <w:link w:val="58"/>
    <w:qFormat/>
    <w:uiPriority w:val="0"/>
    <w:pPr>
      <w:ind w:firstLine="200" w:firstLineChars="200"/>
    </w:pPr>
    <w:rPr>
      <w:szCs w:val="24"/>
    </w:rPr>
  </w:style>
  <w:style w:type="paragraph" w:styleId="14">
    <w:name w:val="Document Map"/>
    <w:basedOn w:val="1"/>
    <w:link w:val="59"/>
    <w:qFormat/>
    <w:uiPriority w:val="0"/>
    <w:pPr>
      <w:shd w:val="clear" w:color="auto" w:fill="000080"/>
    </w:pPr>
    <w:rPr>
      <w:szCs w:val="24"/>
    </w:rPr>
  </w:style>
  <w:style w:type="paragraph" w:styleId="15">
    <w:name w:val="Body Text 3"/>
    <w:basedOn w:val="1"/>
    <w:link w:val="61"/>
    <w:semiHidden/>
    <w:qFormat/>
    <w:uiPriority w:val="0"/>
    <w:rPr>
      <w:rFonts w:ascii="宋体" w:hAnsi="宋体"/>
      <w:color w:val="000000"/>
      <w:szCs w:val="28"/>
    </w:rPr>
  </w:style>
  <w:style w:type="paragraph" w:styleId="16">
    <w:name w:val="Body Text"/>
    <w:basedOn w:val="1"/>
    <w:link w:val="62"/>
    <w:qFormat/>
    <w:uiPriority w:val="0"/>
    <w:pPr>
      <w:spacing w:line="400" w:lineRule="atLeast"/>
      <w:jc w:val="center"/>
    </w:pPr>
    <w:rPr>
      <w:rFonts w:ascii="宋体" w:hAnsi="宋体"/>
      <w:sz w:val="28"/>
      <w:szCs w:val="24"/>
    </w:rPr>
  </w:style>
  <w:style w:type="paragraph" w:styleId="17">
    <w:name w:val="Body Text Indent"/>
    <w:basedOn w:val="1"/>
    <w:link w:val="63"/>
    <w:semiHidden/>
    <w:qFormat/>
    <w:uiPriority w:val="0"/>
    <w:pPr>
      <w:ind w:firstLine="420" w:firstLineChars="200"/>
    </w:pPr>
    <w:rPr>
      <w:rFonts w:ascii="宋体" w:hAnsi="宋体"/>
      <w:color w:val="000000"/>
      <w:szCs w:val="28"/>
    </w:rPr>
  </w:style>
  <w:style w:type="paragraph" w:styleId="18">
    <w:name w:val="toc 5"/>
    <w:basedOn w:val="1"/>
    <w:next w:val="1"/>
    <w:unhideWhenUsed/>
    <w:qFormat/>
    <w:uiPriority w:val="39"/>
    <w:pPr>
      <w:ind w:left="960"/>
      <w:jc w:val="left"/>
    </w:pPr>
    <w:rPr>
      <w:rFonts w:asciiTheme="minorHAnsi" w:hAnsiTheme="minorHAnsi" w:cstheme="minorHAnsi"/>
      <w:sz w:val="18"/>
      <w:szCs w:val="18"/>
    </w:rPr>
  </w:style>
  <w:style w:type="paragraph" w:styleId="19">
    <w:name w:val="toc 3"/>
    <w:basedOn w:val="1"/>
    <w:next w:val="1"/>
    <w:unhideWhenUsed/>
    <w:qFormat/>
    <w:uiPriority w:val="39"/>
    <w:pPr>
      <w:ind w:left="480"/>
      <w:jc w:val="left"/>
    </w:pPr>
    <w:rPr>
      <w:rFonts w:asciiTheme="minorHAnsi" w:hAnsiTheme="minorHAnsi" w:cstheme="minorHAnsi"/>
      <w:i/>
      <w:iCs/>
      <w:sz w:val="20"/>
      <w:szCs w:val="20"/>
    </w:rPr>
  </w:style>
  <w:style w:type="paragraph" w:styleId="20">
    <w:name w:val="Plain Text"/>
    <w:basedOn w:val="1"/>
    <w:link w:val="64"/>
    <w:semiHidden/>
    <w:qFormat/>
    <w:uiPriority w:val="0"/>
    <w:rPr>
      <w:rFonts w:ascii="宋体" w:hAnsi="Courier New" w:cs="Courier New"/>
    </w:rPr>
  </w:style>
  <w:style w:type="paragraph" w:styleId="21">
    <w:name w:val="toc 8"/>
    <w:basedOn w:val="1"/>
    <w:next w:val="1"/>
    <w:unhideWhenUsed/>
    <w:qFormat/>
    <w:uiPriority w:val="39"/>
    <w:pPr>
      <w:ind w:left="1680"/>
      <w:jc w:val="left"/>
    </w:pPr>
    <w:rPr>
      <w:rFonts w:asciiTheme="minorHAnsi" w:hAnsiTheme="minorHAnsi" w:cstheme="minorHAnsi"/>
      <w:sz w:val="18"/>
      <w:szCs w:val="18"/>
    </w:rPr>
  </w:style>
  <w:style w:type="paragraph" w:styleId="22">
    <w:name w:val="Date"/>
    <w:basedOn w:val="1"/>
    <w:next w:val="1"/>
    <w:link w:val="65"/>
    <w:unhideWhenUsed/>
    <w:qFormat/>
    <w:uiPriority w:val="0"/>
    <w:pPr>
      <w:ind w:left="100" w:leftChars="2500"/>
    </w:pPr>
  </w:style>
  <w:style w:type="paragraph" w:styleId="23">
    <w:name w:val="Body Text Indent 2"/>
    <w:basedOn w:val="1"/>
    <w:link w:val="66"/>
    <w:semiHidden/>
    <w:qFormat/>
    <w:uiPriority w:val="0"/>
    <w:pPr>
      <w:ind w:firstLine="538" w:firstLineChars="192"/>
    </w:pPr>
    <w:rPr>
      <w:sz w:val="28"/>
      <w:szCs w:val="24"/>
    </w:rPr>
  </w:style>
  <w:style w:type="paragraph" w:styleId="24">
    <w:name w:val="Balloon Text"/>
    <w:basedOn w:val="1"/>
    <w:link w:val="67"/>
    <w:unhideWhenUsed/>
    <w:qFormat/>
    <w:uiPriority w:val="0"/>
    <w:rPr>
      <w:sz w:val="18"/>
      <w:szCs w:val="18"/>
    </w:rPr>
  </w:style>
  <w:style w:type="paragraph" w:styleId="25">
    <w:name w:val="footer"/>
    <w:basedOn w:val="1"/>
    <w:link w:val="68"/>
    <w:unhideWhenUsed/>
    <w:qFormat/>
    <w:uiPriority w:val="0"/>
    <w:pPr>
      <w:tabs>
        <w:tab w:val="center" w:pos="4153"/>
        <w:tab w:val="right" w:pos="8306"/>
      </w:tabs>
      <w:snapToGrid w:val="0"/>
      <w:jc w:val="left"/>
    </w:pPr>
    <w:rPr>
      <w:sz w:val="18"/>
      <w:szCs w:val="18"/>
    </w:rPr>
  </w:style>
  <w:style w:type="paragraph" w:styleId="26">
    <w:name w:val="header"/>
    <w:basedOn w:val="1"/>
    <w:link w:val="69"/>
    <w:unhideWhenUsed/>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snapToGrid w:val="0"/>
      <w:spacing w:line="360" w:lineRule="exact"/>
      <w:jc w:val="left"/>
    </w:pPr>
    <w:rPr>
      <w:rFonts w:asciiTheme="minorHAnsi" w:hAnsiTheme="minorHAnsi" w:cstheme="minorHAnsi"/>
      <w:b/>
      <w:bCs/>
      <w:caps/>
      <w:szCs w:val="20"/>
    </w:rPr>
  </w:style>
  <w:style w:type="paragraph" w:styleId="28">
    <w:name w:val="toc 4"/>
    <w:basedOn w:val="1"/>
    <w:next w:val="1"/>
    <w:unhideWhenUsed/>
    <w:qFormat/>
    <w:uiPriority w:val="39"/>
    <w:pPr>
      <w:ind w:left="720"/>
      <w:jc w:val="left"/>
    </w:pPr>
    <w:rPr>
      <w:rFonts w:asciiTheme="minorHAnsi" w:hAnsiTheme="minorHAnsi" w:cstheme="minorHAnsi"/>
      <w:sz w:val="18"/>
      <w:szCs w:val="18"/>
    </w:rPr>
  </w:style>
  <w:style w:type="paragraph" w:styleId="29">
    <w:name w:val="Subtitle"/>
    <w:basedOn w:val="1"/>
    <w:next w:val="1"/>
    <w:link w:val="70"/>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30">
    <w:name w:val="toc 6"/>
    <w:basedOn w:val="1"/>
    <w:next w:val="1"/>
    <w:unhideWhenUsed/>
    <w:qFormat/>
    <w:uiPriority w:val="39"/>
    <w:pPr>
      <w:ind w:left="1200"/>
      <w:jc w:val="left"/>
    </w:pPr>
    <w:rPr>
      <w:rFonts w:asciiTheme="minorHAnsi" w:hAnsiTheme="minorHAnsi" w:cstheme="minorHAnsi"/>
      <w:sz w:val="18"/>
      <w:szCs w:val="18"/>
    </w:rPr>
  </w:style>
  <w:style w:type="paragraph" w:styleId="31">
    <w:name w:val="toc 2"/>
    <w:basedOn w:val="1"/>
    <w:next w:val="1"/>
    <w:unhideWhenUsed/>
    <w:qFormat/>
    <w:uiPriority w:val="39"/>
    <w:pPr>
      <w:snapToGrid w:val="0"/>
      <w:spacing w:line="360" w:lineRule="exact"/>
      <w:ind w:left="238"/>
      <w:jc w:val="left"/>
    </w:pPr>
    <w:rPr>
      <w:rFonts w:asciiTheme="minorHAnsi" w:hAnsiTheme="minorHAnsi" w:cstheme="minorHAnsi"/>
      <w:smallCaps/>
      <w:szCs w:val="20"/>
    </w:rPr>
  </w:style>
  <w:style w:type="paragraph" w:styleId="32">
    <w:name w:val="toc 9"/>
    <w:basedOn w:val="1"/>
    <w:next w:val="1"/>
    <w:unhideWhenUsed/>
    <w:qFormat/>
    <w:uiPriority w:val="39"/>
    <w:pPr>
      <w:ind w:left="1920"/>
      <w:jc w:val="left"/>
    </w:pPr>
    <w:rPr>
      <w:rFonts w:asciiTheme="minorHAnsi" w:hAnsiTheme="minorHAnsi" w:cstheme="minorHAnsi"/>
      <w:sz w:val="18"/>
      <w:szCs w:val="18"/>
    </w:rPr>
  </w:style>
  <w:style w:type="paragraph" w:styleId="33">
    <w:name w:val="Body Text 2"/>
    <w:basedOn w:val="1"/>
    <w:link w:val="71"/>
    <w:semiHidden/>
    <w:qFormat/>
    <w:uiPriority w:val="0"/>
    <w:pPr>
      <w:spacing w:after="120" w:line="480" w:lineRule="auto"/>
    </w:pPr>
    <w:rPr>
      <w:rFonts w:ascii="宋体" w:hAnsi="宋体"/>
      <w:sz w:val="28"/>
      <w:szCs w:val="24"/>
    </w:rPr>
  </w:style>
  <w:style w:type="paragraph" w:styleId="34">
    <w:name w:val="Normal (Web)"/>
    <w:basedOn w:val="1"/>
    <w:qFormat/>
    <w:uiPriority w:val="99"/>
    <w:rPr>
      <w:rFonts w:ascii="宋体" w:hAnsi="宋体"/>
      <w:szCs w:val="24"/>
    </w:rPr>
  </w:style>
  <w:style w:type="character" w:styleId="36">
    <w:name w:val="Strong"/>
    <w:qFormat/>
    <w:uiPriority w:val="0"/>
    <w:rPr>
      <w:b/>
      <w:bCs/>
    </w:rPr>
  </w:style>
  <w:style w:type="character" w:styleId="37">
    <w:name w:val="FollowedHyperlink"/>
    <w:basedOn w:val="35"/>
    <w:semiHidden/>
    <w:unhideWhenUsed/>
    <w:qFormat/>
    <w:uiPriority w:val="99"/>
    <w:rPr>
      <w:color w:val="800080"/>
      <w:u w:val="single"/>
    </w:rPr>
  </w:style>
  <w:style w:type="character" w:styleId="38">
    <w:name w:val="Emphasis"/>
    <w:basedOn w:val="35"/>
    <w:qFormat/>
    <w:uiPriority w:val="20"/>
    <w:rPr>
      <w:color w:val="CC0000"/>
      <w:sz w:val="24"/>
      <w:szCs w:val="24"/>
    </w:rPr>
  </w:style>
  <w:style w:type="character" w:styleId="39">
    <w:name w:val="HTML Definition"/>
    <w:basedOn w:val="35"/>
    <w:semiHidden/>
    <w:unhideWhenUsed/>
    <w:qFormat/>
    <w:uiPriority w:val="99"/>
  </w:style>
  <w:style w:type="character" w:styleId="40">
    <w:name w:val="HTML Variable"/>
    <w:basedOn w:val="35"/>
    <w:semiHidden/>
    <w:unhideWhenUsed/>
    <w:qFormat/>
    <w:uiPriority w:val="99"/>
  </w:style>
  <w:style w:type="character" w:styleId="41">
    <w:name w:val="Hyperlink"/>
    <w:unhideWhenUsed/>
    <w:qFormat/>
    <w:uiPriority w:val="99"/>
    <w:rPr>
      <w:color w:val="0000FF"/>
      <w:u w:val="single"/>
    </w:rPr>
  </w:style>
  <w:style w:type="character" w:styleId="42">
    <w:name w:val="HTML Code"/>
    <w:basedOn w:val="35"/>
    <w:semiHidden/>
    <w:unhideWhenUsed/>
    <w:qFormat/>
    <w:uiPriority w:val="99"/>
    <w:rPr>
      <w:rFonts w:hint="default" w:ascii="Courier New" w:hAnsi="Courier New" w:eastAsia="Courier New" w:cs="Courier New"/>
      <w:sz w:val="20"/>
    </w:rPr>
  </w:style>
  <w:style w:type="character" w:styleId="43">
    <w:name w:val="annotation reference"/>
    <w:basedOn w:val="35"/>
    <w:unhideWhenUsed/>
    <w:qFormat/>
    <w:uiPriority w:val="0"/>
    <w:rPr>
      <w:sz w:val="21"/>
      <w:szCs w:val="21"/>
    </w:rPr>
  </w:style>
  <w:style w:type="character" w:styleId="44">
    <w:name w:val="HTML Cite"/>
    <w:basedOn w:val="35"/>
    <w:semiHidden/>
    <w:unhideWhenUsed/>
    <w:qFormat/>
    <w:uiPriority w:val="99"/>
  </w:style>
  <w:style w:type="character" w:styleId="45">
    <w:name w:val="HTML Keyboard"/>
    <w:basedOn w:val="35"/>
    <w:semiHidden/>
    <w:unhideWhenUsed/>
    <w:qFormat/>
    <w:uiPriority w:val="99"/>
    <w:rPr>
      <w:rFonts w:ascii="Courier New" w:hAnsi="Courier New" w:eastAsia="Courier New" w:cs="Courier New"/>
      <w:sz w:val="20"/>
    </w:rPr>
  </w:style>
  <w:style w:type="character" w:styleId="46">
    <w:name w:val="HTML Sample"/>
    <w:basedOn w:val="35"/>
    <w:semiHidden/>
    <w:unhideWhenUsed/>
    <w:qFormat/>
    <w:uiPriority w:val="99"/>
    <w:rPr>
      <w:rFonts w:hint="default" w:ascii="Courier New" w:hAnsi="Courier New" w:eastAsia="Courier New" w:cs="Courier New"/>
    </w:rPr>
  </w:style>
  <w:style w:type="table" w:styleId="48">
    <w:name w:val="Table Grid"/>
    <w:basedOn w:val="4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9">
    <w:name w:val="Light List Accent 6"/>
    <w:basedOn w:val="47"/>
    <w:qFormat/>
    <w:uiPriority w:val="61"/>
    <w:tblPr>
      <w:tblBorders>
        <w:top w:val="single" w:color="F79646" w:sz="8" w:space="0"/>
        <w:left w:val="single" w:color="F79646" w:sz="8" w:space="0"/>
        <w:bottom w:val="single" w:color="F79646" w:sz="8" w:space="0"/>
        <w:right w:val="single" w:color="F79646" w:sz="8" w:space="0"/>
      </w:tblBorders>
      <w:tblLayout w:type="fixed"/>
    </w:tblPr>
    <w:tblStylePr w:type="firstRow">
      <w:pPr>
        <w:spacing w:before="0" w:after="0" w:line="240" w:lineRule="auto"/>
      </w:pPr>
      <w:rPr>
        <w:b/>
        <w:bCs/>
        <w:color w:val="FFFFFF"/>
      </w:rPr>
      <w:tblPr>
        <w:tblLayout w:type="fixed"/>
      </w:tblPr>
      <w:tcPr>
        <w:shd w:val="clear" w:color="auto" w:fill="F79646"/>
      </w:tcPr>
    </w:tblStylePr>
    <w:tblStylePr w:type="lastRow">
      <w:pPr>
        <w:spacing w:before="0" w:after="0" w:line="240" w:lineRule="auto"/>
      </w:pPr>
      <w:rPr>
        <w:b/>
        <w:bCs/>
      </w:rPr>
      <w:tblPr>
        <w:tblLayout w:type="fixed"/>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blLayout w:type="fixed"/>
      </w:tblPr>
      <w:tcPr>
        <w:tcBorders>
          <w:top w:val="single" w:color="F79646" w:sz="8" w:space="0"/>
          <w:left w:val="single" w:color="F79646" w:sz="8" w:space="0"/>
          <w:bottom w:val="single" w:color="F79646" w:sz="8" w:space="0"/>
          <w:right w:val="single" w:color="F79646" w:sz="8" w:space="0"/>
        </w:tcBorders>
      </w:tcPr>
    </w:tblStylePr>
    <w:tblStylePr w:type="band1Horz">
      <w:tblPr>
        <w:tblLayout w:type="fixed"/>
      </w:tblPr>
      <w:tcPr>
        <w:tcBorders>
          <w:top w:val="single" w:color="F79646" w:sz="8" w:space="0"/>
          <w:left w:val="single" w:color="F79646" w:sz="8" w:space="0"/>
          <w:bottom w:val="single" w:color="F79646" w:sz="8" w:space="0"/>
          <w:right w:val="single" w:color="F79646" w:sz="8" w:space="0"/>
        </w:tcBorders>
      </w:tcPr>
    </w:tblStylePr>
  </w:style>
  <w:style w:type="table" w:styleId="50">
    <w:name w:val="Light Grid Accent 3"/>
    <w:basedOn w:val="47"/>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Layout w:type="fixed"/>
    </w:tblPr>
    <w:tblStylePr w:type="firstRow">
      <w:pPr>
        <w:spacing w:before="0" w:after="0" w:line="240" w:lineRule="auto"/>
      </w:pPr>
      <w:rPr>
        <w:rFonts w:ascii="Cambria" w:hAnsi="Cambria" w:eastAsia="宋体" w:cs="Times New Roman"/>
        <w:b/>
        <w:bCs/>
      </w:rPr>
      <w:tblPr>
        <w:tblLayout w:type="fixed"/>
      </w:tblPr>
      <w:tcPr>
        <w:tcBorders>
          <w:top w:val="single" w:color="9BBB59" w:sz="8" w:space="0"/>
          <w:left w:val="single" w:color="9BBB59" w:sz="8" w:space="0"/>
          <w:bottom w:val="single" w:color="9BBB59" w:sz="18" w:space="0"/>
          <w:right w:val="single" w:color="9BBB59" w:sz="8" w:space="0"/>
          <w:insideH w:val="nil"/>
          <w:insideV w:val="single" w:sz="8" w:space="0"/>
        </w:tcBorders>
      </w:tcPr>
    </w:tblStylePr>
    <w:tblStylePr w:type="lastRow">
      <w:pPr>
        <w:spacing w:before="0" w:after="0" w:line="240" w:lineRule="auto"/>
      </w:pPr>
      <w:rPr>
        <w:rFonts w:ascii="Cambria" w:hAnsi="Cambria" w:eastAsia="宋体" w:cs="Times New Roman"/>
        <w:b/>
        <w:bCs/>
      </w:rPr>
      <w:tblPr>
        <w:tblLayout w:type="fixed"/>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blLayout w:type="fixed"/>
      </w:tblPr>
      <w:tcPr>
        <w:tcBorders>
          <w:top w:val="single" w:color="9BBB59" w:sz="8" w:space="0"/>
          <w:left w:val="single" w:color="9BBB59" w:sz="8" w:space="0"/>
          <w:bottom w:val="single" w:color="9BBB59" w:sz="8" w:space="0"/>
          <w:right w:val="single" w:color="9BBB59" w:sz="8" w:space="0"/>
        </w:tcBorders>
      </w:tcPr>
    </w:tblStylePr>
    <w:tblStylePr w:type="band1Vert">
      <w:tblPr>
        <w:tblLayout w:type="fixed"/>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blLayout w:type="fixed"/>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blLayout w:type="fixed"/>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character" w:customStyle="1" w:styleId="51">
    <w:name w:val="标题 1 字符"/>
    <w:basedOn w:val="35"/>
    <w:link w:val="2"/>
    <w:qFormat/>
    <w:uiPriority w:val="0"/>
    <w:rPr>
      <w:rFonts w:ascii="Times New Roman" w:hAnsi="Times New Roman" w:eastAsia="宋体"/>
      <w:b/>
      <w:bCs/>
      <w:kern w:val="44"/>
      <w:sz w:val="32"/>
      <w:szCs w:val="44"/>
    </w:rPr>
  </w:style>
  <w:style w:type="character" w:customStyle="1" w:styleId="52">
    <w:name w:val="标题 2 字符"/>
    <w:basedOn w:val="35"/>
    <w:link w:val="3"/>
    <w:qFormat/>
    <w:uiPriority w:val="0"/>
    <w:rPr>
      <w:rFonts w:ascii="Times New Roman" w:hAnsi="Times New Roman" w:eastAsia="宋体" w:cstheme="majorBidi"/>
      <w:b/>
      <w:bCs/>
      <w:kern w:val="2"/>
      <w:sz w:val="28"/>
      <w:szCs w:val="32"/>
    </w:rPr>
  </w:style>
  <w:style w:type="character" w:customStyle="1" w:styleId="53">
    <w:name w:val="标题 3 字符"/>
    <w:basedOn w:val="35"/>
    <w:link w:val="4"/>
    <w:qFormat/>
    <w:uiPriority w:val="9"/>
    <w:rPr>
      <w:b/>
      <w:bCs/>
      <w:sz w:val="32"/>
      <w:szCs w:val="32"/>
    </w:rPr>
  </w:style>
  <w:style w:type="character" w:customStyle="1" w:styleId="54">
    <w:name w:val="标题 4 字符"/>
    <w:basedOn w:val="35"/>
    <w:link w:val="5"/>
    <w:semiHidden/>
    <w:qFormat/>
    <w:uiPriority w:val="9"/>
    <w:rPr>
      <w:rFonts w:asciiTheme="majorHAnsi" w:hAnsiTheme="majorHAnsi" w:eastAsiaTheme="majorEastAsia" w:cstheme="majorBidi"/>
      <w:b/>
      <w:bCs/>
      <w:kern w:val="2"/>
      <w:sz w:val="28"/>
      <w:szCs w:val="28"/>
    </w:rPr>
  </w:style>
  <w:style w:type="character" w:customStyle="1" w:styleId="55">
    <w:name w:val="标题 5 字符"/>
    <w:basedOn w:val="35"/>
    <w:link w:val="6"/>
    <w:semiHidden/>
    <w:qFormat/>
    <w:uiPriority w:val="9"/>
    <w:rPr>
      <w:rFonts w:ascii="Times New Roman" w:hAnsi="Times New Roman" w:eastAsia="宋体" w:cs="Times New Roman"/>
      <w:b/>
      <w:bCs/>
      <w:kern w:val="2"/>
      <w:sz w:val="28"/>
      <w:szCs w:val="28"/>
    </w:rPr>
  </w:style>
  <w:style w:type="character" w:customStyle="1" w:styleId="56">
    <w:name w:val="标题 7 字符"/>
    <w:basedOn w:val="35"/>
    <w:link w:val="7"/>
    <w:qFormat/>
    <w:uiPriority w:val="9"/>
    <w:rPr>
      <w:rFonts w:ascii="Times New Roman" w:hAnsi="Times New Roman" w:eastAsia="宋体"/>
      <w:kern w:val="2"/>
      <w:sz w:val="21"/>
      <w:szCs w:val="21"/>
    </w:rPr>
  </w:style>
  <w:style w:type="character" w:customStyle="1" w:styleId="57">
    <w:name w:val="标题 9 字符"/>
    <w:basedOn w:val="35"/>
    <w:link w:val="9"/>
    <w:qFormat/>
    <w:uiPriority w:val="9"/>
    <w:rPr>
      <w:rFonts w:ascii="Times New Roman" w:hAnsi="Times New Roman" w:eastAsia="宋体" w:cs="Times New Roman"/>
      <w:color w:val="000000"/>
      <w:sz w:val="21"/>
      <w:szCs w:val="21"/>
    </w:rPr>
  </w:style>
  <w:style w:type="character" w:customStyle="1" w:styleId="58">
    <w:name w:val="正文缩进 字符"/>
    <w:link w:val="13"/>
    <w:qFormat/>
    <w:uiPriority w:val="0"/>
    <w:rPr>
      <w:rFonts w:cs="Times New Roman"/>
      <w:kern w:val="2"/>
      <w:sz w:val="24"/>
      <w:szCs w:val="24"/>
    </w:rPr>
  </w:style>
  <w:style w:type="character" w:customStyle="1" w:styleId="59">
    <w:name w:val="文档结构图 字符"/>
    <w:basedOn w:val="35"/>
    <w:link w:val="14"/>
    <w:qFormat/>
    <w:uiPriority w:val="0"/>
    <w:rPr>
      <w:rFonts w:ascii="Times New Roman" w:hAnsi="Times New Roman" w:eastAsia="宋体" w:cs="Times New Roman"/>
      <w:kern w:val="2"/>
      <w:sz w:val="24"/>
      <w:szCs w:val="24"/>
      <w:shd w:val="clear" w:color="auto" w:fill="000080"/>
    </w:rPr>
  </w:style>
  <w:style w:type="character" w:customStyle="1" w:styleId="60">
    <w:name w:val="批注文字 字符"/>
    <w:basedOn w:val="35"/>
    <w:link w:val="11"/>
    <w:qFormat/>
    <w:uiPriority w:val="99"/>
  </w:style>
  <w:style w:type="character" w:customStyle="1" w:styleId="61">
    <w:name w:val="正文文本 3 字符"/>
    <w:basedOn w:val="35"/>
    <w:link w:val="15"/>
    <w:semiHidden/>
    <w:qFormat/>
    <w:uiPriority w:val="0"/>
    <w:rPr>
      <w:rFonts w:ascii="宋体" w:hAnsi="宋体" w:eastAsia="宋体" w:cs="Times New Roman"/>
      <w:color w:val="000000"/>
      <w:kern w:val="2"/>
      <w:sz w:val="24"/>
      <w:szCs w:val="28"/>
    </w:rPr>
  </w:style>
  <w:style w:type="character" w:customStyle="1" w:styleId="62">
    <w:name w:val="正文文本 字符"/>
    <w:basedOn w:val="35"/>
    <w:link w:val="16"/>
    <w:qFormat/>
    <w:uiPriority w:val="0"/>
    <w:rPr>
      <w:rFonts w:ascii="宋体" w:hAnsi="宋体" w:eastAsia="宋体" w:cs="Times New Roman"/>
      <w:kern w:val="2"/>
      <w:sz w:val="28"/>
      <w:szCs w:val="24"/>
    </w:rPr>
  </w:style>
  <w:style w:type="character" w:customStyle="1" w:styleId="63">
    <w:name w:val="正文文本缩进 字符"/>
    <w:basedOn w:val="35"/>
    <w:link w:val="17"/>
    <w:semiHidden/>
    <w:qFormat/>
    <w:uiPriority w:val="0"/>
    <w:rPr>
      <w:rFonts w:ascii="宋体" w:hAnsi="宋体" w:eastAsia="宋体" w:cs="Times New Roman"/>
      <w:color w:val="000000"/>
      <w:kern w:val="2"/>
      <w:sz w:val="24"/>
      <w:szCs w:val="28"/>
    </w:rPr>
  </w:style>
  <w:style w:type="character" w:customStyle="1" w:styleId="64">
    <w:name w:val="纯文本 字符"/>
    <w:basedOn w:val="35"/>
    <w:link w:val="20"/>
    <w:semiHidden/>
    <w:qFormat/>
    <w:uiPriority w:val="0"/>
    <w:rPr>
      <w:rFonts w:ascii="宋体" w:hAnsi="Courier New" w:eastAsia="宋体" w:cs="Courier New"/>
      <w:kern w:val="2"/>
      <w:sz w:val="24"/>
      <w:szCs w:val="21"/>
    </w:rPr>
  </w:style>
  <w:style w:type="character" w:customStyle="1" w:styleId="65">
    <w:name w:val="日期 字符"/>
    <w:basedOn w:val="35"/>
    <w:link w:val="22"/>
    <w:qFormat/>
    <w:uiPriority w:val="0"/>
    <w:rPr>
      <w:rFonts w:ascii="Times New Roman" w:hAnsi="Times New Roman" w:eastAsia="宋体" w:cs="Times New Roman"/>
      <w:szCs w:val="21"/>
    </w:rPr>
  </w:style>
  <w:style w:type="character" w:customStyle="1" w:styleId="66">
    <w:name w:val="正文文本缩进 2 字符"/>
    <w:basedOn w:val="35"/>
    <w:link w:val="23"/>
    <w:semiHidden/>
    <w:qFormat/>
    <w:uiPriority w:val="0"/>
    <w:rPr>
      <w:rFonts w:ascii="Times New Roman" w:hAnsi="Times New Roman" w:eastAsia="宋体" w:cs="Times New Roman"/>
      <w:kern w:val="2"/>
      <w:sz w:val="28"/>
      <w:szCs w:val="24"/>
    </w:rPr>
  </w:style>
  <w:style w:type="character" w:customStyle="1" w:styleId="67">
    <w:name w:val="批注框文本 字符"/>
    <w:basedOn w:val="35"/>
    <w:link w:val="24"/>
    <w:qFormat/>
    <w:uiPriority w:val="0"/>
    <w:rPr>
      <w:rFonts w:ascii="Times New Roman" w:hAnsi="Times New Roman" w:eastAsia="宋体" w:cs="Times New Roman"/>
      <w:sz w:val="18"/>
      <w:szCs w:val="18"/>
    </w:rPr>
  </w:style>
  <w:style w:type="character" w:customStyle="1" w:styleId="68">
    <w:name w:val="页脚 字符"/>
    <w:basedOn w:val="35"/>
    <w:link w:val="25"/>
    <w:qFormat/>
    <w:uiPriority w:val="0"/>
    <w:rPr>
      <w:rFonts w:ascii="Times New Roman" w:hAnsi="Times New Roman" w:eastAsia="宋体" w:cs="Times New Roman"/>
      <w:sz w:val="18"/>
      <w:szCs w:val="18"/>
    </w:rPr>
  </w:style>
  <w:style w:type="character" w:customStyle="1" w:styleId="69">
    <w:name w:val="页眉 字符"/>
    <w:basedOn w:val="35"/>
    <w:link w:val="26"/>
    <w:qFormat/>
    <w:uiPriority w:val="0"/>
    <w:rPr>
      <w:rFonts w:ascii="Times New Roman" w:hAnsi="Times New Roman" w:eastAsia="宋体" w:cs="Times New Roman"/>
      <w:sz w:val="18"/>
      <w:szCs w:val="18"/>
    </w:rPr>
  </w:style>
  <w:style w:type="character" w:customStyle="1" w:styleId="70">
    <w:name w:val="副标题 字符"/>
    <w:basedOn w:val="35"/>
    <w:link w:val="29"/>
    <w:qFormat/>
    <w:uiPriority w:val="11"/>
    <w:rPr>
      <w:rFonts w:eastAsia="宋体" w:asciiTheme="majorHAnsi" w:hAnsiTheme="majorHAnsi" w:cstheme="majorBidi"/>
      <w:b/>
      <w:bCs/>
      <w:kern w:val="28"/>
      <w:sz w:val="32"/>
      <w:szCs w:val="32"/>
    </w:rPr>
  </w:style>
  <w:style w:type="character" w:customStyle="1" w:styleId="71">
    <w:name w:val="正文文本 2 字符"/>
    <w:basedOn w:val="35"/>
    <w:link w:val="33"/>
    <w:semiHidden/>
    <w:qFormat/>
    <w:uiPriority w:val="0"/>
    <w:rPr>
      <w:rFonts w:ascii="宋体" w:hAnsi="宋体" w:eastAsia="宋体" w:cs="Times New Roman"/>
      <w:kern w:val="2"/>
      <w:sz w:val="28"/>
      <w:szCs w:val="24"/>
    </w:rPr>
  </w:style>
  <w:style w:type="character" w:customStyle="1" w:styleId="72">
    <w:name w:val="批注主题 字符"/>
    <w:basedOn w:val="60"/>
    <w:link w:val="10"/>
    <w:qFormat/>
    <w:uiPriority w:val="0"/>
    <w:rPr>
      <w:b/>
      <w:bCs/>
    </w:rPr>
  </w:style>
  <w:style w:type="paragraph" w:customStyle="1" w:styleId="73">
    <w:name w:val="列出段落1"/>
    <w:basedOn w:val="1"/>
    <w:qFormat/>
    <w:uiPriority w:val="0"/>
    <w:pPr>
      <w:ind w:left="720"/>
      <w:contextualSpacing/>
    </w:pPr>
  </w:style>
  <w:style w:type="character" w:customStyle="1" w:styleId="74">
    <w:name w:val="u11"/>
    <w:basedOn w:val="35"/>
    <w:qFormat/>
    <w:uiPriority w:val="0"/>
  </w:style>
  <w:style w:type="paragraph" w:customStyle="1" w:styleId="7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table" w:customStyle="1" w:styleId="76">
    <w:name w:val="网格型1"/>
    <w:basedOn w:val="4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77">
    <w:name w:val="txt Char"/>
    <w:qFormat/>
    <w:uiPriority w:val="0"/>
    <w:rPr>
      <w:rFonts w:ascii="宋体" w:hAnsi="宋体" w:eastAsia="宋体"/>
      <w:sz w:val="24"/>
      <w:szCs w:val="24"/>
      <w:lang w:val="en-US" w:eastAsia="zh-CN" w:bidi="ar-SA"/>
    </w:rPr>
  </w:style>
  <w:style w:type="character" w:styleId="78">
    <w:name w:val="Placeholder Text"/>
    <w:semiHidden/>
    <w:qFormat/>
    <w:uiPriority w:val="99"/>
    <w:rPr>
      <w:color w:val="808080"/>
    </w:rPr>
  </w:style>
  <w:style w:type="character" w:customStyle="1" w:styleId="79">
    <w:name w:val="txt1"/>
    <w:basedOn w:val="35"/>
    <w:qFormat/>
    <w:uiPriority w:val="0"/>
  </w:style>
  <w:style w:type="character" w:customStyle="1" w:styleId="80">
    <w:name w:val="标题 2 Char"/>
    <w:qFormat/>
    <w:uiPriority w:val="0"/>
    <w:rPr>
      <w:rFonts w:ascii="宋体" w:hAnsi="宋体" w:eastAsia="宋体"/>
      <w:b/>
      <w:spacing w:val="-10"/>
      <w:sz w:val="24"/>
      <w:szCs w:val="32"/>
      <w:lang w:val="en-US" w:eastAsia="zh-CN" w:bidi="ar-SA"/>
    </w:rPr>
  </w:style>
  <w:style w:type="paragraph" w:customStyle="1" w:styleId="81">
    <w:name w:val="二级条标题"/>
    <w:basedOn w:val="1"/>
    <w:next w:val="1"/>
    <w:qFormat/>
    <w:uiPriority w:val="0"/>
    <w:pPr>
      <w:widowControl/>
      <w:outlineLvl w:val="3"/>
    </w:pPr>
    <w:rPr>
      <w:rFonts w:ascii="黑体" w:eastAsia="黑体"/>
      <w:kern w:val="0"/>
      <w:szCs w:val="20"/>
    </w:rPr>
  </w:style>
  <w:style w:type="paragraph" w:customStyle="1" w:styleId="82">
    <w:name w:val="样式4"/>
    <w:basedOn w:val="3"/>
    <w:qFormat/>
    <w:uiPriority w:val="0"/>
    <w:pPr>
      <w:numPr>
        <w:ilvl w:val="1"/>
        <w:numId w:val="3"/>
      </w:numPr>
    </w:pPr>
    <w:rPr>
      <w:rFonts w:ascii="宋体" w:hAnsi="宋体" w:cs="Times New Roman"/>
      <w:color w:val="000000"/>
    </w:rPr>
  </w:style>
  <w:style w:type="paragraph" w:customStyle="1" w:styleId="83">
    <w:name w:val="txt"/>
    <w:basedOn w:val="1"/>
    <w:qFormat/>
    <w:uiPriority w:val="0"/>
    <w:pPr>
      <w:widowControl/>
      <w:spacing w:before="54" w:after="54" w:line="336" w:lineRule="auto"/>
      <w:ind w:left="14" w:right="14" w:firstLine="326"/>
      <w:jc w:val="left"/>
    </w:pPr>
    <w:rPr>
      <w:rFonts w:ascii="宋体" w:hAnsi="宋体"/>
      <w:kern w:val="0"/>
      <w:szCs w:val="24"/>
    </w:rPr>
  </w:style>
  <w:style w:type="paragraph" w:styleId="84">
    <w:name w:val="List Paragraph"/>
    <w:basedOn w:val="1"/>
    <w:qFormat/>
    <w:uiPriority w:val="34"/>
    <w:pPr>
      <w:ind w:firstLine="420" w:firstLineChars="200"/>
    </w:pPr>
    <w:rPr>
      <w:szCs w:val="24"/>
    </w:rPr>
  </w:style>
  <w:style w:type="paragraph" w:customStyle="1" w:styleId="85">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86">
    <w:name w:val="简单回函地址"/>
    <w:basedOn w:val="1"/>
    <w:qFormat/>
    <w:uiPriority w:val="0"/>
    <w:rPr>
      <w:szCs w:val="24"/>
    </w:rPr>
  </w:style>
  <w:style w:type="paragraph" w:customStyle="1" w:styleId="87">
    <w:name w:val="reader-word-layer"/>
    <w:basedOn w:val="1"/>
    <w:qFormat/>
    <w:uiPriority w:val="0"/>
    <w:pPr>
      <w:widowControl/>
      <w:spacing w:before="100" w:beforeAutospacing="1" w:after="100" w:afterAutospacing="1"/>
      <w:jc w:val="left"/>
    </w:pPr>
    <w:rPr>
      <w:rFonts w:ascii="宋体" w:hAnsi="宋体"/>
      <w:kern w:val="0"/>
      <w:szCs w:val="20"/>
    </w:rPr>
  </w:style>
  <w:style w:type="character" w:customStyle="1" w:styleId="88">
    <w:name w:val="apple-converted-space"/>
    <w:basedOn w:val="35"/>
    <w:qFormat/>
    <w:uiPriority w:val="0"/>
  </w:style>
  <w:style w:type="paragraph" w:customStyle="1" w:styleId="89">
    <w:name w:val="段"/>
    <w:link w:val="9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90">
    <w:name w:val="段 Char Char"/>
    <w:link w:val="89"/>
    <w:qFormat/>
    <w:uiPriority w:val="0"/>
    <w:rPr>
      <w:rFonts w:ascii="宋体" w:hAnsi="Times New Roman" w:eastAsia="宋体" w:cs="Times New Roman"/>
      <w:sz w:val="21"/>
    </w:rPr>
  </w:style>
  <w:style w:type="paragraph" w:customStyle="1" w:styleId="91">
    <w:name w:val="二级无"/>
    <w:basedOn w:val="81"/>
    <w:qFormat/>
    <w:uiPriority w:val="0"/>
    <w:pPr>
      <w:spacing w:before="50" w:after="50" w:line="240" w:lineRule="auto"/>
      <w:jc w:val="left"/>
    </w:pPr>
    <w:rPr>
      <w:rFonts w:ascii="宋体" w:eastAsia="宋体"/>
      <w:sz w:val="21"/>
      <w:szCs w:val="21"/>
    </w:rPr>
  </w:style>
  <w:style w:type="paragraph" w:customStyle="1" w:styleId="92">
    <w:name w:val="+正文"/>
    <w:basedOn w:val="1"/>
    <w:link w:val="93"/>
    <w:qFormat/>
    <w:uiPriority w:val="99"/>
    <w:pPr>
      <w:widowControl/>
      <w:ind w:firstLine="200" w:firstLineChars="200"/>
      <w:jc w:val="left"/>
    </w:pPr>
    <w:rPr>
      <w:rFonts w:ascii="Calibri" w:hAnsi="Calibri"/>
      <w:kern w:val="0"/>
      <w:szCs w:val="28"/>
      <w:lang w:val="zh-CN" w:eastAsia="en-US" w:bidi="en-US"/>
    </w:rPr>
  </w:style>
  <w:style w:type="character" w:customStyle="1" w:styleId="93">
    <w:name w:val="+正文 Char"/>
    <w:link w:val="92"/>
    <w:qFormat/>
    <w:uiPriority w:val="99"/>
    <w:rPr>
      <w:rFonts w:ascii="Calibri" w:hAnsi="Calibri" w:eastAsia="宋体" w:cs="Times New Roman"/>
      <w:sz w:val="24"/>
      <w:szCs w:val="28"/>
      <w:lang w:val="zh-CN" w:eastAsia="en-US" w:bidi="en-US"/>
    </w:rPr>
  </w:style>
  <w:style w:type="character" w:customStyle="1" w:styleId="94">
    <w:name w:val="规范_正文_编号"/>
    <w:basedOn w:val="35"/>
    <w:qFormat/>
    <w:uiPriority w:val="0"/>
  </w:style>
  <w:style w:type="character" w:customStyle="1" w:styleId="95">
    <w:name w:val="未处理的提及1"/>
    <w:basedOn w:val="35"/>
    <w:semiHidden/>
    <w:unhideWhenUsed/>
    <w:qFormat/>
    <w:uiPriority w:val="99"/>
    <w:rPr>
      <w:color w:val="605E5C"/>
      <w:shd w:val="clear" w:color="auto" w:fill="E1DFDD"/>
    </w:rPr>
  </w:style>
  <w:style w:type="character" w:customStyle="1" w:styleId="96">
    <w:name w:val="checked"/>
    <w:basedOn w:val="35"/>
    <w:qFormat/>
    <w:uiPriority w:val="0"/>
    <w:rPr>
      <w:vanish/>
    </w:rPr>
  </w:style>
  <w:style w:type="character" w:customStyle="1" w:styleId="97">
    <w:name w:val="checked1"/>
    <w:basedOn w:val="35"/>
    <w:qFormat/>
    <w:uiPriority w:val="0"/>
  </w:style>
  <w:style w:type="character" w:customStyle="1" w:styleId="98">
    <w:name w:val="active2"/>
    <w:basedOn w:val="35"/>
    <w:qFormat/>
    <w:uiPriority w:val="0"/>
    <w:rPr>
      <w:color w:val="33BBD9"/>
      <w:bdr w:val="single" w:color="CCCCCC" w:sz="6" w:space="0"/>
      <w:shd w:val="clear" w:color="auto" w:fill="FFFFFF"/>
    </w:rPr>
  </w:style>
  <w:style w:type="character" w:customStyle="1" w:styleId="99">
    <w:name w:val="hover33"/>
    <w:basedOn w:val="35"/>
    <w:qFormat/>
    <w:uiPriority w:val="0"/>
  </w:style>
  <w:style w:type="character" w:customStyle="1" w:styleId="100">
    <w:name w:val="ca-nav-next"/>
    <w:basedOn w:val="35"/>
    <w:qFormat/>
    <w:uiPriority w:val="0"/>
  </w:style>
  <w:style w:type="character" w:customStyle="1" w:styleId="101">
    <w:name w:val="last-child"/>
    <w:basedOn w:val="35"/>
    <w:qFormat/>
    <w:uiPriority w:val="0"/>
    <w:rPr>
      <w:color w:val="999999"/>
    </w:rPr>
  </w:style>
  <w:style w:type="character" w:customStyle="1" w:styleId="102">
    <w:name w:val="active"/>
    <w:basedOn w:val="35"/>
    <w:qFormat/>
    <w:uiPriority w:val="0"/>
    <w:rPr>
      <w:color w:val="33BBD9"/>
      <w:bdr w:val="single" w:color="CCCCCC" w:sz="6" w:space="0"/>
      <w:shd w:val="clear" w:color="auto" w:fill="FFFFFF"/>
    </w:rPr>
  </w:style>
  <w:style w:type="paragraph" w:styleId="103">
    <w:name w:val="No Spacing"/>
    <w:qFormat/>
    <w:uiPriority w:val="1"/>
    <w:rPr>
      <w:rFonts w:ascii="Calibri" w:hAnsi="Calibri" w:eastAsiaTheme="minorEastAsia" w:cstheme="minorBidi"/>
      <w:kern w:val="2"/>
      <w:sz w:val="22"/>
      <w:szCs w:val="22"/>
      <w:lang w:val="en-US" w:eastAsia="zh-CN" w:bidi="ar-SA"/>
    </w:rPr>
  </w:style>
  <w:style w:type="character" w:customStyle="1" w:styleId="104">
    <w:name w:val="font11"/>
    <w:basedOn w:val="35"/>
    <w:uiPriority w:val="0"/>
    <w:rPr>
      <w:rFonts w:hint="eastAsia" w:ascii="宋体" w:hAnsi="宋体" w:eastAsia="宋体" w:cs="宋体"/>
      <w:color w:val="000000"/>
      <w:sz w:val="21"/>
      <w:szCs w:val="21"/>
      <w:u w:val="none"/>
    </w:rPr>
  </w:style>
  <w:style w:type="character" w:customStyle="1" w:styleId="105">
    <w:name w:val="font01"/>
    <w:basedOn w:val="3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6.wmf"/><Relationship Id="rId97" Type="http://schemas.openxmlformats.org/officeDocument/2006/relationships/oleObject" Target="embeddings/oleObject45.bin"/><Relationship Id="rId96" Type="http://schemas.openxmlformats.org/officeDocument/2006/relationships/image" Target="media/image45.wmf"/><Relationship Id="rId95" Type="http://schemas.openxmlformats.org/officeDocument/2006/relationships/oleObject" Target="embeddings/oleObject44.bin"/><Relationship Id="rId94" Type="http://schemas.openxmlformats.org/officeDocument/2006/relationships/image" Target="media/image44.wmf"/><Relationship Id="rId93" Type="http://schemas.openxmlformats.org/officeDocument/2006/relationships/oleObject" Target="embeddings/oleObject43.bin"/><Relationship Id="rId92" Type="http://schemas.openxmlformats.org/officeDocument/2006/relationships/image" Target="media/image43.wmf"/><Relationship Id="rId91" Type="http://schemas.openxmlformats.org/officeDocument/2006/relationships/oleObject" Target="embeddings/oleObject42.bin"/><Relationship Id="rId90" Type="http://schemas.openxmlformats.org/officeDocument/2006/relationships/image" Target="media/image42.wmf"/><Relationship Id="rId9" Type="http://schemas.openxmlformats.org/officeDocument/2006/relationships/oleObject" Target="embeddings/oleObject1.bin"/><Relationship Id="rId89" Type="http://schemas.openxmlformats.org/officeDocument/2006/relationships/oleObject" Target="embeddings/oleObject41.bin"/><Relationship Id="rId88" Type="http://schemas.openxmlformats.org/officeDocument/2006/relationships/image" Target="media/image41.wmf"/><Relationship Id="rId87" Type="http://schemas.openxmlformats.org/officeDocument/2006/relationships/oleObject" Target="embeddings/oleObject40.bin"/><Relationship Id="rId86" Type="http://schemas.openxmlformats.org/officeDocument/2006/relationships/image" Target="media/image40.wmf"/><Relationship Id="rId85" Type="http://schemas.openxmlformats.org/officeDocument/2006/relationships/oleObject" Target="embeddings/oleObject39.bin"/><Relationship Id="rId84" Type="http://schemas.openxmlformats.org/officeDocument/2006/relationships/image" Target="media/image39.wmf"/><Relationship Id="rId83" Type="http://schemas.openxmlformats.org/officeDocument/2006/relationships/oleObject" Target="embeddings/oleObject38.bin"/><Relationship Id="rId82" Type="http://schemas.openxmlformats.org/officeDocument/2006/relationships/image" Target="media/image38.wmf"/><Relationship Id="rId81" Type="http://schemas.openxmlformats.org/officeDocument/2006/relationships/oleObject" Target="embeddings/oleObject37.bin"/><Relationship Id="rId80" Type="http://schemas.openxmlformats.org/officeDocument/2006/relationships/image" Target="media/image37.wmf"/><Relationship Id="rId8" Type="http://schemas.openxmlformats.org/officeDocument/2006/relationships/image" Target="media/image1.jpeg"/><Relationship Id="rId79" Type="http://schemas.openxmlformats.org/officeDocument/2006/relationships/oleObject" Target="embeddings/oleObject36.bin"/><Relationship Id="rId78" Type="http://schemas.openxmlformats.org/officeDocument/2006/relationships/image" Target="media/image36.wmf"/><Relationship Id="rId77" Type="http://schemas.openxmlformats.org/officeDocument/2006/relationships/oleObject" Target="embeddings/oleObject35.bin"/><Relationship Id="rId76" Type="http://schemas.openxmlformats.org/officeDocument/2006/relationships/image" Target="media/image35.wmf"/><Relationship Id="rId75" Type="http://schemas.openxmlformats.org/officeDocument/2006/relationships/oleObject" Target="embeddings/oleObject34.bin"/><Relationship Id="rId74" Type="http://schemas.openxmlformats.org/officeDocument/2006/relationships/image" Target="media/image34.wmf"/><Relationship Id="rId73" Type="http://schemas.openxmlformats.org/officeDocument/2006/relationships/oleObject" Target="embeddings/oleObject33.bin"/><Relationship Id="rId72" Type="http://schemas.openxmlformats.org/officeDocument/2006/relationships/image" Target="media/image33.wmf"/><Relationship Id="rId71" Type="http://schemas.openxmlformats.org/officeDocument/2006/relationships/oleObject" Target="embeddings/oleObject32.bin"/><Relationship Id="rId70" Type="http://schemas.openxmlformats.org/officeDocument/2006/relationships/image" Target="media/image32.wmf"/><Relationship Id="rId7" Type="http://schemas.openxmlformats.org/officeDocument/2006/relationships/theme" Target="theme/theme1.xml"/><Relationship Id="rId69" Type="http://schemas.openxmlformats.org/officeDocument/2006/relationships/oleObject" Target="embeddings/oleObject31.bin"/><Relationship Id="rId68" Type="http://schemas.openxmlformats.org/officeDocument/2006/relationships/image" Target="media/image31.wmf"/><Relationship Id="rId67" Type="http://schemas.openxmlformats.org/officeDocument/2006/relationships/oleObject" Target="embeddings/oleObject30.bin"/><Relationship Id="rId66" Type="http://schemas.openxmlformats.org/officeDocument/2006/relationships/image" Target="media/image30.wmf"/><Relationship Id="rId65" Type="http://schemas.openxmlformats.org/officeDocument/2006/relationships/oleObject" Target="embeddings/oleObject29.bin"/><Relationship Id="rId64" Type="http://schemas.openxmlformats.org/officeDocument/2006/relationships/image" Target="media/image29.wmf"/><Relationship Id="rId63" Type="http://schemas.openxmlformats.org/officeDocument/2006/relationships/oleObject" Target="embeddings/oleObject28.bin"/><Relationship Id="rId62" Type="http://schemas.openxmlformats.org/officeDocument/2006/relationships/image" Target="media/image28.wmf"/><Relationship Id="rId61" Type="http://schemas.openxmlformats.org/officeDocument/2006/relationships/oleObject" Target="embeddings/oleObject27.bin"/><Relationship Id="rId60" Type="http://schemas.openxmlformats.org/officeDocument/2006/relationships/image" Target="media/image27.wmf"/><Relationship Id="rId6" Type="http://schemas.openxmlformats.org/officeDocument/2006/relationships/footer" Target="footer3.xml"/><Relationship Id="rId59" Type="http://schemas.openxmlformats.org/officeDocument/2006/relationships/oleObject" Target="embeddings/oleObject26.bin"/><Relationship Id="rId58" Type="http://schemas.openxmlformats.org/officeDocument/2006/relationships/image" Target="media/image26.wmf"/><Relationship Id="rId57" Type="http://schemas.openxmlformats.org/officeDocument/2006/relationships/oleObject" Target="embeddings/oleObject25.bin"/><Relationship Id="rId56" Type="http://schemas.openxmlformats.org/officeDocument/2006/relationships/image" Target="media/image25.wmf"/><Relationship Id="rId55" Type="http://schemas.openxmlformats.org/officeDocument/2006/relationships/oleObject" Target="embeddings/oleObject24.bin"/><Relationship Id="rId54" Type="http://schemas.openxmlformats.org/officeDocument/2006/relationships/image" Target="media/image24.wmf"/><Relationship Id="rId53" Type="http://schemas.openxmlformats.org/officeDocument/2006/relationships/oleObject" Target="embeddings/oleObject23.bin"/><Relationship Id="rId52" Type="http://schemas.openxmlformats.org/officeDocument/2006/relationships/image" Target="media/image23.wmf"/><Relationship Id="rId51" Type="http://schemas.openxmlformats.org/officeDocument/2006/relationships/oleObject" Target="embeddings/oleObject22.bin"/><Relationship Id="rId50" Type="http://schemas.openxmlformats.org/officeDocument/2006/relationships/image" Target="media/image22.wmf"/><Relationship Id="rId5" Type="http://schemas.openxmlformats.org/officeDocument/2006/relationships/footer" Target="footer2.xml"/><Relationship Id="rId49" Type="http://schemas.openxmlformats.org/officeDocument/2006/relationships/oleObject" Target="embeddings/oleObject21.bin"/><Relationship Id="rId48" Type="http://schemas.openxmlformats.org/officeDocument/2006/relationships/image" Target="media/image21.wmf"/><Relationship Id="rId47" Type="http://schemas.openxmlformats.org/officeDocument/2006/relationships/oleObject" Target="embeddings/oleObject20.bin"/><Relationship Id="rId46" Type="http://schemas.openxmlformats.org/officeDocument/2006/relationships/image" Target="media/image20.wmf"/><Relationship Id="rId45" Type="http://schemas.openxmlformats.org/officeDocument/2006/relationships/oleObject" Target="embeddings/oleObject19.bin"/><Relationship Id="rId44" Type="http://schemas.openxmlformats.org/officeDocument/2006/relationships/image" Target="media/image19.wmf"/><Relationship Id="rId43" Type="http://schemas.openxmlformats.org/officeDocument/2006/relationships/oleObject" Target="embeddings/oleObject18.bin"/><Relationship Id="rId42" Type="http://schemas.openxmlformats.org/officeDocument/2006/relationships/image" Target="media/image18.wmf"/><Relationship Id="rId41" Type="http://schemas.openxmlformats.org/officeDocument/2006/relationships/oleObject" Target="embeddings/oleObject17.bin"/><Relationship Id="rId40" Type="http://schemas.openxmlformats.org/officeDocument/2006/relationships/image" Target="media/image17.wmf"/><Relationship Id="rId4" Type="http://schemas.openxmlformats.org/officeDocument/2006/relationships/header" Target="header1.xml"/><Relationship Id="rId39" Type="http://schemas.openxmlformats.org/officeDocument/2006/relationships/oleObject" Target="embeddings/oleObject16.bin"/><Relationship Id="rId38" Type="http://schemas.openxmlformats.org/officeDocument/2006/relationships/image" Target="media/image16.wmf"/><Relationship Id="rId37" Type="http://schemas.openxmlformats.org/officeDocument/2006/relationships/oleObject" Target="embeddings/oleObject15.bin"/><Relationship Id="rId36" Type="http://schemas.openxmlformats.org/officeDocument/2006/relationships/image" Target="media/image15.wmf"/><Relationship Id="rId35" Type="http://schemas.openxmlformats.org/officeDocument/2006/relationships/oleObject" Target="embeddings/oleObject14.bin"/><Relationship Id="rId34" Type="http://schemas.openxmlformats.org/officeDocument/2006/relationships/image" Target="media/image14.wmf"/><Relationship Id="rId33" Type="http://schemas.openxmlformats.org/officeDocument/2006/relationships/oleObject" Target="embeddings/oleObject13.bin"/><Relationship Id="rId32" Type="http://schemas.openxmlformats.org/officeDocument/2006/relationships/image" Target="media/image13.wmf"/><Relationship Id="rId319" Type="http://schemas.openxmlformats.org/officeDocument/2006/relationships/fontTable" Target="fontTable.xml"/><Relationship Id="rId318" Type="http://schemas.openxmlformats.org/officeDocument/2006/relationships/customXml" Target="../customXml/item2.xml"/><Relationship Id="rId317" Type="http://schemas.openxmlformats.org/officeDocument/2006/relationships/numbering" Target="numbering.xml"/><Relationship Id="rId316" Type="http://schemas.openxmlformats.org/officeDocument/2006/relationships/customXml" Target="../customXml/item1.xml"/><Relationship Id="rId315" Type="http://schemas.openxmlformats.org/officeDocument/2006/relationships/image" Target="media/image157.wmf"/><Relationship Id="rId314" Type="http://schemas.openxmlformats.org/officeDocument/2006/relationships/oleObject" Target="embeddings/oleObject151.bin"/><Relationship Id="rId313" Type="http://schemas.openxmlformats.org/officeDocument/2006/relationships/image" Target="media/image156.wmf"/><Relationship Id="rId312" Type="http://schemas.openxmlformats.org/officeDocument/2006/relationships/oleObject" Target="embeddings/oleObject150.bin"/><Relationship Id="rId311" Type="http://schemas.openxmlformats.org/officeDocument/2006/relationships/image" Target="media/image155.wmf"/><Relationship Id="rId310" Type="http://schemas.openxmlformats.org/officeDocument/2006/relationships/oleObject" Target="embeddings/oleObject149.bin"/><Relationship Id="rId31" Type="http://schemas.openxmlformats.org/officeDocument/2006/relationships/oleObject" Target="embeddings/oleObject12.bin"/><Relationship Id="rId309" Type="http://schemas.openxmlformats.org/officeDocument/2006/relationships/oleObject" Target="embeddings/oleObject148.bin"/><Relationship Id="rId308" Type="http://schemas.openxmlformats.org/officeDocument/2006/relationships/image" Target="media/image154.wmf"/><Relationship Id="rId307" Type="http://schemas.openxmlformats.org/officeDocument/2006/relationships/oleObject" Target="embeddings/oleObject147.bin"/><Relationship Id="rId306" Type="http://schemas.openxmlformats.org/officeDocument/2006/relationships/image" Target="media/image153.wmf"/><Relationship Id="rId305" Type="http://schemas.openxmlformats.org/officeDocument/2006/relationships/oleObject" Target="embeddings/oleObject146.bin"/><Relationship Id="rId304" Type="http://schemas.openxmlformats.org/officeDocument/2006/relationships/image" Target="media/image152.wmf"/><Relationship Id="rId303" Type="http://schemas.openxmlformats.org/officeDocument/2006/relationships/oleObject" Target="embeddings/oleObject145.bin"/><Relationship Id="rId302" Type="http://schemas.openxmlformats.org/officeDocument/2006/relationships/image" Target="media/image151.wmf"/><Relationship Id="rId301" Type="http://schemas.openxmlformats.org/officeDocument/2006/relationships/oleObject" Target="embeddings/oleObject144.bin"/><Relationship Id="rId300" Type="http://schemas.openxmlformats.org/officeDocument/2006/relationships/image" Target="media/image150.wmf"/><Relationship Id="rId30" Type="http://schemas.openxmlformats.org/officeDocument/2006/relationships/image" Target="media/image12.wmf"/><Relationship Id="rId3" Type="http://schemas.openxmlformats.org/officeDocument/2006/relationships/footer" Target="footer1.xml"/><Relationship Id="rId299" Type="http://schemas.openxmlformats.org/officeDocument/2006/relationships/oleObject" Target="embeddings/oleObject143.bin"/><Relationship Id="rId298" Type="http://schemas.openxmlformats.org/officeDocument/2006/relationships/image" Target="media/image149.wmf"/><Relationship Id="rId297" Type="http://schemas.openxmlformats.org/officeDocument/2006/relationships/oleObject" Target="embeddings/oleObject142.bin"/><Relationship Id="rId296" Type="http://schemas.openxmlformats.org/officeDocument/2006/relationships/image" Target="media/image148.wmf"/><Relationship Id="rId295" Type="http://schemas.openxmlformats.org/officeDocument/2006/relationships/oleObject" Target="embeddings/oleObject141.bin"/><Relationship Id="rId294" Type="http://schemas.openxmlformats.org/officeDocument/2006/relationships/image" Target="media/image147.wmf"/><Relationship Id="rId293" Type="http://schemas.openxmlformats.org/officeDocument/2006/relationships/oleObject" Target="embeddings/oleObject140.bin"/><Relationship Id="rId292" Type="http://schemas.openxmlformats.org/officeDocument/2006/relationships/image" Target="media/image146.wmf"/><Relationship Id="rId291" Type="http://schemas.openxmlformats.org/officeDocument/2006/relationships/oleObject" Target="embeddings/oleObject139.bin"/><Relationship Id="rId290" Type="http://schemas.openxmlformats.org/officeDocument/2006/relationships/image" Target="media/image145.wmf"/><Relationship Id="rId29" Type="http://schemas.openxmlformats.org/officeDocument/2006/relationships/oleObject" Target="embeddings/oleObject11.bin"/><Relationship Id="rId289" Type="http://schemas.openxmlformats.org/officeDocument/2006/relationships/oleObject" Target="embeddings/oleObject138.bin"/><Relationship Id="rId288" Type="http://schemas.openxmlformats.org/officeDocument/2006/relationships/image" Target="media/image144.wmf"/><Relationship Id="rId287" Type="http://schemas.openxmlformats.org/officeDocument/2006/relationships/oleObject" Target="embeddings/oleObject137.bin"/><Relationship Id="rId286" Type="http://schemas.openxmlformats.org/officeDocument/2006/relationships/image" Target="media/image143.emf"/><Relationship Id="rId285" Type="http://schemas.openxmlformats.org/officeDocument/2006/relationships/image" Target="media/image142.emf"/><Relationship Id="rId284" Type="http://schemas.openxmlformats.org/officeDocument/2006/relationships/image" Target="media/image141.wmf"/><Relationship Id="rId283" Type="http://schemas.openxmlformats.org/officeDocument/2006/relationships/oleObject" Target="embeddings/oleObject136.bin"/><Relationship Id="rId282" Type="http://schemas.openxmlformats.org/officeDocument/2006/relationships/image" Target="media/image140.wmf"/><Relationship Id="rId281" Type="http://schemas.openxmlformats.org/officeDocument/2006/relationships/oleObject" Target="embeddings/oleObject135.bin"/><Relationship Id="rId280" Type="http://schemas.openxmlformats.org/officeDocument/2006/relationships/image" Target="media/image139.wmf"/><Relationship Id="rId28" Type="http://schemas.openxmlformats.org/officeDocument/2006/relationships/image" Target="media/image11.wmf"/><Relationship Id="rId279" Type="http://schemas.openxmlformats.org/officeDocument/2006/relationships/oleObject" Target="embeddings/oleObject134.bin"/><Relationship Id="rId278" Type="http://schemas.openxmlformats.org/officeDocument/2006/relationships/image" Target="media/image138.wmf"/><Relationship Id="rId277" Type="http://schemas.openxmlformats.org/officeDocument/2006/relationships/oleObject" Target="embeddings/oleObject133.bin"/><Relationship Id="rId276" Type="http://schemas.openxmlformats.org/officeDocument/2006/relationships/image" Target="media/image137.wmf"/><Relationship Id="rId275" Type="http://schemas.openxmlformats.org/officeDocument/2006/relationships/oleObject" Target="embeddings/oleObject132.bin"/><Relationship Id="rId274" Type="http://schemas.openxmlformats.org/officeDocument/2006/relationships/image" Target="media/image136.wmf"/><Relationship Id="rId273" Type="http://schemas.openxmlformats.org/officeDocument/2006/relationships/oleObject" Target="embeddings/oleObject131.bin"/><Relationship Id="rId272" Type="http://schemas.openxmlformats.org/officeDocument/2006/relationships/image" Target="media/image135.wmf"/><Relationship Id="rId271" Type="http://schemas.openxmlformats.org/officeDocument/2006/relationships/oleObject" Target="embeddings/oleObject130.bin"/><Relationship Id="rId270" Type="http://schemas.openxmlformats.org/officeDocument/2006/relationships/image" Target="media/image134.png"/><Relationship Id="rId27" Type="http://schemas.openxmlformats.org/officeDocument/2006/relationships/oleObject" Target="embeddings/oleObject10.bin"/><Relationship Id="rId269" Type="http://schemas.openxmlformats.org/officeDocument/2006/relationships/image" Target="media/image133.png"/><Relationship Id="rId268" Type="http://schemas.openxmlformats.org/officeDocument/2006/relationships/image" Target="media/image132.png"/><Relationship Id="rId267" Type="http://schemas.openxmlformats.org/officeDocument/2006/relationships/image" Target="media/image131.wmf"/><Relationship Id="rId266" Type="http://schemas.openxmlformats.org/officeDocument/2006/relationships/oleObject" Target="embeddings/oleObject129.bin"/><Relationship Id="rId265" Type="http://schemas.openxmlformats.org/officeDocument/2006/relationships/image" Target="media/image130.wmf"/><Relationship Id="rId264" Type="http://schemas.openxmlformats.org/officeDocument/2006/relationships/oleObject" Target="embeddings/oleObject128.bin"/><Relationship Id="rId263" Type="http://schemas.openxmlformats.org/officeDocument/2006/relationships/image" Target="media/image129.wmf"/><Relationship Id="rId262" Type="http://schemas.openxmlformats.org/officeDocument/2006/relationships/oleObject" Target="embeddings/oleObject127.bin"/><Relationship Id="rId261" Type="http://schemas.openxmlformats.org/officeDocument/2006/relationships/image" Target="media/image128.wmf"/><Relationship Id="rId260" Type="http://schemas.openxmlformats.org/officeDocument/2006/relationships/oleObject" Target="embeddings/oleObject126.bin"/><Relationship Id="rId26" Type="http://schemas.openxmlformats.org/officeDocument/2006/relationships/image" Target="media/image10.wmf"/><Relationship Id="rId259" Type="http://schemas.openxmlformats.org/officeDocument/2006/relationships/image" Target="media/image127.wmf"/><Relationship Id="rId258" Type="http://schemas.openxmlformats.org/officeDocument/2006/relationships/oleObject" Target="embeddings/oleObject125.bin"/><Relationship Id="rId257" Type="http://schemas.openxmlformats.org/officeDocument/2006/relationships/oleObject" Target="embeddings/oleObject124.bin"/><Relationship Id="rId256" Type="http://schemas.openxmlformats.org/officeDocument/2006/relationships/image" Target="media/image126.wmf"/><Relationship Id="rId255" Type="http://schemas.openxmlformats.org/officeDocument/2006/relationships/oleObject" Target="embeddings/oleObject123.bin"/><Relationship Id="rId254" Type="http://schemas.openxmlformats.org/officeDocument/2006/relationships/image" Target="media/image125.wmf"/><Relationship Id="rId253" Type="http://schemas.openxmlformats.org/officeDocument/2006/relationships/oleObject" Target="embeddings/oleObject122.bin"/><Relationship Id="rId252" Type="http://schemas.openxmlformats.org/officeDocument/2006/relationships/oleObject" Target="embeddings/oleObject121.bin"/><Relationship Id="rId251" Type="http://schemas.openxmlformats.org/officeDocument/2006/relationships/image" Target="media/image124.wmf"/><Relationship Id="rId250" Type="http://schemas.openxmlformats.org/officeDocument/2006/relationships/oleObject" Target="embeddings/oleObject120.bin"/><Relationship Id="rId25" Type="http://schemas.openxmlformats.org/officeDocument/2006/relationships/oleObject" Target="embeddings/oleObject9.bin"/><Relationship Id="rId249" Type="http://schemas.openxmlformats.org/officeDocument/2006/relationships/image" Target="media/image123.wmf"/><Relationship Id="rId248" Type="http://schemas.openxmlformats.org/officeDocument/2006/relationships/oleObject" Target="embeddings/oleObject119.bin"/><Relationship Id="rId247" Type="http://schemas.openxmlformats.org/officeDocument/2006/relationships/image" Target="media/image122.wmf"/><Relationship Id="rId246" Type="http://schemas.openxmlformats.org/officeDocument/2006/relationships/oleObject" Target="embeddings/oleObject118.bin"/><Relationship Id="rId245" Type="http://schemas.openxmlformats.org/officeDocument/2006/relationships/image" Target="media/image121.wmf"/><Relationship Id="rId244" Type="http://schemas.openxmlformats.org/officeDocument/2006/relationships/oleObject" Target="embeddings/oleObject117.bin"/><Relationship Id="rId243" Type="http://schemas.openxmlformats.org/officeDocument/2006/relationships/image" Target="media/image120.wmf"/><Relationship Id="rId242" Type="http://schemas.openxmlformats.org/officeDocument/2006/relationships/oleObject" Target="embeddings/oleObject116.bin"/><Relationship Id="rId241" Type="http://schemas.openxmlformats.org/officeDocument/2006/relationships/image" Target="media/image119.wmf"/><Relationship Id="rId240" Type="http://schemas.openxmlformats.org/officeDocument/2006/relationships/oleObject" Target="embeddings/oleObject115.bin"/><Relationship Id="rId24" Type="http://schemas.openxmlformats.org/officeDocument/2006/relationships/image" Target="media/image9.wmf"/><Relationship Id="rId239" Type="http://schemas.openxmlformats.org/officeDocument/2006/relationships/image" Target="media/image118.jpeg"/><Relationship Id="rId238" Type="http://schemas.openxmlformats.org/officeDocument/2006/relationships/image" Target="media/image117.jpeg"/><Relationship Id="rId237" Type="http://schemas.openxmlformats.org/officeDocument/2006/relationships/image" Target="media/image116.png"/><Relationship Id="rId236" Type="http://schemas.openxmlformats.org/officeDocument/2006/relationships/image" Target="media/image115.png"/><Relationship Id="rId235" Type="http://schemas.openxmlformats.org/officeDocument/2006/relationships/image" Target="media/image114.png"/><Relationship Id="rId234" Type="http://schemas.openxmlformats.org/officeDocument/2006/relationships/image" Target="media/image113.png"/><Relationship Id="rId233" Type="http://schemas.openxmlformats.org/officeDocument/2006/relationships/image" Target="media/image112.png"/><Relationship Id="rId232" Type="http://schemas.openxmlformats.org/officeDocument/2006/relationships/image" Target="media/image111.png"/><Relationship Id="rId231" Type="http://schemas.openxmlformats.org/officeDocument/2006/relationships/image" Target="media/image110.png"/><Relationship Id="rId230" Type="http://schemas.openxmlformats.org/officeDocument/2006/relationships/image" Target="media/image109.png"/><Relationship Id="rId23" Type="http://schemas.openxmlformats.org/officeDocument/2006/relationships/oleObject" Target="embeddings/oleObject8.bin"/><Relationship Id="rId229" Type="http://schemas.openxmlformats.org/officeDocument/2006/relationships/image" Target="media/image108.png"/><Relationship Id="rId228" Type="http://schemas.openxmlformats.org/officeDocument/2006/relationships/oleObject" Target="embeddings/oleObject114.bin"/><Relationship Id="rId227" Type="http://schemas.openxmlformats.org/officeDocument/2006/relationships/oleObject" Target="embeddings/oleObject113.bin"/><Relationship Id="rId226" Type="http://schemas.openxmlformats.org/officeDocument/2006/relationships/image" Target="media/image107.wmf"/><Relationship Id="rId225" Type="http://schemas.openxmlformats.org/officeDocument/2006/relationships/oleObject" Target="embeddings/oleObject112.bin"/><Relationship Id="rId224" Type="http://schemas.openxmlformats.org/officeDocument/2006/relationships/image" Target="media/image106.wmf"/><Relationship Id="rId223" Type="http://schemas.openxmlformats.org/officeDocument/2006/relationships/oleObject" Target="embeddings/oleObject111.bin"/><Relationship Id="rId222" Type="http://schemas.openxmlformats.org/officeDocument/2006/relationships/oleObject" Target="embeddings/oleObject110.bin"/><Relationship Id="rId221" Type="http://schemas.openxmlformats.org/officeDocument/2006/relationships/image" Target="media/image105.wmf"/><Relationship Id="rId220" Type="http://schemas.openxmlformats.org/officeDocument/2006/relationships/oleObject" Target="embeddings/oleObject109.bin"/><Relationship Id="rId22" Type="http://schemas.openxmlformats.org/officeDocument/2006/relationships/image" Target="media/image8.wmf"/><Relationship Id="rId219" Type="http://schemas.openxmlformats.org/officeDocument/2006/relationships/image" Target="media/image104.wmf"/><Relationship Id="rId218" Type="http://schemas.openxmlformats.org/officeDocument/2006/relationships/oleObject" Target="embeddings/oleObject108.bin"/><Relationship Id="rId217" Type="http://schemas.openxmlformats.org/officeDocument/2006/relationships/image" Target="media/image103.wmf"/><Relationship Id="rId216" Type="http://schemas.openxmlformats.org/officeDocument/2006/relationships/oleObject" Target="embeddings/oleObject107.bin"/><Relationship Id="rId215" Type="http://schemas.openxmlformats.org/officeDocument/2006/relationships/image" Target="media/image102.wmf"/><Relationship Id="rId214" Type="http://schemas.openxmlformats.org/officeDocument/2006/relationships/oleObject" Target="embeddings/oleObject106.bin"/><Relationship Id="rId213" Type="http://schemas.openxmlformats.org/officeDocument/2006/relationships/oleObject" Target="embeddings/oleObject105.bin"/><Relationship Id="rId212" Type="http://schemas.openxmlformats.org/officeDocument/2006/relationships/image" Target="media/image101.wmf"/><Relationship Id="rId211" Type="http://schemas.openxmlformats.org/officeDocument/2006/relationships/oleObject" Target="embeddings/oleObject104.bin"/><Relationship Id="rId210" Type="http://schemas.openxmlformats.org/officeDocument/2006/relationships/image" Target="media/image100.wmf"/><Relationship Id="rId21" Type="http://schemas.openxmlformats.org/officeDocument/2006/relationships/oleObject" Target="embeddings/oleObject7.bin"/><Relationship Id="rId209" Type="http://schemas.openxmlformats.org/officeDocument/2006/relationships/oleObject" Target="embeddings/oleObject103.bin"/><Relationship Id="rId208" Type="http://schemas.openxmlformats.org/officeDocument/2006/relationships/image" Target="media/image99.wmf"/><Relationship Id="rId207" Type="http://schemas.openxmlformats.org/officeDocument/2006/relationships/oleObject" Target="embeddings/oleObject102.bin"/><Relationship Id="rId206" Type="http://schemas.openxmlformats.org/officeDocument/2006/relationships/image" Target="media/image98.wmf"/><Relationship Id="rId205" Type="http://schemas.openxmlformats.org/officeDocument/2006/relationships/oleObject" Target="embeddings/oleObject101.bin"/><Relationship Id="rId204" Type="http://schemas.openxmlformats.org/officeDocument/2006/relationships/oleObject" Target="embeddings/oleObject100.bin"/><Relationship Id="rId203" Type="http://schemas.openxmlformats.org/officeDocument/2006/relationships/image" Target="media/image97.wmf"/><Relationship Id="rId202" Type="http://schemas.openxmlformats.org/officeDocument/2006/relationships/oleObject" Target="embeddings/oleObject99.bin"/><Relationship Id="rId201" Type="http://schemas.openxmlformats.org/officeDocument/2006/relationships/oleObject" Target="embeddings/oleObject98.bin"/><Relationship Id="rId200" Type="http://schemas.openxmlformats.org/officeDocument/2006/relationships/image" Target="media/image96.wmf"/><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97.bin"/><Relationship Id="rId198" Type="http://schemas.openxmlformats.org/officeDocument/2006/relationships/image" Target="media/image95.wmf"/><Relationship Id="rId197" Type="http://schemas.openxmlformats.org/officeDocument/2006/relationships/oleObject" Target="embeddings/oleObject96.bin"/><Relationship Id="rId196" Type="http://schemas.openxmlformats.org/officeDocument/2006/relationships/image" Target="media/image94.wmf"/><Relationship Id="rId195" Type="http://schemas.openxmlformats.org/officeDocument/2006/relationships/oleObject" Target="embeddings/oleObject95.bin"/><Relationship Id="rId194" Type="http://schemas.openxmlformats.org/officeDocument/2006/relationships/image" Target="media/image93.wmf"/><Relationship Id="rId193" Type="http://schemas.openxmlformats.org/officeDocument/2006/relationships/oleObject" Target="embeddings/oleObject94.bin"/><Relationship Id="rId192" Type="http://schemas.openxmlformats.org/officeDocument/2006/relationships/oleObject" Target="embeddings/oleObject93.bin"/><Relationship Id="rId191" Type="http://schemas.openxmlformats.org/officeDocument/2006/relationships/image" Target="media/image92.wmf"/><Relationship Id="rId190" Type="http://schemas.openxmlformats.org/officeDocument/2006/relationships/oleObject" Target="embeddings/oleObject92.bin"/><Relationship Id="rId19" Type="http://schemas.openxmlformats.org/officeDocument/2006/relationships/oleObject" Target="embeddings/oleObject6.bin"/><Relationship Id="rId189" Type="http://schemas.openxmlformats.org/officeDocument/2006/relationships/oleObject" Target="embeddings/oleObject91.bin"/><Relationship Id="rId188" Type="http://schemas.openxmlformats.org/officeDocument/2006/relationships/image" Target="media/image91.wmf"/><Relationship Id="rId187" Type="http://schemas.openxmlformats.org/officeDocument/2006/relationships/oleObject" Target="embeddings/oleObject90.bin"/><Relationship Id="rId186" Type="http://schemas.openxmlformats.org/officeDocument/2006/relationships/image" Target="media/image90.wmf"/><Relationship Id="rId185" Type="http://schemas.openxmlformats.org/officeDocument/2006/relationships/oleObject" Target="embeddings/oleObject89.bin"/><Relationship Id="rId184" Type="http://schemas.openxmlformats.org/officeDocument/2006/relationships/image" Target="media/image89.wmf"/><Relationship Id="rId183" Type="http://schemas.openxmlformats.org/officeDocument/2006/relationships/oleObject" Target="embeddings/oleObject88.bin"/><Relationship Id="rId182" Type="http://schemas.openxmlformats.org/officeDocument/2006/relationships/image" Target="media/image88.wmf"/><Relationship Id="rId181" Type="http://schemas.openxmlformats.org/officeDocument/2006/relationships/oleObject" Target="embeddings/oleObject87.bin"/><Relationship Id="rId180" Type="http://schemas.openxmlformats.org/officeDocument/2006/relationships/image" Target="media/image87.wmf"/><Relationship Id="rId18" Type="http://schemas.openxmlformats.org/officeDocument/2006/relationships/image" Target="media/image6.wmf"/><Relationship Id="rId179" Type="http://schemas.openxmlformats.org/officeDocument/2006/relationships/oleObject" Target="embeddings/oleObject86.bin"/><Relationship Id="rId178" Type="http://schemas.openxmlformats.org/officeDocument/2006/relationships/image" Target="media/image86.wmf"/><Relationship Id="rId177" Type="http://schemas.openxmlformats.org/officeDocument/2006/relationships/oleObject" Target="embeddings/oleObject85.bin"/><Relationship Id="rId176" Type="http://schemas.openxmlformats.org/officeDocument/2006/relationships/image" Target="media/image85.wmf"/><Relationship Id="rId175" Type="http://schemas.openxmlformats.org/officeDocument/2006/relationships/oleObject" Target="embeddings/oleObject84.bin"/><Relationship Id="rId174" Type="http://schemas.openxmlformats.org/officeDocument/2006/relationships/image" Target="media/image84.wmf"/><Relationship Id="rId173" Type="http://schemas.openxmlformats.org/officeDocument/2006/relationships/oleObject" Target="embeddings/oleObject83.bin"/><Relationship Id="rId172" Type="http://schemas.openxmlformats.org/officeDocument/2006/relationships/image" Target="media/image83.wmf"/><Relationship Id="rId171" Type="http://schemas.openxmlformats.org/officeDocument/2006/relationships/oleObject" Target="embeddings/oleObject82.bin"/><Relationship Id="rId170" Type="http://schemas.openxmlformats.org/officeDocument/2006/relationships/image" Target="media/image82.wmf"/><Relationship Id="rId17" Type="http://schemas.openxmlformats.org/officeDocument/2006/relationships/oleObject" Target="embeddings/oleObject5.bin"/><Relationship Id="rId169" Type="http://schemas.openxmlformats.org/officeDocument/2006/relationships/oleObject" Target="embeddings/oleObject81.bin"/><Relationship Id="rId168" Type="http://schemas.openxmlformats.org/officeDocument/2006/relationships/image" Target="media/image81.wmf"/><Relationship Id="rId167" Type="http://schemas.openxmlformats.org/officeDocument/2006/relationships/oleObject" Target="embeddings/oleObject80.bin"/><Relationship Id="rId166" Type="http://schemas.openxmlformats.org/officeDocument/2006/relationships/image" Target="media/image80.wmf"/><Relationship Id="rId165" Type="http://schemas.openxmlformats.org/officeDocument/2006/relationships/oleObject" Target="embeddings/oleObject79.bin"/><Relationship Id="rId164" Type="http://schemas.openxmlformats.org/officeDocument/2006/relationships/image" Target="media/image79.wmf"/><Relationship Id="rId163" Type="http://schemas.openxmlformats.org/officeDocument/2006/relationships/oleObject" Target="embeddings/oleObject78.bin"/><Relationship Id="rId162" Type="http://schemas.openxmlformats.org/officeDocument/2006/relationships/image" Target="media/image78.wmf"/><Relationship Id="rId161" Type="http://schemas.openxmlformats.org/officeDocument/2006/relationships/oleObject" Target="embeddings/oleObject77.bin"/><Relationship Id="rId160" Type="http://schemas.openxmlformats.org/officeDocument/2006/relationships/image" Target="media/image77.wmf"/><Relationship Id="rId16" Type="http://schemas.openxmlformats.org/officeDocument/2006/relationships/image" Target="media/image5.wmf"/><Relationship Id="rId159" Type="http://schemas.openxmlformats.org/officeDocument/2006/relationships/oleObject" Target="embeddings/oleObject76.bin"/><Relationship Id="rId158" Type="http://schemas.openxmlformats.org/officeDocument/2006/relationships/image" Target="media/image76.wmf"/><Relationship Id="rId157" Type="http://schemas.openxmlformats.org/officeDocument/2006/relationships/oleObject" Target="embeddings/oleObject75.bin"/><Relationship Id="rId156" Type="http://schemas.openxmlformats.org/officeDocument/2006/relationships/image" Target="media/image75.wmf"/><Relationship Id="rId155" Type="http://schemas.openxmlformats.org/officeDocument/2006/relationships/oleObject" Target="embeddings/oleObject74.bin"/><Relationship Id="rId154" Type="http://schemas.openxmlformats.org/officeDocument/2006/relationships/image" Target="media/image74.wmf"/><Relationship Id="rId153" Type="http://schemas.openxmlformats.org/officeDocument/2006/relationships/oleObject" Target="embeddings/oleObject73.bin"/><Relationship Id="rId152" Type="http://schemas.openxmlformats.org/officeDocument/2006/relationships/image" Target="media/image73.wmf"/><Relationship Id="rId151" Type="http://schemas.openxmlformats.org/officeDocument/2006/relationships/oleObject" Target="embeddings/oleObject72.bin"/><Relationship Id="rId150" Type="http://schemas.openxmlformats.org/officeDocument/2006/relationships/image" Target="media/image72.wmf"/><Relationship Id="rId15" Type="http://schemas.openxmlformats.org/officeDocument/2006/relationships/oleObject" Target="embeddings/oleObject4.bin"/><Relationship Id="rId149" Type="http://schemas.openxmlformats.org/officeDocument/2006/relationships/oleObject" Target="embeddings/oleObject71.bin"/><Relationship Id="rId148" Type="http://schemas.openxmlformats.org/officeDocument/2006/relationships/image" Target="media/image71.wmf"/><Relationship Id="rId147" Type="http://schemas.openxmlformats.org/officeDocument/2006/relationships/oleObject" Target="embeddings/oleObject70.bin"/><Relationship Id="rId146" Type="http://schemas.openxmlformats.org/officeDocument/2006/relationships/image" Target="media/image70.wmf"/><Relationship Id="rId145" Type="http://schemas.openxmlformats.org/officeDocument/2006/relationships/oleObject" Target="embeddings/oleObject69.bin"/><Relationship Id="rId144" Type="http://schemas.openxmlformats.org/officeDocument/2006/relationships/image" Target="media/image69.wmf"/><Relationship Id="rId143" Type="http://schemas.openxmlformats.org/officeDocument/2006/relationships/oleObject" Target="embeddings/oleObject68.bin"/><Relationship Id="rId142" Type="http://schemas.openxmlformats.org/officeDocument/2006/relationships/image" Target="media/image68.wmf"/><Relationship Id="rId141" Type="http://schemas.openxmlformats.org/officeDocument/2006/relationships/oleObject" Target="embeddings/oleObject67.bin"/><Relationship Id="rId140" Type="http://schemas.openxmlformats.org/officeDocument/2006/relationships/image" Target="media/image67.wmf"/><Relationship Id="rId14" Type="http://schemas.openxmlformats.org/officeDocument/2006/relationships/image" Target="media/image4.wmf"/><Relationship Id="rId139" Type="http://schemas.openxmlformats.org/officeDocument/2006/relationships/oleObject" Target="embeddings/oleObject66.bin"/><Relationship Id="rId138" Type="http://schemas.openxmlformats.org/officeDocument/2006/relationships/image" Target="media/image66.wmf"/><Relationship Id="rId137" Type="http://schemas.openxmlformats.org/officeDocument/2006/relationships/oleObject" Target="embeddings/oleObject65.bin"/><Relationship Id="rId136" Type="http://schemas.openxmlformats.org/officeDocument/2006/relationships/image" Target="media/image65.wmf"/><Relationship Id="rId135" Type="http://schemas.openxmlformats.org/officeDocument/2006/relationships/oleObject" Target="embeddings/oleObject64.bin"/><Relationship Id="rId134" Type="http://schemas.openxmlformats.org/officeDocument/2006/relationships/image" Target="media/image64.wmf"/><Relationship Id="rId133" Type="http://schemas.openxmlformats.org/officeDocument/2006/relationships/oleObject" Target="embeddings/oleObject63.bin"/><Relationship Id="rId132" Type="http://schemas.openxmlformats.org/officeDocument/2006/relationships/image" Target="media/image63.wmf"/><Relationship Id="rId131" Type="http://schemas.openxmlformats.org/officeDocument/2006/relationships/oleObject" Target="embeddings/oleObject62.bin"/><Relationship Id="rId130" Type="http://schemas.openxmlformats.org/officeDocument/2006/relationships/image" Target="media/image62.wmf"/><Relationship Id="rId13" Type="http://schemas.openxmlformats.org/officeDocument/2006/relationships/oleObject" Target="embeddings/oleObject3.bin"/><Relationship Id="rId129" Type="http://schemas.openxmlformats.org/officeDocument/2006/relationships/oleObject" Target="embeddings/oleObject61.bin"/><Relationship Id="rId128" Type="http://schemas.openxmlformats.org/officeDocument/2006/relationships/image" Target="media/image61.wmf"/><Relationship Id="rId127" Type="http://schemas.openxmlformats.org/officeDocument/2006/relationships/oleObject" Target="embeddings/oleObject60.bin"/><Relationship Id="rId126" Type="http://schemas.openxmlformats.org/officeDocument/2006/relationships/image" Target="media/image60.wmf"/><Relationship Id="rId125" Type="http://schemas.openxmlformats.org/officeDocument/2006/relationships/oleObject" Target="embeddings/oleObject59.bin"/><Relationship Id="rId124" Type="http://schemas.openxmlformats.org/officeDocument/2006/relationships/image" Target="media/image59.wmf"/><Relationship Id="rId123" Type="http://schemas.openxmlformats.org/officeDocument/2006/relationships/oleObject" Target="embeddings/oleObject58.bin"/><Relationship Id="rId122" Type="http://schemas.openxmlformats.org/officeDocument/2006/relationships/image" Target="media/image58.wmf"/><Relationship Id="rId121" Type="http://schemas.openxmlformats.org/officeDocument/2006/relationships/oleObject" Target="embeddings/oleObject57.bin"/><Relationship Id="rId120" Type="http://schemas.openxmlformats.org/officeDocument/2006/relationships/image" Target="media/image57.wmf"/><Relationship Id="rId12" Type="http://schemas.openxmlformats.org/officeDocument/2006/relationships/image" Target="media/image3.wmf"/><Relationship Id="rId119" Type="http://schemas.openxmlformats.org/officeDocument/2006/relationships/oleObject" Target="embeddings/oleObject56.bin"/><Relationship Id="rId118" Type="http://schemas.openxmlformats.org/officeDocument/2006/relationships/image" Target="media/image56.wmf"/><Relationship Id="rId117" Type="http://schemas.openxmlformats.org/officeDocument/2006/relationships/oleObject" Target="embeddings/oleObject55.bin"/><Relationship Id="rId116" Type="http://schemas.openxmlformats.org/officeDocument/2006/relationships/image" Target="media/image55.wmf"/><Relationship Id="rId115" Type="http://schemas.openxmlformats.org/officeDocument/2006/relationships/oleObject" Target="embeddings/oleObject54.bin"/><Relationship Id="rId114" Type="http://schemas.openxmlformats.org/officeDocument/2006/relationships/image" Target="media/image54.wmf"/><Relationship Id="rId113" Type="http://schemas.openxmlformats.org/officeDocument/2006/relationships/oleObject" Target="embeddings/oleObject53.bin"/><Relationship Id="rId112" Type="http://schemas.openxmlformats.org/officeDocument/2006/relationships/image" Target="media/image53.wmf"/><Relationship Id="rId111" Type="http://schemas.openxmlformats.org/officeDocument/2006/relationships/oleObject" Target="embeddings/oleObject52.bin"/><Relationship Id="rId110" Type="http://schemas.openxmlformats.org/officeDocument/2006/relationships/image" Target="media/image52.wmf"/><Relationship Id="rId11" Type="http://schemas.openxmlformats.org/officeDocument/2006/relationships/oleObject" Target="embeddings/oleObject2.bin"/><Relationship Id="rId109" Type="http://schemas.openxmlformats.org/officeDocument/2006/relationships/oleObject" Target="embeddings/oleObject51.bin"/><Relationship Id="rId108" Type="http://schemas.openxmlformats.org/officeDocument/2006/relationships/image" Target="media/image51.wmf"/><Relationship Id="rId107" Type="http://schemas.openxmlformats.org/officeDocument/2006/relationships/oleObject" Target="embeddings/oleObject50.bin"/><Relationship Id="rId106" Type="http://schemas.openxmlformats.org/officeDocument/2006/relationships/image" Target="media/image50.wmf"/><Relationship Id="rId105" Type="http://schemas.openxmlformats.org/officeDocument/2006/relationships/oleObject" Target="embeddings/oleObject49.bin"/><Relationship Id="rId104" Type="http://schemas.openxmlformats.org/officeDocument/2006/relationships/image" Target="media/image49.wmf"/><Relationship Id="rId103" Type="http://schemas.openxmlformats.org/officeDocument/2006/relationships/oleObject" Target="embeddings/oleObject48.bin"/><Relationship Id="rId102" Type="http://schemas.openxmlformats.org/officeDocument/2006/relationships/image" Target="media/image48.wmf"/><Relationship Id="rId101" Type="http://schemas.openxmlformats.org/officeDocument/2006/relationships/oleObject" Target="embeddings/oleObject47.bin"/><Relationship Id="rId100" Type="http://schemas.openxmlformats.org/officeDocument/2006/relationships/image" Target="media/image47.wmf"/><Relationship Id="rId10" Type="http://schemas.openxmlformats.org/officeDocument/2006/relationships/image" Target="media/image2.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9C94D6-18B3-4C54-A311-C0B971748010}">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11859</Words>
  <Characters>67602</Characters>
  <Lines>563</Lines>
  <Paragraphs>158</Paragraphs>
  <TotalTime>3</TotalTime>
  <ScaleCrop>false</ScaleCrop>
  <LinksUpToDate>false</LinksUpToDate>
  <CharactersWithSpaces>79303</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2020-12-29T13:08:00Z</dcterms:created>
  <dc:creator>Sky123.Org</dc:creator>
  <cp:lastModifiedBy>jzt</cp:lastModifiedBy>
  <cp:lastPrinted>2020-08-07T03:31:00Z</cp:lastPrinted>
  <dcterms:modified xsi:type="dcterms:W3CDTF">2021-01-25T07:23:30Z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74773afd-fb7e-4712-b7f7-a13dafa59b6a</vt:lpwstr>
  </property>
  <property fmtid="{D5CDD505-2E9C-101B-9397-08002B2CF9AE}" pid="3" name="DSMClassification">
    <vt:lpwstr>PUBLIC</vt:lpwstr>
  </property>
  <property fmtid="{D5CDD505-2E9C-101B-9397-08002B2CF9AE}" pid="4" name="KSOProductBuildVer">
    <vt:lpwstr>2052-10.8.2.7027</vt:lpwstr>
  </property>
  <property fmtid="{D5CDD505-2E9C-101B-9397-08002B2CF9AE}" pid="5" name="ribbonExt">
    <vt:lpwstr>{"WPSExtOfficeTab":{"OnGetEnabled":false,"OnGetVisible":false}}</vt:lpwstr>
  </property>
</Properties>
</file>