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F4" w:rsidRDefault="007F35F4" w:rsidP="007F35F4">
      <w:pPr>
        <w:pStyle w:val="3"/>
        <w:spacing w:line="600" w:lineRule="exact"/>
        <w:ind w:firstLine="0"/>
        <w:jc w:val="center"/>
        <w:rPr>
          <w:rFonts w:ascii="小标宋" w:eastAsia="小标宋" w:hAnsi="小标宋" w:cs="小标宋"/>
          <w:b w:val="0"/>
          <w:bCs w:val="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b w:val="0"/>
          <w:bCs w:val="0"/>
          <w:sz w:val="44"/>
          <w:szCs w:val="44"/>
        </w:rPr>
        <w:t>广东省2020年度查处第三批违法违规</w:t>
      </w:r>
    </w:p>
    <w:p w:rsidR="007F35F4" w:rsidRDefault="007F35F4" w:rsidP="007F35F4">
      <w:pPr>
        <w:pStyle w:val="3"/>
        <w:spacing w:line="600" w:lineRule="exact"/>
        <w:ind w:firstLine="0"/>
        <w:jc w:val="center"/>
        <w:rPr>
          <w:rFonts w:ascii="小标宋" w:eastAsia="小标宋" w:hAnsi="小标宋" w:cs="小标宋"/>
          <w:b w:val="0"/>
          <w:bCs w:val="0"/>
          <w:sz w:val="44"/>
          <w:szCs w:val="44"/>
        </w:rPr>
      </w:pPr>
      <w:r>
        <w:rPr>
          <w:rFonts w:ascii="小标宋" w:eastAsia="小标宋" w:hAnsi="小标宋" w:cs="小标宋" w:hint="eastAsia"/>
          <w:b w:val="0"/>
          <w:bCs w:val="0"/>
          <w:sz w:val="44"/>
          <w:szCs w:val="44"/>
        </w:rPr>
        <w:t>房地产开发企业、中介机构</w:t>
      </w:r>
      <w:proofErr w:type="gramStart"/>
      <w:r>
        <w:rPr>
          <w:rFonts w:ascii="小标宋" w:eastAsia="小标宋" w:hAnsi="小标宋" w:cs="小标宋" w:hint="eastAsia"/>
          <w:b w:val="0"/>
          <w:bCs w:val="0"/>
          <w:sz w:val="44"/>
          <w:szCs w:val="44"/>
        </w:rPr>
        <w:t>和</w:t>
      </w:r>
      <w:proofErr w:type="gramEnd"/>
    </w:p>
    <w:p w:rsidR="007F35F4" w:rsidRDefault="007F35F4" w:rsidP="007F35F4">
      <w:pPr>
        <w:pStyle w:val="3"/>
        <w:spacing w:line="600" w:lineRule="exact"/>
        <w:ind w:firstLine="0"/>
        <w:jc w:val="center"/>
        <w:rPr>
          <w:rFonts w:ascii="小标宋" w:eastAsia="小标宋" w:hAnsi="小标宋" w:cs="小标宋"/>
          <w:b w:val="0"/>
          <w:bCs w:val="0"/>
          <w:sz w:val="44"/>
          <w:szCs w:val="44"/>
        </w:rPr>
      </w:pPr>
      <w:r>
        <w:rPr>
          <w:rFonts w:ascii="小标宋" w:eastAsia="小标宋" w:hAnsi="小标宋" w:cs="小标宋" w:hint="eastAsia"/>
          <w:b w:val="0"/>
          <w:bCs w:val="0"/>
          <w:sz w:val="44"/>
          <w:szCs w:val="44"/>
        </w:rPr>
        <w:t>物业服务企业情况汇总表</w:t>
      </w:r>
    </w:p>
    <w:tbl>
      <w:tblPr>
        <w:tblpPr w:leftFromText="180" w:rightFromText="180" w:vertAnchor="text" w:horzAnchor="page" w:tblpXSpec="center" w:tblpY="622"/>
        <w:tblOverlap w:val="never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2964"/>
        <w:gridCol w:w="5245"/>
        <w:gridCol w:w="1428"/>
      </w:tblGrid>
      <w:tr w:rsidR="007F35F4" w:rsidTr="0005415F">
        <w:trPr>
          <w:trHeight w:val="51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具体违法行为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整改情况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市众一家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房地产经纪有限公司威龙新城分公司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未公示营业执照、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清远市冠壹房地产经纪有限公司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城区恒扬房屋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咨询服务部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清远市清城区共创置业服务部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清远市清城区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小市庐家房屋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中介服务部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清远市清城区小市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盈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家家房地产中介服务部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清远市泰易建材装饰有限公司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未公示营业执照、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清远市智岚地产代理有限公司嘉源分店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清远市清城区倾城房地产中介服务部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清远市恒天房地产代理有限公司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市佰跃房地产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清远市清城区新都房地产中介服务有限公司卧龙五洲分公司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市俊丰地产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经纪有限公司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市腾扬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房地产经纪有限公司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、公示内容不全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清远市嘉宏投资有限公司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未按要求公示商品房购房须知、住宅质量保证书和住宅使用说明书样本、商品房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销控表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、商品房买卖合同样本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恒畅投资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未按要求公示商品房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销控表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、规划部门审批的总平面图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清远市精美投资有限公司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未按要求公示住宅质量保证书和住宅使用说明书样本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样本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、开发进度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恒远兆业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未按要求公示规划部门审批的总平面图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市杰晖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未按要求公示住宅质量保证书和住宅使用说明书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样本样本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清远市美心房地产开发有限公司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未按要求公示商品房购房须知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中海宏洋房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公示信息不齐全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清远市清新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区启创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置业有限公司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公示信息不齐全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清远市清新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区瑞亿置业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公示信息不齐全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清远市佰合谷投资有限公司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公示信息不齐全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市恒碧房地产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未按规定收存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诚意金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清远市华府物业管理有限公司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物业服务合同终止时，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以业委会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召开业主大会选聘物业公司过程不符合程序为由，不按规定移交物业服务用房和有关资料，拒不撤离物业服务项目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佛冈县邻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睦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物业管理服务有限公司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部分设施设备损坏或缺失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佛冈县慧谷物业管理有限公司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消防系统瘫痪；部分消防设施设备损坏或缺失。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清远市清新区凯居物业管理有限公司佛冈分公司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消防系统瘫痪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佛冈县慧谷物业管理有限公司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消防系统瘫痪；部分消防栓设施残旧，水带老化，灭火器过期。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佛冈县安居物业管理有限公司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退出物业管理区域时，未移交有关资料。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佛冈县慧谷物业管理有限公司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存在楼层瓷片脱落的情况；垃圾桶没有密闭；电动车和非电动车停放秩序较乱；存在乱搭乱建的现象。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佛冈县利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退出物业管理区域时，未退还部分物业服务费用。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宝纳嘉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工作台帐不完善；共用设施、设备养护记录不完善；未办理物业承接查验。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清远市清新区凯居物业管理有限公司佛冈分公司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工作台帐不完善；消防控制系统瘫痪；未安装电动车集中充电桩；未办理物业承接查验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安信恒物业管理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未办理物业服务合同备案；处理业主投诉台帐不完善；未安装电动车集中充电桩；共用设施、设备没有巡查及养护记录；未办理物业承接查验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佛冈县锦绣物业管理有限公司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未进行区域变更备案；处理业主投诉台帐不完善。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宝纳嘉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服务合同未约定服务内容、标准；日常巡查记录不完善；缺业主投诉记录台帐；部分消防设施损坏；共用设施养护记录不完善；未安装电动车集中充电桩；消防通道出入口未施划黄色禁止停车标线；人员配备不足，消防控制室没人值班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佛冈县明源物业管理有限公司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物业服务合同未约定服务内容、标准；缺高空抛物警示；消防通道入口未施划黄色禁止停车标线。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佛冈长建物业管理有限公司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工作台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帐记录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不完善；处理业主投诉记录台帐不完善；设备房的消防设备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缺检查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记录表；缺高空抛物警示。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清远市清新区凯居物业管理有限公司佛冈分公司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未按物业服务合同约定配置人员；物业共用设施养护记录不完善；未设置电动车充电装置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佛冈长建物业管理有限公司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保洁、除四害工作未登记台帐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佛冈县佳德物业管理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保洁、除四害工作未登记台帐；处理业主投诉登记台帐不完善；物业共用设备未有日常巡查、养护记录；未安装电动车集中充电桩；未办理物业承接查验。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佛冈裕康物业管理有限公司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保洁、除四害工作未登记台帐；处理业主投诉登记台帐不完善；物业共用设施、设备无检查、养护记录；缺高空抛物警示；未办理物业承接查验。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广州市金匙房地产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物业服务有限公司佛冈分公司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保洁、除四害工作未登记台帐；处理业主投诉登记台帐不完善；物业共用设备巡查、养护记录不完善。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佛冈银泰物业管理有限公司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未进行区域变更备案；未办理物业承接查验。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佛冈县慧谷物业管理有限公司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保洁、除四害工作未登记台帐；风机未见检查、养护记录；缺高空抛物警示。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佛冈县利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物业服务合同未约定服务事项、标准；物业共用设施设备养护记录不完善；处理业主投诉登记台帐不完善；未办理物业承接查验。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广州梓博物业有限公司佛冈分公司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未提供物业服务投标书；处理业主投诉登记台帐不完善；物业共用设备未有检查、养护记录；未安装电动车集中充电桩。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879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佛冈县富德物业管理有限公司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绿化养护记录不完善；处理业主投诉登记台帐不完善。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连州市名汇物业服务有限公司佛冈分公司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处理业主投诉登记台帐不完善；物业共用设施、设备没有检查、养护记录；发电机旁没有日常巡查、试运行记录；未安装电动车充电装置；未办理物业承接查验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广州艳阳物业管理有限公司佛冈分公司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处理业主投诉登记台帐不完善；未办理物业服务合同备案。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清远市裕兴物业管理有限公司佛冈明珠花园分公司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未进行区域变更备案；缺高空抛物警示；电动车充电装置不足；未办理物业承接查验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广州云星物业管理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未安装电动车集中充电桩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广州云星物业管理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有限公司佛冈分公司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物业共用设施养护、检查记录不完善；未安装电动车集中充电桩；未办理物业承接查验。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佛冈县翰林物业管理有限公司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保洁、除四害工作台帐不完善；处理业主投诉登记台帐不完善；物业共用设施未有检查、养护记录；未办理前期物业服务合同备案；未办理物业承接查验。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佛冈县邻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睦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物业共用设施未有检查、养护记录；未办理物业服务合同备案；保洁、除四害工作未有登记台帐；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梅州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市明景阳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在销售过程中未将预售资金直接存入专用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帐户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，违反了《广东省商品房预售管理条例》第三十条第一款和第三十一条第一款之规定。涉及46户，涉及金额一千多万。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梅州市围龙居实业有限公司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违反了《广东省商品房预售管理条例》第十七条第二项、第三项、第四项、第六项和第八项规定。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平远碧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桂园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销售现场未公示销售进度表； 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一房一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价”标价未公示。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平远县盛世富港房地产开发有限公司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一房一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价”标价未公示。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平远平城投资实业有限公司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一房一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价”标价未公示。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平远县远源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销售现场未公示销售进度表；“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一房一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价”标价未公示。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平远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县健跃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稀有金属有限公司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一房一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价”标价未公示。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平远县宏兴木制品有限公司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销售现场未公示销售进度表；“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一房一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价”标价未公示。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平远金绿果业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一房一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价”标价未公示；已抵押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房源未在销控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表中标注。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汕尾市乐有家房地产经纪有限公司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陆河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建深地产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置业有限公司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广东长成广告传媒有限公司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广东陆昇物业管理有限公司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陆河逸居之家信息咨询有限公司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陆河县同城房地产中介服务有限公司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陆河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县誉城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投资发展有限公司（保利地产）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汕尾市道合房地产营销策划有限公司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陆河县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恒泰升房地产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中介服务有限公司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陆河县陆城地产中介服务有限公司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陆河县利华房地产中介服务有限公司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未按规定到房地产主管部门备案。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珠海市真爱家房地产策划有限公司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未落实</w:t>
            </w:r>
            <w:proofErr w:type="gramStart"/>
            <w:r>
              <w:rPr>
                <w:rFonts w:ascii="仿宋_GB2312" w:eastAsia="仿宋_GB2312" w:hAnsi="Tahoma" w:cs="Tahoma" w:hint="eastAsia"/>
                <w:color w:val="3B4144"/>
                <w:kern w:val="0"/>
                <w:sz w:val="24"/>
                <w:szCs w:val="24"/>
              </w:rPr>
              <w:t>门店二维</w:t>
            </w:r>
            <w:proofErr w:type="gramEnd"/>
            <w:r>
              <w:rPr>
                <w:rFonts w:ascii="仿宋_GB2312" w:eastAsia="仿宋_GB2312" w:hAnsi="Tahoma" w:cs="Tahoma" w:hint="eastAsia"/>
                <w:color w:val="3B4144"/>
                <w:kern w:val="0"/>
                <w:sz w:val="24"/>
                <w:szCs w:val="24"/>
              </w:rPr>
              <w:t>码、房源二维码、经纪人个人二维码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“三码公示”制度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珠海市华居地产投资代理有限公司万科城分公司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未公示备案证书；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br/>
              <w:t>门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店二维码未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按要求落实。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珠海恒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房地产投资顾问有限公司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未落实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门店二维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码、房源二维码、经纪人个人二维码“三码公示”制度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珠海市华居地产投资代理有限公司未来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荟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门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店二维码未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按要求落实。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珠海市粤恒信房地产开发有限公司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未公示预售许可证、盖章版价格备案公示表、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销控表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珠海市家缘房地产代理有限公司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未公示备案证书；未落实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门店二维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码、房源二维码、经纪人个人二维码“三码公示”制度。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佛山市南海宝邦房地产开发有限公司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开发企业资质证书已过期；公示资料不齐全。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佛山市感恩房地产中介服务有限公司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现场不能提供房地产经纪机构备案证；公示资料不齐全；代理销售二手房源未能提供二手房委托合同、房产证和业主身份证复印件。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佛山市南海富怡地产服务部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现场不能提供房地产经纪机构备案证；公示资料不齐全；代理销售二手房源未能提供二手房委托合同、房产证和业主身份证复印件。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佛山市众家富房地产经营有限公司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现场不能提供房地产经纪机构备案证；公示资料不齐全；代理销售二手房源未能提供二手房委托合同、房产证和业主身份证复印件。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hyperlink r:id="rId4" w:tgtFrame="https://www.tianyancha.com/_blank" w:history="1">
              <w:r>
                <w:rPr>
                  <w:rFonts w:ascii="仿宋_GB2312" w:eastAsia="仿宋_GB2312" w:hAnsi="Tahoma" w:cs="Tahoma" w:hint="eastAsia"/>
                  <w:color w:val="000000"/>
                  <w:kern w:val="0"/>
                  <w:sz w:val="24"/>
                  <w:szCs w:val="24"/>
                </w:rPr>
                <w:t>佛山</w:t>
              </w:r>
              <w:proofErr w:type="gramStart"/>
              <w:r>
                <w:rPr>
                  <w:rFonts w:ascii="仿宋_GB2312" w:eastAsia="仿宋_GB2312" w:hAnsi="Tahoma" w:cs="Tahoma" w:hint="eastAsia"/>
                  <w:color w:val="000000"/>
                  <w:kern w:val="0"/>
                  <w:sz w:val="24"/>
                  <w:szCs w:val="24"/>
                </w:rPr>
                <w:t>市汇雅房地产</w:t>
              </w:r>
              <w:proofErr w:type="gramEnd"/>
              <w:r>
                <w:rPr>
                  <w:rFonts w:ascii="仿宋_GB2312" w:eastAsia="仿宋_GB2312" w:hAnsi="Tahoma" w:cs="Tahoma" w:hint="eastAsia"/>
                  <w:color w:val="000000"/>
                  <w:kern w:val="0"/>
                  <w:sz w:val="24"/>
                  <w:szCs w:val="24"/>
                </w:rPr>
                <w:t>经纪有限公司</w:t>
              </w:r>
            </w:hyperlink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现场不能提供营业执照；现场不能提供房地产经纪机构备案证；公示资料不齐全。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广东中原地产代理有限公司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雍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景豪园二分公司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现场不能提供房地产经纪机构备案证；公示资料不齐全；代理销售二手房源未能提供二手房委托合同、房产证和业主身份证复印件。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佛山市嘉谊房地产代理有限公司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hyperlink r:id="rId5" w:tgtFrame="https://www.tianyancha.com/_blank" w:history="1">
              <w:r>
                <w:rPr>
                  <w:rFonts w:ascii="仿宋_GB2312" w:eastAsia="仿宋_GB2312" w:hAnsi="Tahoma" w:cs="Tahoma" w:hint="eastAsia"/>
                  <w:color w:val="000000"/>
                  <w:kern w:val="0"/>
                  <w:sz w:val="24"/>
                  <w:szCs w:val="24"/>
                </w:rPr>
                <w:t>佛山市鹏</w:t>
              </w:r>
              <w:proofErr w:type="gramStart"/>
              <w:r>
                <w:rPr>
                  <w:rFonts w:ascii="仿宋_GB2312" w:eastAsia="仿宋_GB2312" w:hAnsi="Tahoma" w:cs="Tahoma" w:hint="eastAsia"/>
                  <w:color w:val="000000"/>
                  <w:kern w:val="0"/>
                  <w:sz w:val="24"/>
                  <w:szCs w:val="24"/>
                </w:rPr>
                <w:t>鹏</w:t>
              </w:r>
              <w:proofErr w:type="gramEnd"/>
              <w:r>
                <w:rPr>
                  <w:rFonts w:ascii="仿宋_GB2312" w:eastAsia="仿宋_GB2312" w:hAnsi="Tahoma" w:cs="Tahoma" w:hint="eastAsia"/>
                  <w:color w:val="000000"/>
                  <w:kern w:val="0"/>
                  <w:sz w:val="24"/>
                  <w:szCs w:val="24"/>
                </w:rPr>
                <w:t>房地产经纪有限公司</w:t>
              </w:r>
            </w:hyperlink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现场不能提供营业执照；现场不能提供房地产经纪机构备案证；公示资料不齐全；代理销售二手房源未能提供二手房委托合同、房产证和业主身份证复印件。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市纵云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房地产中介服务有限公司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现场不能提供房地产经纪机构备案证；公示资料不齐全；代理销售二手房源未能提供二手房委托合同、房产证和业主身份证复印件。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hyperlink r:id="rId6" w:tgtFrame="https://www.tianyancha.com/_blank" w:history="1">
              <w:r>
                <w:rPr>
                  <w:rFonts w:ascii="仿宋_GB2312" w:eastAsia="仿宋_GB2312" w:hAnsi="Tahoma" w:cs="Tahoma" w:hint="eastAsia"/>
                  <w:color w:val="000000"/>
                  <w:kern w:val="0"/>
                  <w:sz w:val="24"/>
                  <w:szCs w:val="24"/>
                </w:rPr>
                <w:t>佛山市感恩房地产中介服务有限公司</w:t>
              </w:r>
            </w:hyperlink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现场不能提供营业执照；现场不能提供房地产经纪机构备案证；公示资料不齐全；代理销售二手房源未能提供二手房委托合同、房产证和业主身份证复印件。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佛山市创联房地产有限公司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现场不能提供房地产经纪机构备案证；公示资料不齐全。代理销售二手房源未能提供二手房委托合同、房产证和业主身份证复印件。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世昊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现场不能提供房地产经纪机构备案证；公示资料不齐全。代理销售二手房源未能提供二手房委托合同、房产证和业主身份证复印件。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佛山市南海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区飞凡物业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现场不能提供房地产经纪机构备案证；公示资料不齐全;代理销售二手房源未能提供二手房委托合同、房产证和业主身份证复印件。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佛山市顺德区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美禹盛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房地产开发有限公司（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嘉禹豪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庭）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现场商品房预售方案不齐全；现场未公示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销控表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；商品房价格表不齐全；公示台资料较乱，应加标签整改；现场未公示规划用途告知书。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广东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鑫创科创智谷发展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未取得预售许可证的楼栋进行宣传推广并收取预付款性质的费用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  <w:tr w:rsidR="007F35F4" w:rsidTr="0005415F">
        <w:trPr>
          <w:trHeight w:val="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佛山市高明区</w:t>
            </w: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樾宸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房地产开发有限公司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现场及媒体宣传销售广告中，部分房屋宣传价格与物价部门备案价格不一致；销售现场未公示商品房销售委托书以及经纪人员信息，销售及经纪人员未佩戴工作证或胸牌。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F4" w:rsidRDefault="007F35F4" w:rsidP="0005415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</w:tr>
    </w:tbl>
    <w:p w:rsidR="007F35F4" w:rsidRDefault="007F35F4" w:rsidP="007F35F4">
      <w:pPr>
        <w:spacing w:line="600" w:lineRule="exact"/>
      </w:pPr>
    </w:p>
    <w:p w:rsidR="007F35F4" w:rsidRDefault="007F35F4" w:rsidP="007F35F4"/>
    <w:p w:rsidR="007F35F4" w:rsidRDefault="007F35F4" w:rsidP="007F35F4"/>
    <w:p w:rsidR="007F35F4" w:rsidRDefault="007F35F4"/>
    <w:sectPr w:rsidR="007F35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AC" w:rsidRDefault="007F35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0B3F4" wp14:editId="0D243E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2EAC" w:rsidRDefault="007F35F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0B3F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BD2EAC" w:rsidRDefault="007F35F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4"/>
    <w:rsid w:val="007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EC6AF-9CDA-4612-B34B-B0B5464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F35F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next w:val="a"/>
    <w:link w:val="30"/>
    <w:qFormat/>
    <w:rsid w:val="007F35F4"/>
    <w:pPr>
      <w:tabs>
        <w:tab w:val="left" w:pos="1259"/>
      </w:tabs>
      <w:ind w:firstLine="561"/>
      <w:outlineLvl w:val="2"/>
    </w:pPr>
    <w:rPr>
      <w:rFonts w:ascii="仿宋_GB2312" w:eastAsia="黑体" w:hAnsi="仿宋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rsid w:val="007F35F4"/>
    <w:rPr>
      <w:rFonts w:ascii="仿宋_GB2312" w:eastAsia="黑体" w:hAnsi="仿宋" w:cs="Times New Roman"/>
      <w:b/>
      <w:bCs/>
      <w:sz w:val="28"/>
      <w:szCs w:val="32"/>
    </w:rPr>
  </w:style>
  <w:style w:type="paragraph" w:styleId="a4">
    <w:name w:val="footer"/>
    <w:basedOn w:val="a"/>
    <w:link w:val="a5"/>
    <w:qFormat/>
    <w:rsid w:val="007F35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5">
    <w:name w:val="页脚 字符"/>
    <w:basedOn w:val="a1"/>
    <w:link w:val="a4"/>
    <w:rsid w:val="007F35F4"/>
    <w:rPr>
      <w:rFonts w:ascii="Times New Roman" w:eastAsia="宋体" w:hAnsi="Times New Roman" w:cs="Times New Roman"/>
      <w:kern w:val="0"/>
      <w:sz w:val="18"/>
      <w:szCs w:val="18"/>
    </w:rPr>
  </w:style>
  <w:style w:type="paragraph" w:styleId="a0">
    <w:name w:val="Plain Text"/>
    <w:basedOn w:val="a"/>
    <w:link w:val="a6"/>
    <w:uiPriority w:val="99"/>
    <w:semiHidden/>
    <w:unhideWhenUsed/>
    <w:rsid w:val="007F35F4"/>
    <w:rPr>
      <w:rFonts w:asciiTheme="minorEastAsia" w:eastAsiaTheme="minorEastAsia" w:hAnsi="Courier New" w:cs="Courier New"/>
    </w:rPr>
  </w:style>
  <w:style w:type="character" w:customStyle="1" w:styleId="a6">
    <w:name w:val="纯文本 字符"/>
    <w:basedOn w:val="a1"/>
    <w:link w:val="a0"/>
    <w:uiPriority w:val="99"/>
    <w:semiHidden/>
    <w:rsid w:val="007F35F4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anyancha.com/company/3378337025" TargetMode="External"/><Relationship Id="rId5" Type="http://schemas.openxmlformats.org/officeDocument/2006/relationships/hyperlink" Target="https://www.tianyancha.com/company/3486863367" TargetMode="External"/><Relationship Id="rId4" Type="http://schemas.openxmlformats.org/officeDocument/2006/relationships/hyperlink" Target="https://www.tianyancha.com/company/34337988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2021-01-06T08:17:00Z</dcterms:created>
  <dcterms:modified xsi:type="dcterms:W3CDTF">2021-01-06T08:18:00Z</dcterms:modified>
</cp:coreProperties>
</file>