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_GB2312" w:eastAsia="仿宋_GB2312"/>
          <w:sz w:val="32"/>
          <w:szCs w:val="32"/>
        </w:rPr>
      </w:pPr>
      <w:r>
        <w:rPr>
          <w:rFonts w:hint="eastAsia" w:ascii="仿宋_GB2312" w:eastAsia="仿宋_GB2312"/>
          <w:sz w:val="32"/>
          <w:szCs w:val="32"/>
        </w:rPr>
        <w:t>附件</w:t>
      </w:r>
    </w:p>
    <w:p>
      <w:pPr>
        <w:spacing w:line="480" w:lineRule="auto"/>
        <w:jc w:val="center"/>
        <w:rPr>
          <w:rFonts w:hint="eastAsia" w:ascii="方正小标宋简体" w:eastAsia="方正小标宋简体"/>
          <w:sz w:val="44"/>
          <w:szCs w:val="44"/>
        </w:rPr>
      </w:pPr>
      <w:r>
        <w:rPr>
          <w:rFonts w:hint="eastAsia" w:ascii="方正小标宋简体" w:eastAsia="方正小标宋简体"/>
          <w:sz w:val="44"/>
          <w:szCs w:val="44"/>
        </w:rPr>
        <w:t>社会公开征求意见采纳情况表</w:t>
      </w:r>
    </w:p>
    <w:tbl>
      <w:tblPr>
        <w:tblStyle w:val="2"/>
        <w:tblW w:w="10380" w:type="dxa"/>
        <w:jc w:val="center"/>
        <w:tblLayout w:type="fixed"/>
        <w:tblCellMar>
          <w:top w:w="0" w:type="dxa"/>
          <w:left w:w="108" w:type="dxa"/>
          <w:bottom w:w="0" w:type="dxa"/>
          <w:right w:w="108" w:type="dxa"/>
        </w:tblCellMar>
      </w:tblPr>
      <w:tblGrid>
        <w:gridCol w:w="923"/>
        <w:gridCol w:w="4038"/>
        <w:gridCol w:w="5419"/>
      </w:tblGrid>
      <w:tr>
        <w:tblPrEx>
          <w:tblCellMar>
            <w:top w:w="0" w:type="dxa"/>
            <w:left w:w="108" w:type="dxa"/>
            <w:bottom w:w="0" w:type="dxa"/>
            <w:right w:w="108" w:type="dxa"/>
          </w:tblCellMar>
        </w:tblPrEx>
        <w:trPr>
          <w:trHeight w:val="312" w:hRule="atLeast"/>
          <w:jc w:val="center"/>
        </w:trPr>
        <w:tc>
          <w:tcPr>
            <w:tcW w:w="92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40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征集意见</w:t>
            </w:r>
          </w:p>
        </w:tc>
        <w:tc>
          <w:tcPr>
            <w:tcW w:w="541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采纳及处理情况</w:t>
            </w:r>
          </w:p>
        </w:tc>
      </w:tr>
      <w:tr>
        <w:tblPrEx>
          <w:tblCellMar>
            <w:top w:w="0" w:type="dxa"/>
            <w:left w:w="108" w:type="dxa"/>
            <w:bottom w:w="0" w:type="dxa"/>
            <w:right w:w="108" w:type="dxa"/>
          </w:tblCellMar>
        </w:tblPrEx>
        <w:trPr>
          <w:trHeight w:val="312" w:hRule="atLeast"/>
          <w:jc w:val="center"/>
        </w:trPr>
        <w:tc>
          <w:tcPr>
            <w:tcW w:w="9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2"/>
              </w:rPr>
            </w:pPr>
          </w:p>
        </w:tc>
        <w:tc>
          <w:tcPr>
            <w:tcW w:w="40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2"/>
              </w:rPr>
            </w:pPr>
          </w:p>
        </w:tc>
        <w:tc>
          <w:tcPr>
            <w:tcW w:w="5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2"/>
              </w:rPr>
            </w:pPr>
          </w:p>
        </w:tc>
      </w:tr>
      <w:tr>
        <w:tblPrEx>
          <w:tblCellMar>
            <w:top w:w="0" w:type="dxa"/>
            <w:left w:w="108" w:type="dxa"/>
            <w:bottom w:w="0" w:type="dxa"/>
            <w:right w:w="108" w:type="dxa"/>
          </w:tblCellMar>
        </w:tblPrEx>
        <w:trPr>
          <w:trHeight w:val="5940" w:hRule="atLeast"/>
          <w:jc w:val="center"/>
        </w:trPr>
        <w:tc>
          <w:tcPr>
            <w:tcW w:w="92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1</w:t>
            </w:r>
          </w:p>
        </w:tc>
        <w:tc>
          <w:tcPr>
            <w:tcW w:w="4038" w:type="dxa"/>
            <w:tcBorders>
              <w:top w:val="nil"/>
              <w:left w:val="nil"/>
              <w:bottom w:val="single" w:color="auto" w:sz="4" w:space="0"/>
              <w:right w:val="single" w:color="auto" w:sz="4" w:space="0"/>
            </w:tcBorders>
            <w:noWrap w:val="0"/>
            <w:vAlign w:val="center"/>
          </w:tcPr>
          <w:p>
            <w:pPr>
              <w:widowControl/>
              <w:ind w:firstLine="440" w:firstLineChars="200"/>
              <w:rPr>
                <w:rFonts w:hint="eastAsia" w:ascii="宋体" w:hAnsi="宋体" w:eastAsia="宋体" w:cs="宋体"/>
                <w:color w:val="000000"/>
                <w:kern w:val="0"/>
                <w:sz w:val="22"/>
              </w:rPr>
            </w:pPr>
            <w:r>
              <w:rPr>
                <w:rFonts w:hint="eastAsia" w:ascii="宋体" w:hAnsi="宋体" w:eastAsia="宋体" w:cs="宋体"/>
                <w:color w:val="000000"/>
                <w:kern w:val="0"/>
                <w:sz w:val="22"/>
              </w:rPr>
              <w:t>贵厅在网上公开征求意见称：“我厅2015年1月7日印发的《广东省住房和城乡建设系统行政处罚自由裁量权基准（工程建设与建筑业类）》将于2020年6月30日到期失效。”</w:t>
            </w:r>
          </w:p>
          <w:p>
            <w:pPr>
              <w:widowControl/>
              <w:ind w:firstLine="440" w:firstLineChars="200"/>
              <w:rPr>
                <w:rFonts w:ascii="宋体" w:hAnsi="宋体" w:eastAsia="宋体" w:cs="宋体"/>
                <w:color w:val="000000"/>
                <w:kern w:val="0"/>
                <w:sz w:val="22"/>
              </w:rPr>
            </w:pPr>
            <w:r>
              <w:rPr>
                <w:rFonts w:hint="eastAsia" w:ascii="宋体" w:hAnsi="宋体" w:eastAsia="宋体" w:cs="宋体"/>
                <w:color w:val="000000"/>
                <w:kern w:val="0"/>
                <w:sz w:val="22"/>
              </w:rPr>
              <w:t xml:space="preserve">但是2016年8月12日印发的粤建执函〔2016〕2282号，《广东省住房和城乡建设厅关于住房和城乡建设系统行政处罚自由裁量权基准适用的规则》第十三条规定：“本规定自2016年10月1日起施行，有效期五年。2015年1月7日广东省住房和城乡建设厅公告的《广东省住房和城乡建设系统行政处罚自由裁量权基准适用规则（工程建设与建筑业类）》同时废止。”问题：到底是失效还是废止？                     </w:t>
            </w:r>
          </w:p>
        </w:tc>
        <w:tc>
          <w:tcPr>
            <w:tcW w:w="5419" w:type="dxa"/>
            <w:tcBorders>
              <w:top w:val="nil"/>
              <w:left w:val="nil"/>
              <w:bottom w:val="single" w:color="auto" w:sz="4" w:space="0"/>
              <w:right w:val="single" w:color="auto" w:sz="4" w:space="0"/>
            </w:tcBorders>
            <w:noWrap w:val="0"/>
            <w:vAlign w:val="center"/>
          </w:tcPr>
          <w:p>
            <w:pPr>
              <w:widowControl/>
              <w:ind w:firstLine="433" w:firstLineChars="196"/>
              <w:jc w:val="left"/>
              <w:rPr>
                <w:rFonts w:hint="eastAsia" w:ascii="宋体" w:hAnsi="宋体" w:eastAsia="宋体" w:cs="宋体"/>
                <w:b/>
                <w:bCs/>
                <w:color w:val="000000"/>
                <w:kern w:val="0"/>
                <w:sz w:val="22"/>
              </w:rPr>
            </w:pPr>
            <w:r>
              <w:rPr>
                <w:rFonts w:hint="eastAsia" w:ascii="黑体" w:hAnsi="黑体" w:eastAsia="黑体" w:cs="宋体"/>
                <w:b/>
                <w:bCs/>
                <w:color w:val="000000"/>
                <w:kern w:val="0"/>
                <w:sz w:val="22"/>
              </w:rPr>
              <w:t>采纳，</w:t>
            </w:r>
            <w:r>
              <w:rPr>
                <w:rFonts w:hint="eastAsia" w:ascii="宋体" w:hAnsi="宋体" w:eastAsia="宋体" w:cs="宋体"/>
                <w:b/>
                <w:bCs/>
                <w:color w:val="000000"/>
                <w:kern w:val="0"/>
                <w:sz w:val="22"/>
              </w:rPr>
              <w:t>“废止”</w:t>
            </w:r>
            <w:r>
              <w:rPr>
                <w:rFonts w:hint="eastAsia" w:ascii="宋体" w:hAnsi="宋体" w:cs="宋体"/>
                <w:b/>
                <w:bCs/>
                <w:color w:val="000000"/>
                <w:kern w:val="0"/>
                <w:sz w:val="22"/>
                <w:lang w:eastAsia="zh-CN"/>
              </w:rPr>
              <w:t>是指规范性文件虽然尚在有效期内，但因客观情况变化需要提前停止执行的情形；</w:t>
            </w:r>
            <w:r>
              <w:rPr>
                <w:rFonts w:hint="eastAsia" w:ascii="宋体" w:hAnsi="宋体" w:eastAsia="宋体" w:cs="宋体"/>
                <w:b/>
                <w:bCs/>
                <w:color w:val="000000"/>
                <w:kern w:val="0"/>
                <w:sz w:val="22"/>
              </w:rPr>
              <w:t>“失效”</w:t>
            </w:r>
            <w:r>
              <w:rPr>
                <w:rFonts w:hint="eastAsia" w:ascii="宋体" w:hAnsi="宋体" w:cs="宋体"/>
                <w:b/>
                <w:bCs/>
                <w:color w:val="000000"/>
                <w:kern w:val="0"/>
                <w:sz w:val="22"/>
                <w:lang w:eastAsia="zh-CN"/>
              </w:rPr>
              <w:t>是指规范性文件已到达规定的有效期限，自然停止执行的情形。</w:t>
            </w:r>
            <w:r>
              <w:rPr>
                <w:rFonts w:hint="eastAsia" w:ascii="黑体" w:hAnsi="黑体" w:eastAsia="黑体" w:cs="宋体"/>
                <w:b/>
                <w:bCs/>
                <w:color w:val="000000"/>
                <w:kern w:val="0"/>
                <w:sz w:val="22"/>
              </w:rPr>
              <w:t>我厅</w:t>
            </w:r>
            <w:r>
              <w:rPr>
                <w:rFonts w:hint="eastAsia" w:ascii="宋体" w:hAnsi="宋体" w:eastAsia="宋体" w:cs="宋体"/>
                <w:b/>
                <w:bCs/>
                <w:color w:val="000000"/>
                <w:kern w:val="0"/>
                <w:sz w:val="22"/>
              </w:rPr>
              <w:t>2016年8月12日、2020年1月13日两次公告中</w:t>
            </w:r>
            <w:r>
              <w:rPr>
                <w:rFonts w:hint="eastAsia" w:ascii="宋体" w:hAnsi="宋体" w:eastAsia="宋体" w:cs="宋体"/>
                <w:b/>
                <w:bCs/>
                <w:color w:val="000000"/>
                <w:kern w:val="0"/>
                <w:sz w:val="22"/>
                <w:lang w:eastAsia="zh-CN"/>
              </w:rPr>
              <w:t>关于</w:t>
            </w:r>
            <w:r>
              <w:rPr>
                <w:rFonts w:hint="eastAsia" w:ascii="宋体" w:hAnsi="宋体" w:eastAsia="宋体" w:cs="宋体"/>
                <w:b/>
                <w:bCs/>
                <w:color w:val="000000"/>
                <w:kern w:val="0"/>
                <w:sz w:val="22"/>
              </w:rPr>
              <w:t>“废止”“失效”所指的不是同一文件，两表述不矛盾。</w:t>
            </w:r>
          </w:p>
          <w:p>
            <w:pPr>
              <w:widowControl/>
              <w:ind w:firstLine="433" w:firstLineChars="196"/>
              <w:jc w:val="left"/>
              <w:rPr>
                <w:rFonts w:hint="eastAsia" w:ascii="宋体" w:hAnsi="宋体" w:eastAsia="宋体" w:cs="宋体"/>
                <w:color w:val="000000"/>
                <w:kern w:val="0"/>
                <w:sz w:val="22"/>
              </w:rPr>
            </w:pPr>
            <w:r>
              <w:rPr>
                <w:rFonts w:hint="eastAsia" w:ascii="宋体" w:hAnsi="宋体" w:eastAsia="宋体" w:cs="宋体"/>
                <w:b/>
                <w:bCs/>
                <w:color w:val="000000"/>
                <w:kern w:val="0"/>
                <w:sz w:val="22"/>
              </w:rPr>
              <w:t>首先，</w:t>
            </w:r>
            <w:r>
              <w:rPr>
                <w:rFonts w:hint="eastAsia" w:ascii="宋体" w:hAnsi="宋体" w:eastAsia="宋体" w:cs="宋体"/>
                <w:color w:val="000000"/>
                <w:kern w:val="0"/>
                <w:sz w:val="22"/>
              </w:rPr>
              <w:t>《广东省住房和城乡建设系统行政处罚自由裁量权基准适用规则》（下称“2015年版《规则》”）《广东省住房和城乡建设系统行政处罚自由裁量权基准（工程建设与建筑业类）》（下称“工程建设与建筑业类《基准》”）于2015年1月7日印发，有效期五年，2020年6月30日到期失效。</w:t>
            </w:r>
          </w:p>
          <w:p>
            <w:pPr>
              <w:widowControl/>
              <w:ind w:firstLine="433" w:firstLineChars="196"/>
              <w:jc w:val="left"/>
              <w:rPr>
                <w:rFonts w:hint="eastAsia" w:ascii="宋体" w:hAnsi="宋体" w:eastAsia="宋体" w:cs="宋体"/>
                <w:color w:val="000000"/>
                <w:kern w:val="0"/>
                <w:sz w:val="22"/>
              </w:rPr>
            </w:pPr>
            <w:r>
              <w:rPr>
                <w:rFonts w:hint="eastAsia" w:ascii="宋体" w:hAnsi="宋体" w:eastAsia="宋体" w:cs="宋体"/>
                <w:b/>
                <w:bCs/>
                <w:color w:val="000000"/>
                <w:kern w:val="0"/>
                <w:sz w:val="22"/>
              </w:rPr>
              <w:t>其次，</w:t>
            </w:r>
            <w:r>
              <w:rPr>
                <w:rFonts w:hint="eastAsia" w:ascii="宋体" w:hAnsi="宋体" w:eastAsia="宋体" w:cs="宋体"/>
                <w:color w:val="000000"/>
                <w:kern w:val="0"/>
                <w:sz w:val="22"/>
              </w:rPr>
              <w:t>2016年8月12日,我厅印发房地产和住房保障类、城乡规划建设类行政处罚自由裁量权基准时，同步</w:t>
            </w:r>
            <w:r>
              <w:rPr>
                <w:rFonts w:hint="eastAsia" w:ascii="宋体" w:hAnsi="宋体" w:eastAsia="宋体" w:cs="宋体"/>
                <w:color w:val="000000"/>
                <w:kern w:val="0"/>
                <w:sz w:val="22"/>
                <w:lang w:eastAsia="zh-CN"/>
              </w:rPr>
              <w:t>将</w:t>
            </w:r>
            <w:r>
              <w:rPr>
                <w:rFonts w:hint="eastAsia" w:ascii="宋体" w:hAnsi="宋体" w:eastAsia="宋体" w:cs="宋体"/>
                <w:color w:val="000000"/>
                <w:kern w:val="0"/>
                <w:sz w:val="22"/>
              </w:rPr>
              <w:t>“2015年版《规则》”修订</w:t>
            </w:r>
            <w:r>
              <w:rPr>
                <w:rFonts w:hint="eastAsia" w:ascii="宋体" w:hAnsi="宋体" w:eastAsia="宋体" w:cs="宋体"/>
                <w:color w:val="000000"/>
                <w:kern w:val="0"/>
                <w:sz w:val="22"/>
                <w:lang w:eastAsia="zh-CN"/>
              </w:rPr>
              <w:t>为统一适用于</w:t>
            </w:r>
            <w:r>
              <w:rPr>
                <w:rFonts w:hint="eastAsia" w:ascii="宋体" w:hAnsi="宋体" w:eastAsia="宋体" w:cs="宋体"/>
                <w:color w:val="000000"/>
                <w:kern w:val="0"/>
                <w:sz w:val="22"/>
              </w:rPr>
              <w:t>工程建设与建筑业、房地产和住房保障、城乡规划建设</w:t>
            </w:r>
            <w:r>
              <w:rPr>
                <w:rFonts w:hint="eastAsia" w:ascii="宋体" w:hAnsi="宋体" w:eastAsia="宋体" w:cs="宋体"/>
                <w:color w:val="000000"/>
                <w:kern w:val="0"/>
                <w:sz w:val="22"/>
                <w:lang w:eastAsia="zh-CN"/>
              </w:rPr>
              <w:t>等三大</w:t>
            </w:r>
            <w:r>
              <w:rPr>
                <w:rFonts w:hint="eastAsia" w:ascii="宋体" w:hAnsi="宋体" w:eastAsia="宋体" w:cs="宋体"/>
                <w:color w:val="000000"/>
                <w:kern w:val="0"/>
                <w:sz w:val="22"/>
              </w:rPr>
              <w:t>类行政处罚自由裁量权基准</w:t>
            </w:r>
            <w:r>
              <w:rPr>
                <w:rFonts w:hint="eastAsia" w:ascii="宋体" w:hAnsi="宋体" w:eastAsia="宋体" w:cs="宋体"/>
                <w:color w:val="000000"/>
                <w:kern w:val="0"/>
                <w:sz w:val="22"/>
                <w:lang w:eastAsia="zh-CN"/>
              </w:rPr>
              <w:t>的适用规则</w:t>
            </w:r>
            <w:r>
              <w:rPr>
                <w:rFonts w:hint="eastAsia" w:ascii="宋体" w:hAnsi="宋体" w:eastAsia="宋体" w:cs="宋体"/>
                <w:color w:val="000000"/>
                <w:kern w:val="0"/>
                <w:sz w:val="22"/>
              </w:rPr>
              <w:t>（《广东省住房和城乡建设厅关于住房和城乡建设系统行政处罚自由裁量权基准适用</w:t>
            </w:r>
            <w:r>
              <w:rPr>
                <w:rFonts w:hint="eastAsia" w:ascii="宋体" w:hAnsi="宋体" w:eastAsia="宋体" w:cs="宋体"/>
                <w:color w:val="000000"/>
                <w:kern w:val="0"/>
                <w:sz w:val="22"/>
                <w:lang w:eastAsia="zh-CN"/>
              </w:rPr>
              <w:t>的</w:t>
            </w:r>
            <w:r>
              <w:rPr>
                <w:rFonts w:hint="eastAsia" w:ascii="宋体" w:hAnsi="宋体" w:eastAsia="宋体" w:cs="宋体"/>
                <w:color w:val="000000"/>
                <w:kern w:val="0"/>
                <w:sz w:val="22"/>
              </w:rPr>
              <w:t>规则》</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下称“2016年版《规则》”，有效期五年，2021年9月30日到期失效）</w:t>
            </w:r>
            <w:r>
              <w:rPr>
                <w:rFonts w:hint="eastAsia" w:ascii="宋体" w:hAnsi="宋体" w:eastAsia="宋体" w:cs="宋体"/>
                <w:color w:val="000000"/>
                <w:kern w:val="0"/>
                <w:sz w:val="22"/>
                <w:lang w:eastAsia="zh-CN"/>
              </w:rPr>
              <w:t>。鉴于</w:t>
            </w:r>
            <w:r>
              <w:rPr>
                <w:rFonts w:hint="eastAsia" w:ascii="宋体" w:hAnsi="宋体" w:eastAsia="宋体" w:cs="宋体"/>
                <w:color w:val="000000"/>
                <w:kern w:val="0"/>
                <w:sz w:val="22"/>
              </w:rPr>
              <w:t>“2016年版《规则》”</w:t>
            </w:r>
            <w:r>
              <w:rPr>
                <w:rFonts w:hint="eastAsia" w:ascii="宋体" w:hAnsi="宋体" w:eastAsia="宋体" w:cs="宋体"/>
                <w:color w:val="000000"/>
                <w:kern w:val="0"/>
                <w:sz w:val="22"/>
                <w:lang w:eastAsia="zh-CN"/>
              </w:rPr>
              <w:t>的印发施行</w:t>
            </w:r>
            <w:r>
              <w:rPr>
                <w:rFonts w:hint="eastAsia" w:ascii="宋体" w:hAnsi="宋体" w:eastAsia="宋体" w:cs="宋体"/>
                <w:color w:val="000000"/>
                <w:kern w:val="0"/>
                <w:sz w:val="22"/>
              </w:rPr>
              <w:t>，“2015年版《规则》</w:t>
            </w:r>
            <w:r>
              <w:rPr>
                <w:rFonts w:hint="eastAsia" w:ascii="宋体" w:hAnsi="宋体" w:eastAsia="宋体" w:cs="宋体"/>
                <w:color w:val="000000"/>
                <w:kern w:val="0"/>
                <w:sz w:val="22"/>
                <w:lang w:eastAsia="zh-CN"/>
              </w:rPr>
              <w:t>”需要废止，</w:t>
            </w:r>
            <w:r>
              <w:rPr>
                <w:rFonts w:hint="eastAsia" w:ascii="宋体" w:hAnsi="宋体" w:eastAsia="宋体" w:cs="宋体"/>
                <w:color w:val="000000"/>
                <w:kern w:val="0"/>
                <w:sz w:val="22"/>
              </w:rPr>
              <w:t>但2015年1月7日印发的“工程建设与建筑业类《基准》”没有废止，其有效期</w:t>
            </w:r>
            <w:r>
              <w:rPr>
                <w:rFonts w:hint="eastAsia" w:ascii="宋体" w:hAnsi="宋体" w:eastAsia="宋体" w:cs="宋体"/>
                <w:color w:val="000000"/>
                <w:kern w:val="0"/>
                <w:sz w:val="22"/>
                <w:lang w:eastAsia="zh-CN"/>
              </w:rPr>
              <w:t>仍为：</w:t>
            </w:r>
            <w:r>
              <w:rPr>
                <w:rFonts w:hint="eastAsia" w:ascii="宋体" w:hAnsi="宋体" w:eastAsia="宋体" w:cs="宋体"/>
                <w:color w:val="000000"/>
                <w:kern w:val="0"/>
                <w:sz w:val="22"/>
              </w:rPr>
              <w:t>至2020年6月30日到期失效。</w:t>
            </w:r>
          </w:p>
          <w:p>
            <w:pPr>
              <w:widowControl/>
              <w:ind w:firstLine="433" w:firstLineChars="196"/>
              <w:jc w:val="left"/>
              <w:rPr>
                <w:rFonts w:ascii="宋体" w:hAnsi="宋体" w:eastAsia="宋体" w:cs="宋体"/>
                <w:color w:val="000000"/>
                <w:kern w:val="0"/>
                <w:sz w:val="22"/>
              </w:rPr>
            </w:pPr>
            <w:r>
              <w:rPr>
                <w:rFonts w:hint="eastAsia" w:ascii="宋体" w:hAnsi="宋体" w:eastAsia="宋体" w:cs="宋体"/>
                <w:b/>
                <w:bCs/>
                <w:color w:val="000000"/>
                <w:kern w:val="0"/>
                <w:sz w:val="22"/>
              </w:rPr>
              <w:t>最后，</w:t>
            </w:r>
            <w:r>
              <w:rPr>
                <w:rFonts w:hint="eastAsia" w:ascii="宋体" w:hAnsi="宋体" w:eastAsia="宋体" w:cs="宋体"/>
                <w:color w:val="000000"/>
                <w:kern w:val="0"/>
                <w:sz w:val="22"/>
              </w:rPr>
              <w:t>我厅2016年8月12日</w:t>
            </w:r>
            <w:r>
              <w:rPr>
                <w:rFonts w:hint="eastAsia" w:ascii="宋体" w:hAnsi="宋体" w:eastAsia="宋体" w:cs="宋体"/>
                <w:color w:val="000000"/>
                <w:kern w:val="0"/>
                <w:sz w:val="22"/>
                <w:lang w:eastAsia="zh-CN"/>
              </w:rPr>
              <w:t>公告所述的“废止”是指废止</w:t>
            </w:r>
            <w:r>
              <w:rPr>
                <w:rFonts w:hint="eastAsia" w:ascii="宋体" w:hAnsi="宋体" w:eastAsia="宋体" w:cs="宋体"/>
                <w:color w:val="000000"/>
                <w:kern w:val="0"/>
                <w:sz w:val="22"/>
              </w:rPr>
              <w:t>“2015年版《规则》</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2020年1月13日</w:t>
            </w:r>
            <w:r>
              <w:rPr>
                <w:rFonts w:hint="eastAsia" w:ascii="宋体" w:hAnsi="宋体" w:eastAsia="宋体" w:cs="宋体"/>
                <w:color w:val="000000"/>
                <w:kern w:val="0"/>
                <w:sz w:val="22"/>
                <w:lang w:eastAsia="zh-CN"/>
              </w:rPr>
              <w:t>公告所述的“到期失效”是指</w:t>
            </w:r>
            <w:r>
              <w:rPr>
                <w:rFonts w:hint="eastAsia" w:ascii="宋体" w:hAnsi="宋体" w:eastAsia="宋体" w:cs="宋体"/>
                <w:color w:val="000000"/>
                <w:kern w:val="0"/>
                <w:sz w:val="22"/>
              </w:rPr>
              <w:t>2015年1月7日印发的“工程建设与建筑业类《基准》”</w:t>
            </w:r>
            <w:r>
              <w:rPr>
                <w:rFonts w:hint="eastAsia" w:ascii="宋体" w:hAnsi="宋体" w:eastAsia="宋体" w:cs="宋体"/>
                <w:color w:val="000000"/>
                <w:kern w:val="0"/>
                <w:sz w:val="22"/>
                <w:lang w:eastAsia="zh-CN"/>
              </w:rPr>
              <w:t>将于</w:t>
            </w:r>
            <w:r>
              <w:rPr>
                <w:rFonts w:hint="eastAsia" w:ascii="宋体" w:hAnsi="宋体" w:eastAsia="宋体" w:cs="宋体"/>
                <w:color w:val="000000"/>
                <w:kern w:val="0"/>
                <w:sz w:val="22"/>
                <w:lang w:val="en-US" w:eastAsia="zh-CN"/>
              </w:rPr>
              <w:t>2020年6月30日到期失效，两表述所指不是同一文件，不相矛盾。另外，</w:t>
            </w:r>
            <w:r>
              <w:rPr>
                <w:rFonts w:hint="eastAsia" w:ascii="宋体" w:hAnsi="宋体" w:eastAsia="宋体" w:cs="宋体"/>
                <w:color w:val="000000"/>
                <w:kern w:val="0"/>
                <w:sz w:val="22"/>
              </w:rPr>
              <w:t>虽然“2016年版《规则》”到2020年6月30日仍然有效，但鉴于</w:t>
            </w:r>
            <w:r>
              <w:rPr>
                <w:rFonts w:hint="eastAsia" w:ascii="宋体" w:hAnsi="宋体" w:eastAsia="宋体" w:cs="宋体"/>
                <w:color w:val="000000"/>
                <w:kern w:val="0"/>
                <w:sz w:val="22"/>
                <w:lang w:eastAsia="zh-CN"/>
              </w:rPr>
              <w:t>该文件是</w:t>
            </w:r>
            <w:r>
              <w:rPr>
                <w:rFonts w:hint="eastAsia" w:ascii="宋体" w:hAnsi="宋体" w:eastAsia="宋体" w:cs="宋体"/>
                <w:color w:val="000000"/>
                <w:kern w:val="0"/>
                <w:sz w:val="22"/>
              </w:rPr>
              <w:t>各类行政处罚自由裁量权基准的</w:t>
            </w:r>
            <w:r>
              <w:rPr>
                <w:rFonts w:hint="eastAsia" w:ascii="宋体" w:hAnsi="宋体" w:eastAsia="宋体" w:cs="宋体"/>
                <w:color w:val="000000"/>
                <w:kern w:val="0"/>
                <w:sz w:val="22"/>
                <w:lang w:eastAsia="zh-CN"/>
              </w:rPr>
              <w:t>统一</w:t>
            </w:r>
            <w:r>
              <w:rPr>
                <w:rFonts w:hint="eastAsia" w:ascii="宋体" w:hAnsi="宋体" w:eastAsia="宋体" w:cs="宋体"/>
                <w:color w:val="000000"/>
                <w:kern w:val="0"/>
                <w:sz w:val="22"/>
              </w:rPr>
              <w:t>配套文件，我厅决定将“工程建设与建筑业类《基准》”和“2016年版《规则》”一并修订，本轮修订，我厅将充分考虑行政处罚自由裁量权基准适用规则与各年份、各类行政处罚自由裁量权基准衔接的问题。</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0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47DAF"/>
    <w:rsid w:val="0C747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2020-02-16T10:11:00Z</dcterms:created>
  <dc:creator>Bei</dc:creator>
  <cp:lastModifiedBy>Bei</cp:lastModifiedBy>
  <dcterms:modified xsi:type="dcterms:W3CDTF">2020-02-16T10:11:31Z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