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AB6" w:rsidRDefault="00577AB6" w:rsidP="00577AB6">
      <w:pPr>
        <w:rPr>
          <w:rFonts w:ascii="黑体" w:eastAsia="黑体" w:hAnsi="黑体"/>
          <w:szCs w:val="32"/>
          <w:shd w:val="clear" w:color="auto" w:fill="FFFFFF"/>
        </w:rPr>
      </w:pPr>
      <w:r>
        <w:rPr>
          <w:rFonts w:ascii="黑体" w:eastAsia="黑体" w:hAnsi="黑体" w:hint="eastAsia"/>
          <w:szCs w:val="32"/>
          <w:shd w:val="clear" w:color="auto" w:fill="FFFFFF"/>
        </w:rPr>
        <w:t>附件</w:t>
      </w:r>
    </w:p>
    <w:p w:rsidR="00577AB6" w:rsidRDefault="00577AB6" w:rsidP="00577AB6">
      <w:pPr>
        <w:rPr>
          <w:shd w:val="clear" w:color="auto" w:fill="FFFFFF"/>
        </w:rPr>
      </w:pPr>
    </w:p>
    <w:p w:rsidR="00577AB6" w:rsidRDefault="00577AB6" w:rsidP="00577AB6">
      <w:pPr>
        <w:pStyle w:val="a4"/>
        <w:rPr>
          <w:rFonts w:ascii="小标宋" w:eastAsia="小标宋" w:hAnsi="小标宋" w:cs="小标宋"/>
          <w:bCs w:val="0"/>
          <w:shd w:val="clear" w:color="auto" w:fill="FFFFFF"/>
        </w:rPr>
      </w:pPr>
      <w:bookmarkStart w:id="0" w:name="_GoBack"/>
      <w:r>
        <w:rPr>
          <w:rFonts w:ascii="小标宋" w:eastAsia="小标宋" w:hAnsi="小标宋" w:cs="小标宋" w:hint="eastAsia"/>
          <w:bCs w:val="0"/>
          <w:shd w:val="clear" w:color="auto" w:fill="FFFFFF"/>
        </w:rPr>
        <w:t>粤北天然气主干管网韶关-广州干线项目</w:t>
      </w:r>
    </w:p>
    <w:p w:rsidR="00577AB6" w:rsidRDefault="00577AB6" w:rsidP="00577AB6">
      <w:pPr>
        <w:pStyle w:val="a4"/>
        <w:rPr>
          <w:rFonts w:ascii="小标宋" w:eastAsia="小标宋" w:hAnsi="小标宋" w:cs="小标宋"/>
          <w:bCs w:val="0"/>
          <w:shd w:val="clear" w:color="auto" w:fill="FFFFFF"/>
        </w:rPr>
      </w:pPr>
      <w:r>
        <w:rPr>
          <w:rFonts w:ascii="小标宋" w:eastAsia="小标宋" w:hAnsi="小标宋" w:cs="小标宋" w:hint="eastAsia"/>
          <w:bCs w:val="0"/>
          <w:shd w:val="clear" w:color="auto" w:fill="FFFFFF"/>
        </w:rPr>
        <w:t>初步设计专家审查意见</w:t>
      </w:r>
    </w:p>
    <w:bookmarkEnd w:id="0"/>
    <w:p w:rsidR="00577AB6" w:rsidRDefault="00577AB6" w:rsidP="00577AB6">
      <w:pPr>
        <w:pStyle w:val="a4"/>
        <w:ind w:firstLine="883"/>
        <w:rPr>
          <w:shd w:val="clear" w:color="auto" w:fill="FFFFFF"/>
        </w:rPr>
      </w:pPr>
      <w:r>
        <w:rPr>
          <w:rFonts w:hint="eastAsia"/>
          <w:shd w:val="clear" w:color="auto" w:fill="FFFFFF"/>
        </w:rPr>
        <w:t> </w:t>
      </w:r>
    </w:p>
    <w:p w:rsidR="00577AB6" w:rsidRDefault="00577AB6" w:rsidP="00577AB6">
      <w:pPr>
        <w:ind w:rightChars="-18" w:right="-58"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2019年3月13日，广东省住房和城乡建设厅组织有关专家对</w:t>
      </w:r>
      <w:r>
        <w:rPr>
          <w:rFonts w:ascii="仿宋_GB2312" w:hAnsi="仿宋_GB2312" w:cs="仿宋_GB2312" w:hint="eastAsia"/>
          <w:bCs/>
          <w:szCs w:val="32"/>
        </w:rPr>
        <w:t>中国石油管道局工程有限公司</w:t>
      </w:r>
      <w:r>
        <w:rPr>
          <w:rFonts w:ascii="仿宋_GB2312" w:hAnsi="仿宋_GB2312" w:cs="仿宋_GB2312" w:hint="eastAsia"/>
          <w:szCs w:val="32"/>
          <w:shd w:val="clear" w:color="auto" w:fill="FFFFFF"/>
        </w:rPr>
        <w:t>设计的</w:t>
      </w:r>
      <w:r>
        <w:rPr>
          <w:rFonts w:ascii="仿宋_GB2312" w:hAnsi="仿宋_GB2312" w:cs="仿宋_GB2312" w:hint="eastAsia"/>
          <w:bCs/>
          <w:szCs w:val="32"/>
        </w:rPr>
        <w:t>粤北天然气主干管网韶关-广州干线项目</w:t>
      </w:r>
      <w:r>
        <w:rPr>
          <w:rFonts w:ascii="仿宋_GB2312" w:hAnsi="仿宋_GB2312" w:cs="仿宋_GB2312" w:hint="eastAsia"/>
          <w:szCs w:val="32"/>
          <w:shd w:val="clear" w:color="auto" w:fill="FFFFFF"/>
        </w:rPr>
        <w:t>初步设计进行了审查。专家在认真审阅有关设计资料的基础上，听取了设计单位的设计情况介绍，经讨论提出审查意见如下：</w:t>
      </w:r>
    </w:p>
    <w:p w:rsidR="00577AB6" w:rsidRDefault="00577AB6" w:rsidP="00577AB6">
      <w:pPr>
        <w:pStyle w:val="1"/>
        <w:ind w:firstLine="640"/>
        <w:rPr>
          <w:rFonts w:ascii="黑体" w:hAnsi="黑体" w:cs="黑体"/>
          <w:szCs w:val="32"/>
          <w:shd w:val="clear" w:color="auto" w:fill="FFFFFF"/>
        </w:rPr>
      </w:pPr>
      <w:r>
        <w:rPr>
          <w:rFonts w:ascii="黑体" w:hAnsi="黑体" w:cs="黑体" w:hint="eastAsia"/>
          <w:szCs w:val="32"/>
          <w:shd w:val="clear" w:color="auto" w:fill="FFFFFF"/>
        </w:rPr>
        <w:t>一、总论</w:t>
      </w:r>
    </w:p>
    <w:p w:rsidR="00577AB6" w:rsidRDefault="00577AB6" w:rsidP="00577AB6">
      <w:pPr>
        <w:pStyle w:val="a"/>
        <w:numPr>
          <w:ilvl w:val="0"/>
          <w:numId w:val="2"/>
        </w:numPr>
        <w:spacing w:line="600" w:lineRule="exact"/>
        <w:rPr>
          <w:rFonts w:ascii="仿宋_GB2312" w:eastAsia="仿宋_GB2312" w:hAnsi="仿宋_GB2312" w:cs="仿宋_GB2312"/>
          <w:sz w:val="32"/>
          <w:szCs w:val="32"/>
        </w:rPr>
      </w:pPr>
      <w:bookmarkStart w:id="1" w:name="_Hlk483317059"/>
      <w:r>
        <w:rPr>
          <w:rFonts w:ascii="仿宋_GB2312" w:eastAsia="仿宋_GB2312" w:hAnsi="仿宋_GB2312" w:cs="仿宋_GB2312" w:hint="eastAsia"/>
          <w:sz w:val="32"/>
          <w:szCs w:val="32"/>
        </w:rPr>
        <w:t>结合国家“南气北上”政策，补充完善项目建设背景。</w:t>
      </w:r>
      <w:bookmarkEnd w:id="1"/>
    </w:p>
    <w:p w:rsidR="00577AB6" w:rsidRDefault="00577AB6" w:rsidP="00577AB6">
      <w:pPr>
        <w:pStyle w:val="a"/>
        <w:numPr>
          <w:ilvl w:val="0"/>
          <w:numId w:val="2"/>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法律法规中补充《中华人民共和国土壤污染防治法》。</w:t>
      </w:r>
    </w:p>
    <w:p w:rsidR="00577AB6" w:rsidRDefault="00577AB6" w:rsidP="00577AB6">
      <w:pPr>
        <w:pStyle w:val="1"/>
        <w:ind w:firstLine="640"/>
        <w:rPr>
          <w:rFonts w:ascii="黑体" w:hAnsi="黑体" w:cs="黑体"/>
          <w:szCs w:val="32"/>
          <w:shd w:val="clear" w:color="auto" w:fill="FFFFFF"/>
        </w:rPr>
      </w:pPr>
      <w:r>
        <w:rPr>
          <w:rFonts w:ascii="黑体" w:hAnsi="黑体" w:cs="黑体" w:hint="eastAsia"/>
          <w:szCs w:val="32"/>
          <w:shd w:val="clear" w:color="auto" w:fill="FFFFFF"/>
        </w:rPr>
        <w:t>二、线路及穿越</w:t>
      </w:r>
    </w:p>
    <w:p w:rsidR="00577AB6" w:rsidRDefault="00577AB6" w:rsidP="00577AB6">
      <w:pPr>
        <w:pStyle w:val="a"/>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隧道段管道安装方式建议选取合适的温差范围及补偿结构方式，对固定墩的设计进行优化。</w:t>
      </w:r>
    </w:p>
    <w:p w:rsidR="00577AB6" w:rsidRDefault="00577AB6" w:rsidP="00577AB6">
      <w:pPr>
        <w:pStyle w:val="a"/>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北江穿越通过溶洞发育区，进一步加强通过溶洞段的处理措施，工期安排应留有余地，定向钻穿越套管长度应加长。</w:t>
      </w:r>
    </w:p>
    <w:p w:rsidR="00577AB6" w:rsidRDefault="00577AB6" w:rsidP="00577AB6">
      <w:pPr>
        <w:pStyle w:val="a"/>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建议优化</w:t>
      </w:r>
      <w:proofErr w:type="gramStart"/>
      <w:r>
        <w:rPr>
          <w:rFonts w:ascii="仿宋_GB2312" w:eastAsia="仿宋_GB2312" w:hAnsi="仿宋_GB2312" w:cs="仿宋_GB2312" w:hint="eastAsia"/>
          <w:sz w:val="32"/>
          <w:szCs w:val="32"/>
        </w:rPr>
        <w:t>滃</w:t>
      </w:r>
      <w:proofErr w:type="gramEnd"/>
      <w:r>
        <w:rPr>
          <w:rFonts w:ascii="仿宋_GB2312" w:eastAsia="仿宋_GB2312" w:hAnsi="仿宋_GB2312" w:cs="仿宋_GB2312" w:hint="eastAsia"/>
          <w:sz w:val="32"/>
          <w:szCs w:val="32"/>
        </w:rPr>
        <w:t>江穿越曲线与河槽的相对位置。</w:t>
      </w:r>
    </w:p>
    <w:p w:rsidR="00577AB6" w:rsidRDefault="00577AB6" w:rsidP="00577AB6">
      <w:pPr>
        <w:pStyle w:val="a"/>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建议白沙塘潖江穿越采用小角度出入土角，优化穿</w:t>
      </w:r>
      <w:r>
        <w:rPr>
          <w:rFonts w:ascii="仿宋_GB2312" w:eastAsia="仿宋_GB2312" w:hAnsi="仿宋_GB2312" w:cs="仿宋_GB2312" w:hint="eastAsia"/>
          <w:sz w:val="32"/>
          <w:szCs w:val="32"/>
        </w:rPr>
        <w:lastRenderedPageBreak/>
        <w:t>越曲线设计，宜避开硬质岩层。</w:t>
      </w:r>
    </w:p>
    <w:p w:rsidR="00577AB6" w:rsidRDefault="00577AB6" w:rsidP="00577AB6">
      <w:pPr>
        <w:pStyle w:val="a"/>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矿山铁路和油库专用线铁路宜改为顶管穿越，京广铁路穿越建议也采用机械顶管穿越，并与铁路方进一步沟通。</w:t>
      </w:r>
    </w:p>
    <w:p w:rsidR="00577AB6" w:rsidRDefault="00577AB6" w:rsidP="00577AB6">
      <w:pPr>
        <w:pStyle w:val="a"/>
        <w:numPr>
          <w:ilvl w:val="0"/>
          <w:numId w:val="3"/>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直流输电接地极对管线</w:t>
      </w:r>
      <w:proofErr w:type="gramStart"/>
      <w:r>
        <w:rPr>
          <w:rFonts w:ascii="仿宋_GB2312" w:eastAsia="仿宋_GB2312" w:hAnsi="仿宋_GB2312" w:cs="仿宋_GB2312" w:hint="eastAsia"/>
          <w:sz w:val="32"/>
          <w:szCs w:val="32"/>
        </w:rPr>
        <w:t>和阀室的</w:t>
      </w:r>
      <w:proofErr w:type="gramEnd"/>
      <w:r>
        <w:rPr>
          <w:rFonts w:ascii="仿宋_GB2312" w:eastAsia="仿宋_GB2312" w:hAnsi="仿宋_GB2312" w:cs="仿宋_GB2312" w:hint="eastAsia"/>
          <w:sz w:val="32"/>
          <w:szCs w:val="32"/>
        </w:rPr>
        <w:t>影响，应借鉴临近管道类似处理的经验，临近</w:t>
      </w:r>
      <w:proofErr w:type="gramStart"/>
      <w:r>
        <w:rPr>
          <w:rFonts w:ascii="仿宋_GB2312" w:eastAsia="仿宋_GB2312" w:hAnsi="仿宋_GB2312" w:cs="仿宋_GB2312" w:hint="eastAsia"/>
          <w:sz w:val="32"/>
          <w:szCs w:val="32"/>
        </w:rPr>
        <w:t>阴保站</w:t>
      </w:r>
      <w:proofErr w:type="gramEnd"/>
      <w:r>
        <w:rPr>
          <w:rFonts w:ascii="仿宋_GB2312" w:eastAsia="仿宋_GB2312" w:hAnsi="仿宋_GB2312" w:cs="仿宋_GB2312" w:hint="eastAsia"/>
          <w:sz w:val="32"/>
          <w:szCs w:val="32"/>
        </w:rPr>
        <w:t>可采用大功率恒电位仪。</w:t>
      </w:r>
    </w:p>
    <w:p w:rsidR="00577AB6" w:rsidRDefault="00577AB6" w:rsidP="00577AB6">
      <w:pPr>
        <w:pStyle w:val="1"/>
        <w:ind w:firstLine="640"/>
        <w:rPr>
          <w:rFonts w:ascii="黑体" w:hAnsi="黑体" w:cs="黑体"/>
          <w:szCs w:val="32"/>
          <w:shd w:val="clear" w:color="auto" w:fill="FFFFFF"/>
        </w:rPr>
      </w:pPr>
      <w:r>
        <w:rPr>
          <w:rFonts w:ascii="黑体" w:hAnsi="黑体" w:cs="黑体" w:hint="eastAsia"/>
          <w:szCs w:val="32"/>
          <w:shd w:val="clear" w:color="auto" w:fill="FFFFFF"/>
        </w:rPr>
        <w:t>三、站场</w:t>
      </w:r>
      <w:proofErr w:type="gramStart"/>
      <w:r>
        <w:rPr>
          <w:rFonts w:ascii="黑体" w:hAnsi="黑体" w:cs="黑体" w:hint="eastAsia"/>
          <w:szCs w:val="32"/>
          <w:shd w:val="clear" w:color="auto" w:fill="FFFFFF"/>
        </w:rPr>
        <w:t>及阀室</w:t>
      </w:r>
      <w:proofErr w:type="gramEnd"/>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补充输气工艺中反输时气源的气质组分、管道全线纵断面图、事故工况中明确气源中断的工况分析。</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在站场工艺中明确设计压力以及最大操作压力。</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完善过滤、计量、调压的操作原理。</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建议核实应急放空时的噪音计算。</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管道沿线地区属强雷暴区，防雷专篇应有针对性防雷措施。</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建议流量计与压力监控系统串联安装，便于实现准确的日指定流量控制。</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进站ESDV</w:t>
      </w:r>
      <w:proofErr w:type="gramStart"/>
      <w:r>
        <w:rPr>
          <w:rStyle w:val="a6"/>
          <w:rFonts w:ascii="仿宋_GB2312" w:eastAsia="仿宋_GB2312" w:hAnsi="仿宋_GB2312" w:cs="仿宋_GB2312" w:hint="eastAsia"/>
          <w:sz w:val="32"/>
          <w:szCs w:val="32"/>
        </w:rPr>
        <w:t>阀应增加</w:t>
      </w:r>
      <w:proofErr w:type="gramEnd"/>
      <w:r>
        <w:rPr>
          <w:rStyle w:val="a6"/>
          <w:rFonts w:ascii="仿宋_GB2312" w:eastAsia="仿宋_GB2312" w:hAnsi="仿宋_GB2312" w:cs="仿宋_GB2312" w:hint="eastAsia"/>
          <w:sz w:val="32"/>
          <w:szCs w:val="32"/>
        </w:rPr>
        <w:t>手动旁通阀组。</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自控系统针对改扩建的站场、调控中心应详细描述系统现状，系统改扩建方案应具体。</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proofErr w:type="gramStart"/>
      <w:r>
        <w:rPr>
          <w:rStyle w:val="a6"/>
          <w:rFonts w:ascii="仿宋_GB2312" w:eastAsia="仿宋_GB2312" w:hAnsi="仿宋_GB2312" w:cs="仿宋_GB2312" w:hint="eastAsia"/>
          <w:sz w:val="32"/>
          <w:szCs w:val="32"/>
        </w:rPr>
        <w:t>分析仪取源点</w:t>
      </w:r>
      <w:proofErr w:type="gramEnd"/>
      <w:r>
        <w:rPr>
          <w:rStyle w:val="a6"/>
          <w:rFonts w:ascii="仿宋_GB2312" w:eastAsia="仿宋_GB2312" w:hAnsi="仿宋_GB2312" w:cs="仿宋_GB2312" w:hint="eastAsia"/>
          <w:sz w:val="32"/>
          <w:szCs w:val="32"/>
        </w:rPr>
        <w:t>应避免设在汇管的死气段。</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根据国家认监委最新要求，修改计量器具及可燃气体探测器的认证要求，并修改相应技术规格书。</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建议按照新版GB 50493的要求，分析小屋应增加氧含量探测器。</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lastRenderedPageBreak/>
        <w:t>建议选用的网络关键设备和网络安全专用产品（如路由器、交换机、防火墙、</w:t>
      </w:r>
      <w:proofErr w:type="gramStart"/>
      <w:r>
        <w:rPr>
          <w:rStyle w:val="a6"/>
          <w:rFonts w:ascii="仿宋_GB2312" w:eastAsia="仿宋_GB2312" w:hAnsi="仿宋_GB2312" w:cs="仿宋_GB2312" w:hint="eastAsia"/>
          <w:sz w:val="32"/>
          <w:szCs w:val="32"/>
        </w:rPr>
        <w:t>网闸等</w:t>
      </w:r>
      <w:proofErr w:type="gramEnd"/>
      <w:r>
        <w:rPr>
          <w:rStyle w:val="a6"/>
          <w:rFonts w:ascii="仿宋_GB2312" w:eastAsia="仿宋_GB2312" w:hAnsi="仿宋_GB2312" w:cs="仿宋_GB2312" w:hint="eastAsia"/>
          <w:sz w:val="32"/>
          <w:szCs w:val="32"/>
        </w:rPr>
        <w:t>）应取得国家相关实验室的网络安全认证。</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控制柜内PLC供电应与I/O供电分开，采用不同电源。由于现场仪表采用隔爆设计，为检修时安全，建议24V</w:t>
      </w:r>
      <w:proofErr w:type="gramStart"/>
      <w:r>
        <w:rPr>
          <w:rStyle w:val="a6"/>
          <w:rFonts w:ascii="仿宋_GB2312" w:eastAsia="仿宋_GB2312" w:hAnsi="仿宋_GB2312" w:cs="仿宋_GB2312" w:hint="eastAsia"/>
          <w:sz w:val="32"/>
          <w:szCs w:val="32"/>
        </w:rPr>
        <w:t>采用浮地方式</w:t>
      </w:r>
      <w:proofErr w:type="gramEnd"/>
      <w:r>
        <w:rPr>
          <w:rStyle w:val="a6"/>
          <w:rFonts w:ascii="仿宋_GB2312" w:eastAsia="仿宋_GB2312" w:hAnsi="仿宋_GB2312" w:cs="仿宋_GB2312" w:hint="eastAsia"/>
          <w:sz w:val="32"/>
          <w:szCs w:val="32"/>
        </w:rPr>
        <w:t>。</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建议PCS电缆选用阻燃型。</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建议增加火灾报警系统平面布置图、火气因果图。</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建议在站场路由器出口设置网络防火墙。</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无人值守专项报告中控制逻辑的</w:t>
      </w:r>
      <w:proofErr w:type="gramStart"/>
      <w:r>
        <w:rPr>
          <w:rStyle w:val="a6"/>
          <w:rFonts w:ascii="仿宋_GB2312" w:eastAsia="仿宋_GB2312" w:hAnsi="仿宋_GB2312" w:cs="仿宋_GB2312" w:hint="eastAsia"/>
          <w:sz w:val="32"/>
          <w:szCs w:val="32"/>
        </w:rPr>
        <w:t>描述分</w:t>
      </w:r>
      <w:proofErr w:type="gramEnd"/>
      <w:r>
        <w:rPr>
          <w:rStyle w:val="a6"/>
          <w:rFonts w:ascii="仿宋_GB2312" w:eastAsia="仿宋_GB2312" w:hAnsi="仿宋_GB2312" w:cs="仿宋_GB2312" w:hint="eastAsia"/>
          <w:sz w:val="32"/>
          <w:szCs w:val="32"/>
        </w:rPr>
        <w:t>手动操作和自动操作，逻辑描述建议改成顺序流程图的方式。</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建议SCADA系统统一采用MODBUS通信协议。</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由于无人值守虚拟化平台有多套系统接入，建议补充控制网络信息安全章节。</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个别站场计算的排雨水沟截面尺寸较大，建议增加排雨水出口的数量，分区域排水。</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补充围墙外边坡区域的截水外排措施。</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曲江分输站外部道路宜在独立章节论述并开列工程量。</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站场外</w:t>
      </w:r>
      <w:proofErr w:type="gramStart"/>
      <w:r>
        <w:rPr>
          <w:rStyle w:val="a6"/>
          <w:rFonts w:ascii="仿宋_GB2312" w:eastAsia="仿宋_GB2312" w:hAnsi="仿宋_GB2312" w:cs="仿宋_GB2312" w:hint="eastAsia"/>
          <w:sz w:val="32"/>
          <w:szCs w:val="32"/>
        </w:rPr>
        <w:t>部道路</w:t>
      </w:r>
      <w:proofErr w:type="gramEnd"/>
      <w:r>
        <w:rPr>
          <w:rStyle w:val="a6"/>
          <w:rFonts w:ascii="仿宋_GB2312" w:eastAsia="仿宋_GB2312" w:hAnsi="仿宋_GB2312" w:cs="仿宋_GB2312" w:hint="eastAsia"/>
          <w:sz w:val="32"/>
          <w:szCs w:val="32"/>
        </w:rPr>
        <w:t>的高路堤应增设安全护栏等设施。</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场平压实系数偏高，建议按照规范要求适当降低。</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lastRenderedPageBreak/>
        <w:t>优化站场逃生路线示意图。</w:t>
      </w:r>
    </w:p>
    <w:p w:rsidR="00577AB6" w:rsidRDefault="00577AB6" w:rsidP="00577AB6">
      <w:pPr>
        <w:pStyle w:val="a"/>
        <w:numPr>
          <w:ilvl w:val="0"/>
          <w:numId w:val="4"/>
        </w:numPr>
        <w:spacing w:line="600" w:lineRule="exact"/>
        <w:ind w:rightChars="-18" w:right="-58"/>
        <w:rPr>
          <w:rStyle w:val="a6"/>
          <w:rFonts w:ascii="仿宋_GB2312" w:eastAsia="仿宋_GB2312" w:hAnsi="仿宋_GB2312" w:cs="仿宋_GB2312"/>
          <w:sz w:val="32"/>
          <w:szCs w:val="32"/>
        </w:rPr>
      </w:pPr>
      <w:proofErr w:type="gramStart"/>
      <w:r>
        <w:rPr>
          <w:rStyle w:val="a6"/>
          <w:rFonts w:ascii="仿宋_GB2312" w:eastAsia="仿宋_GB2312" w:hAnsi="仿宋_GB2312" w:cs="仿宋_GB2312" w:hint="eastAsia"/>
          <w:sz w:val="32"/>
          <w:szCs w:val="32"/>
        </w:rPr>
        <w:t>阀室布局</w:t>
      </w:r>
      <w:proofErr w:type="gramEnd"/>
      <w:r>
        <w:rPr>
          <w:rStyle w:val="a6"/>
          <w:rFonts w:ascii="仿宋_GB2312" w:eastAsia="仿宋_GB2312" w:hAnsi="仿宋_GB2312" w:cs="仿宋_GB2312" w:hint="eastAsia"/>
          <w:sz w:val="32"/>
          <w:szCs w:val="32"/>
        </w:rPr>
        <w:t>应考虑人员操作与逃生。</w:t>
      </w:r>
    </w:p>
    <w:p w:rsidR="00577AB6" w:rsidRDefault="00577AB6" w:rsidP="00577AB6">
      <w:pPr>
        <w:pStyle w:val="1"/>
        <w:ind w:firstLine="640"/>
        <w:rPr>
          <w:rFonts w:ascii="黑体" w:hAnsi="黑体" w:cs="黑体"/>
          <w:szCs w:val="32"/>
          <w:shd w:val="clear" w:color="auto" w:fill="FFFFFF"/>
        </w:rPr>
      </w:pPr>
      <w:r>
        <w:rPr>
          <w:rFonts w:ascii="黑体" w:hAnsi="黑体" w:cs="黑体" w:hint="eastAsia"/>
          <w:szCs w:val="32"/>
          <w:shd w:val="clear" w:color="auto" w:fill="FFFFFF"/>
        </w:rPr>
        <w:t>四、概算</w:t>
      </w:r>
    </w:p>
    <w:p w:rsidR="00577AB6" w:rsidRDefault="00577AB6" w:rsidP="00577AB6">
      <w:pPr>
        <w:pStyle w:val="a"/>
        <w:numPr>
          <w:ilvl w:val="0"/>
          <w:numId w:val="5"/>
        </w:numPr>
        <w:spacing w:line="600" w:lineRule="exact"/>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补充干线线路部分</w:t>
      </w:r>
      <w:proofErr w:type="gramStart"/>
      <w:r>
        <w:rPr>
          <w:rStyle w:val="a6"/>
          <w:rFonts w:ascii="仿宋_GB2312" w:eastAsia="仿宋_GB2312" w:hAnsi="仿宋_GB2312" w:cs="仿宋_GB2312" w:hint="eastAsia"/>
          <w:sz w:val="32"/>
          <w:szCs w:val="32"/>
        </w:rPr>
        <w:t>分</w:t>
      </w:r>
      <w:proofErr w:type="gramEnd"/>
      <w:r>
        <w:rPr>
          <w:rStyle w:val="a6"/>
          <w:rFonts w:ascii="仿宋_GB2312" w:eastAsia="仿宋_GB2312" w:hAnsi="仿宋_GB2312" w:cs="仿宋_GB2312" w:hint="eastAsia"/>
          <w:sz w:val="32"/>
          <w:szCs w:val="32"/>
        </w:rPr>
        <w:t>标段编制的工程量。</w:t>
      </w:r>
    </w:p>
    <w:p w:rsidR="00577AB6" w:rsidRDefault="00577AB6" w:rsidP="00577AB6">
      <w:pPr>
        <w:pStyle w:val="a"/>
        <w:numPr>
          <w:ilvl w:val="0"/>
          <w:numId w:val="5"/>
        </w:numPr>
        <w:spacing w:line="600" w:lineRule="exact"/>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建议管沟土石方套用作业带土石方定额部分与作业带土石方费用分开计列。</w:t>
      </w:r>
    </w:p>
    <w:p w:rsidR="00577AB6" w:rsidRDefault="00577AB6" w:rsidP="00577AB6">
      <w:pPr>
        <w:pStyle w:val="a"/>
        <w:numPr>
          <w:ilvl w:val="0"/>
          <w:numId w:val="5"/>
        </w:numPr>
        <w:spacing w:line="600" w:lineRule="exact"/>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核实D914mm L48直缝埋弧焊钢管价格及运费、线路1标段热煨弯管的数量和费用。</w:t>
      </w:r>
    </w:p>
    <w:p w:rsidR="00577AB6" w:rsidRDefault="00577AB6" w:rsidP="00577AB6">
      <w:pPr>
        <w:pStyle w:val="a"/>
        <w:numPr>
          <w:ilvl w:val="0"/>
          <w:numId w:val="5"/>
        </w:numPr>
        <w:spacing w:line="600" w:lineRule="exact"/>
        <w:rPr>
          <w:rStyle w:val="a6"/>
          <w:rFonts w:ascii="仿宋_GB2312" w:eastAsia="仿宋_GB2312" w:hAnsi="仿宋_GB2312" w:cs="仿宋_GB2312"/>
          <w:sz w:val="32"/>
          <w:szCs w:val="32"/>
        </w:rPr>
      </w:pPr>
      <w:bookmarkStart w:id="2" w:name="_Hlk514832686"/>
      <w:r>
        <w:rPr>
          <w:rStyle w:val="a6"/>
          <w:rFonts w:ascii="仿宋_GB2312" w:eastAsia="仿宋_GB2312" w:hAnsi="仿宋_GB2312" w:cs="仿宋_GB2312" w:hint="eastAsia"/>
          <w:sz w:val="32"/>
          <w:szCs w:val="32"/>
        </w:rPr>
        <w:t>泥水平衡顶管穿越公路，泥浆处理费、泥水平衡顶管措施费偏高，建议核减。</w:t>
      </w:r>
      <w:bookmarkEnd w:id="2"/>
    </w:p>
    <w:p w:rsidR="00577AB6" w:rsidRDefault="00577AB6" w:rsidP="00577AB6">
      <w:pPr>
        <w:pStyle w:val="a"/>
        <w:numPr>
          <w:ilvl w:val="0"/>
          <w:numId w:val="5"/>
        </w:numPr>
        <w:spacing w:line="600" w:lineRule="exact"/>
        <w:rPr>
          <w:rStyle w:val="a6"/>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核实可抵扣增值税额。</w:t>
      </w:r>
    </w:p>
    <w:p w:rsidR="00577AB6" w:rsidRDefault="00577AB6" w:rsidP="00577AB6">
      <w:pPr>
        <w:pStyle w:val="a"/>
        <w:numPr>
          <w:ilvl w:val="0"/>
          <w:numId w:val="5"/>
        </w:numPr>
        <w:spacing w:line="600" w:lineRule="exact"/>
        <w:rPr>
          <w:rStyle w:val="a6"/>
          <w:rFonts w:ascii="仿宋_GB2312" w:eastAsia="仿宋_GB2312" w:hAnsi="仿宋_GB2312" w:cs="仿宋_GB2312"/>
          <w:sz w:val="32"/>
          <w:szCs w:val="32"/>
        </w:rPr>
      </w:pPr>
      <w:proofErr w:type="gramStart"/>
      <w:r>
        <w:rPr>
          <w:rStyle w:val="a6"/>
          <w:rFonts w:ascii="仿宋_GB2312" w:eastAsia="仿宋_GB2312" w:hAnsi="仿宋_GB2312" w:cs="仿宋_GB2312" w:hint="eastAsia"/>
          <w:sz w:val="32"/>
          <w:szCs w:val="32"/>
        </w:rPr>
        <w:t>核实压履矿产资源</w:t>
      </w:r>
      <w:proofErr w:type="gramEnd"/>
      <w:r>
        <w:rPr>
          <w:rStyle w:val="a6"/>
          <w:rFonts w:ascii="仿宋_GB2312" w:eastAsia="仿宋_GB2312" w:hAnsi="仿宋_GB2312" w:cs="仿宋_GB2312" w:hint="eastAsia"/>
          <w:sz w:val="32"/>
          <w:szCs w:val="32"/>
        </w:rPr>
        <w:t>评价费、前期工作费。</w:t>
      </w:r>
    </w:p>
    <w:p w:rsidR="00577AB6" w:rsidRDefault="00577AB6" w:rsidP="00577AB6">
      <w:pPr>
        <w:pStyle w:val="a"/>
        <w:numPr>
          <w:ilvl w:val="0"/>
          <w:numId w:val="5"/>
        </w:numPr>
        <w:spacing w:line="600" w:lineRule="exact"/>
        <w:rPr>
          <w:rFonts w:ascii="仿宋_GB2312" w:eastAsia="仿宋_GB2312" w:hAnsi="仿宋_GB2312" w:cs="仿宋_GB2312"/>
          <w:sz w:val="32"/>
          <w:szCs w:val="32"/>
          <w:shd w:val="clear" w:color="auto" w:fill="FFFFFF"/>
        </w:rPr>
      </w:pPr>
      <w:r>
        <w:rPr>
          <w:rStyle w:val="a6"/>
          <w:rFonts w:ascii="仿宋_GB2312" w:eastAsia="仿宋_GB2312" w:hAnsi="仿宋_GB2312" w:cs="仿宋_GB2312" w:hint="eastAsia"/>
          <w:sz w:val="32"/>
          <w:szCs w:val="32"/>
        </w:rPr>
        <w:t>补充工程造价计价系统建设与管理费。</w:t>
      </w:r>
    </w:p>
    <w:p w:rsidR="00577AB6" w:rsidRDefault="00577AB6" w:rsidP="00577AB6">
      <w:pPr>
        <w:ind w:firstLine="640"/>
        <w:rPr>
          <w:rFonts w:ascii="仿宋_GB2312" w:hAnsi="仿宋_GB2312" w:cs="仿宋_GB2312"/>
          <w:szCs w:val="32"/>
          <w:shd w:val="clear" w:color="auto" w:fill="FFFFFF"/>
        </w:rPr>
      </w:pPr>
      <w:r>
        <w:rPr>
          <w:rFonts w:ascii="仿宋_GB2312" w:hAnsi="仿宋_GB2312" w:cs="仿宋_GB2312" w:hint="eastAsia"/>
          <w:szCs w:val="32"/>
          <w:shd w:val="clear" w:color="auto" w:fill="FFFFFF"/>
        </w:rPr>
        <w:t>专家组一致认为，本初步设计经进一步修改完善后，可作为施工图设计依据，同意通过初步设计审查。</w:t>
      </w:r>
    </w:p>
    <w:p w:rsidR="00577AB6" w:rsidRDefault="00577AB6" w:rsidP="00577AB6">
      <w:pPr>
        <w:rPr>
          <w:rFonts w:ascii="仿宋" w:eastAsia="仿宋" w:hAnsi="仿宋"/>
          <w:szCs w:val="32"/>
        </w:rPr>
      </w:pPr>
    </w:p>
    <w:p w:rsidR="00577AB6" w:rsidRPr="00577AB6" w:rsidRDefault="00577AB6"/>
    <w:sectPr w:rsidR="00577AB6" w:rsidRPr="00577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7A217F"/>
    <w:multiLevelType w:val="singleLevel"/>
    <w:tmpl w:val="B07A217F"/>
    <w:lvl w:ilvl="0">
      <w:start w:val="1"/>
      <w:numFmt w:val="chineseCounting"/>
      <w:suff w:val="nothing"/>
      <w:lvlText w:val="（%1）"/>
      <w:lvlJc w:val="left"/>
      <w:pPr>
        <w:ind w:left="0" w:firstLine="420"/>
      </w:pPr>
      <w:rPr>
        <w:rFonts w:hint="eastAsia"/>
      </w:rPr>
    </w:lvl>
  </w:abstractNum>
  <w:abstractNum w:abstractNumId="1" w15:restartNumberingAfterBreak="0">
    <w:nsid w:val="0CC86877"/>
    <w:multiLevelType w:val="singleLevel"/>
    <w:tmpl w:val="0CC86877"/>
    <w:lvl w:ilvl="0">
      <w:start w:val="1"/>
      <w:numFmt w:val="chineseCounting"/>
      <w:suff w:val="nothing"/>
      <w:lvlText w:val="（%1）"/>
      <w:lvlJc w:val="left"/>
      <w:pPr>
        <w:ind w:left="0" w:firstLine="420"/>
      </w:pPr>
      <w:rPr>
        <w:rFonts w:hint="eastAsia"/>
      </w:rPr>
    </w:lvl>
  </w:abstractNum>
  <w:abstractNum w:abstractNumId="2" w15:restartNumberingAfterBreak="0">
    <w:nsid w:val="2B922CA0"/>
    <w:multiLevelType w:val="singleLevel"/>
    <w:tmpl w:val="2B922CA0"/>
    <w:lvl w:ilvl="0">
      <w:start w:val="1"/>
      <w:numFmt w:val="chineseCounting"/>
      <w:suff w:val="nothing"/>
      <w:lvlText w:val="（%1）"/>
      <w:lvlJc w:val="left"/>
      <w:pPr>
        <w:ind w:left="0" w:firstLine="420"/>
      </w:pPr>
      <w:rPr>
        <w:rFonts w:hint="eastAsia"/>
      </w:rPr>
    </w:lvl>
  </w:abstractNum>
  <w:abstractNum w:abstractNumId="3" w15:restartNumberingAfterBreak="0">
    <w:nsid w:val="3BFFF98F"/>
    <w:multiLevelType w:val="singleLevel"/>
    <w:tmpl w:val="3BFFF98F"/>
    <w:lvl w:ilvl="0">
      <w:start w:val="1"/>
      <w:numFmt w:val="chineseCounting"/>
      <w:suff w:val="nothing"/>
      <w:lvlText w:val="（%1）"/>
      <w:lvlJc w:val="left"/>
      <w:pPr>
        <w:ind w:left="0" w:firstLine="420"/>
      </w:pPr>
      <w:rPr>
        <w:rFonts w:hint="eastAsia"/>
      </w:rPr>
    </w:lvl>
  </w:abstractNum>
  <w:abstractNum w:abstractNumId="4" w15:restartNumberingAfterBreak="0">
    <w:nsid w:val="48407C1A"/>
    <w:multiLevelType w:val="multilevel"/>
    <w:tmpl w:val="48407C1A"/>
    <w:lvl w:ilvl="0">
      <w:start w:val="1"/>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B6"/>
    <w:rsid w:val="0057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818B4-3FEF-49B2-AFE0-6B710281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7AB6"/>
    <w:pPr>
      <w:widowControl w:val="0"/>
      <w:spacing w:line="600" w:lineRule="exact"/>
      <w:jc w:val="both"/>
    </w:pPr>
    <w:rPr>
      <w:rFonts w:eastAsia="仿宋_GB2312"/>
      <w:sz w:val="32"/>
      <w:szCs w:val="24"/>
    </w:rPr>
  </w:style>
  <w:style w:type="paragraph" w:styleId="1">
    <w:name w:val="heading 1"/>
    <w:basedOn w:val="a0"/>
    <w:next w:val="a0"/>
    <w:link w:val="10"/>
    <w:qFormat/>
    <w:rsid w:val="00577AB6"/>
    <w:pPr>
      <w:keepNext/>
      <w:keepLines/>
      <w:outlineLvl w:val="0"/>
    </w:pPr>
    <w:rPr>
      <w:rFonts w:eastAsia="黑体"/>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577AB6"/>
    <w:rPr>
      <w:rFonts w:eastAsia="黑体"/>
      <w:bCs/>
      <w:kern w:val="44"/>
      <w:sz w:val="32"/>
      <w:szCs w:val="44"/>
    </w:rPr>
  </w:style>
  <w:style w:type="paragraph" w:styleId="a4">
    <w:name w:val="Title"/>
    <w:basedOn w:val="a0"/>
    <w:next w:val="a0"/>
    <w:link w:val="a5"/>
    <w:qFormat/>
    <w:rsid w:val="00577AB6"/>
    <w:pPr>
      <w:jc w:val="center"/>
      <w:outlineLvl w:val="0"/>
    </w:pPr>
    <w:rPr>
      <w:rFonts w:asciiTheme="majorHAnsi" w:eastAsia="方正小标宋简体" w:hAnsiTheme="majorHAnsi" w:cstheme="majorBidi"/>
      <w:bCs/>
      <w:sz w:val="44"/>
      <w:szCs w:val="32"/>
    </w:rPr>
  </w:style>
  <w:style w:type="character" w:customStyle="1" w:styleId="a5">
    <w:name w:val="标题 字符"/>
    <w:basedOn w:val="a1"/>
    <w:link w:val="a4"/>
    <w:qFormat/>
    <w:rsid w:val="00577AB6"/>
    <w:rPr>
      <w:rFonts w:asciiTheme="majorHAnsi" w:eastAsia="方正小标宋简体" w:hAnsiTheme="majorHAnsi" w:cstheme="majorBidi"/>
      <w:bCs/>
      <w:sz w:val="44"/>
      <w:szCs w:val="32"/>
    </w:rPr>
  </w:style>
  <w:style w:type="paragraph" w:customStyle="1" w:styleId="a">
    <w:name w:val="正文带（编号）"/>
    <w:basedOn w:val="a0"/>
    <w:link w:val="a6"/>
    <w:qFormat/>
    <w:rsid w:val="00577AB6"/>
    <w:pPr>
      <w:numPr>
        <w:numId w:val="1"/>
      </w:numPr>
      <w:adjustRightInd w:val="0"/>
      <w:spacing w:line="240" w:lineRule="auto"/>
      <w:ind w:left="0" w:firstLine="200"/>
    </w:pPr>
    <w:rPr>
      <w:rFonts w:ascii="Times New Roman" w:eastAsia="宋体" w:hAnsi="Times New Roman"/>
      <w:sz w:val="21"/>
    </w:rPr>
  </w:style>
  <w:style w:type="character" w:customStyle="1" w:styleId="a6">
    <w:name w:val="正文带（编号） 字符"/>
    <w:link w:val="a"/>
    <w:qFormat/>
    <w:rsid w:val="00577AB6"/>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2020-01-21T03:34:00Z</dcterms:created>
  <dcterms:modified xsi:type="dcterms:W3CDTF">2020-01-21T03:35:00Z</dcterms:modified>
</cp:coreProperties>
</file>