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B4" w:rsidRDefault="004855B4" w:rsidP="004855B4">
      <w:pPr>
        <w:pStyle w:val="3"/>
        <w:spacing w:line="600" w:lineRule="exact"/>
        <w:ind w:firstLine="0"/>
        <w:jc w:val="center"/>
        <w:rPr>
          <w:rFonts w:ascii="黑体" w:hAnsi="黑体" w:cs="黑体" w:hint="eastAsia"/>
          <w:b w:val="0"/>
          <w:bCs w:val="0"/>
          <w:sz w:val="36"/>
          <w:szCs w:val="36"/>
        </w:rPr>
      </w:pPr>
      <w:r>
        <w:rPr>
          <w:rFonts w:ascii="黑体" w:hAnsi="黑体" w:cs="黑体" w:hint="eastAsia"/>
          <w:b w:val="0"/>
          <w:bCs w:val="0"/>
          <w:sz w:val="36"/>
          <w:szCs w:val="36"/>
        </w:rPr>
        <w:t>广东省2019年度查处第五批违法违规</w:t>
      </w:r>
    </w:p>
    <w:p w:rsidR="004855B4" w:rsidRDefault="004855B4" w:rsidP="004855B4">
      <w:pPr>
        <w:pStyle w:val="3"/>
        <w:spacing w:line="600" w:lineRule="exact"/>
        <w:ind w:firstLine="0"/>
        <w:jc w:val="center"/>
        <w:rPr>
          <w:rFonts w:ascii="黑体" w:hAnsi="黑体" w:cs="黑体" w:hint="eastAsia"/>
          <w:b w:val="0"/>
          <w:bCs w:val="0"/>
          <w:sz w:val="36"/>
          <w:szCs w:val="36"/>
        </w:rPr>
      </w:pPr>
      <w:r>
        <w:rPr>
          <w:rFonts w:ascii="黑体" w:hAnsi="黑体" w:cs="黑体" w:hint="eastAsia"/>
          <w:b w:val="0"/>
          <w:bCs w:val="0"/>
          <w:sz w:val="36"/>
          <w:szCs w:val="36"/>
        </w:rPr>
        <w:t>房地产开发企业、</w:t>
      </w:r>
      <w:bookmarkStart w:id="0" w:name="_GoBack"/>
      <w:bookmarkEnd w:id="0"/>
      <w:r>
        <w:rPr>
          <w:rFonts w:ascii="黑体" w:hAnsi="黑体" w:cs="黑体" w:hint="eastAsia"/>
          <w:b w:val="0"/>
          <w:bCs w:val="0"/>
          <w:sz w:val="36"/>
          <w:szCs w:val="36"/>
        </w:rPr>
        <w:t>中介机构和物业</w:t>
      </w:r>
    </w:p>
    <w:p w:rsidR="004855B4" w:rsidRDefault="004855B4" w:rsidP="004855B4">
      <w:pPr>
        <w:pStyle w:val="3"/>
        <w:spacing w:line="600" w:lineRule="exact"/>
        <w:ind w:firstLine="0"/>
        <w:jc w:val="center"/>
        <w:rPr>
          <w:rFonts w:ascii="黑体" w:hAnsi="黑体" w:cs="黑体" w:hint="eastAsia"/>
          <w:b w:val="0"/>
          <w:bCs w:val="0"/>
          <w:sz w:val="36"/>
          <w:szCs w:val="36"/>
        </w:rPr>
      </w:pPr>
      <w:r>
        <w:rPr>
          <w:rFonts w:ascii="黑体" w:hAnsi="黑体" w:cs="黑体" w:hint="eastAsia"/>
          <w:b w:val="0"/>
          <w:bCs w:val="0"/>
          <w:sz w:val="36"/>
          <w:szCs w:val="36"/>
        </w:rPr>
        <w:t>服务企业情况汇总表</w:t>
      </w:r>
    </w:p>
    <w:p w:rsidR="004855B4" w:rsidRDefault="004855B4" w:rsidP="004855B4">
      <w:pPr>
        <w:pStyle w:val="NormalIndent"/>
        <w:spacing w:line="360" w:lineRule="auto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490"/>
        <w:gridCol w:w="5040"/>
        <w:gridCol w:w="1709"/>
      </w:tblGrid>
      <w:tr w:rsidR="004855B4" w:rsidTr="00537A6A">
        <w:trPr>
          <w:trHeight w:val="634"/>
          <w:tblHeader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具体违法违规行为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整改处置情况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韶关市曲江区永兴达地产信息部二店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韶关市马坝为民房屋信息部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韶关市曲江区天美房屋中介服务部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区房缘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韶关市曲江区马坝镇安佳地产服务中心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8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韶关市曲江区欣荣房屋中介服务中心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韶关市曲江区中成置业中介服务部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韶关市曲江区益民家政房屋中介服务部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韶关市曲江宏兴售楼租房家政信息部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韶关市曲江区嘉富信息服务部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33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韶关市曲江区马坝镇易成房屋中介服务部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部分合同未按规定到房地产主管部门备案。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韶关市曲江区马坝镇信誉家政服务部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部分合同未按规定到房地产主管部门备案。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坝镇家安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73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韶关市曲江区亿鑫中介所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72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曲江区帮众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房地产中介有限公司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1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曲江区明轩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房屋中介家政服务中心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35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韶关市曲江区安居房屋信息部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87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乐昌市德金乐房地产投资有限公司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未按要求公示《建设用地规划许可证》、《建设工程规划许可证》、《建设工程施工许可证》、《国有土地使用权证》、《商品房预售许可证》。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50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乐昌市华盛房地产开发有限公司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未按要求公布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一房一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价。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9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翁源县金山地房地产开发有限公司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存在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房多卖的问题。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公安机关已介入处理。</w:t>
            </w:r>
          </w:p>
        </w:tc>
      </w:tr>
      <w:tr w:rsidR="004855B4" w:rsidTr="00537A6A">
        <w:trPr>
          <w:trHeight w:val="16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始兴县吉祥房屋中介服务部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未按照相关要求在经营场所醒目位置标明房地产中介服务项目、服务内容、收费标准。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40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乳源瑶族自治县天下房地产中介服务部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未按规定到房地产主管部门备案。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34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乳源瑶族自治县通和地产中介服务部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未按规定到房地产主管部门备案。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4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市君键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地产中介服务部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未按规定到房地产主管部门备案。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6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仁化县圆和家政服务中心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未按规定到房地产主管部门备案。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0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天下房地产营销策划有限公司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拒退担保金。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1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淘房网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房地产服务有限公司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拒退团购费。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7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桂园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智慧物业服务集团股份有限公司韶关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分店无营业执照。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6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韶关市曲江区家泰中介服务部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6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曲江区帮众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房屋中介服务部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5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区远瑞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房屋中介服务中心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8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韶关市曲江区家荣房屋中介服务部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52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曲江区宏润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房屋中介服务部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部分合同未按规定报房地产主管部门备案。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隆物业服务有限公司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未按规定落实消防安全防范工作。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金生圆物业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未按规定落实消防安全防范工作。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9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乐昌市富华物业服务有限公司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未按规定落实消防安全防范工作。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市瑜丰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物业服务有限公司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未按规定落实消防安全防范工作。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16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乐昌市尚都物业服务有限公司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未按规定落实消防安全防范工作。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55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南雄华安物业服务有限公司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擅自对业主停水。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34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赣州市港源物业管理有限公司翁源分公司万隆花园服务中心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1.未按规定对物业管理区域内电动车进行集中存放、集中管理;2.未按规定落实物业管理区城内电动车停放、充电消防安全措施。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1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广州奥园物业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服务有限公司韶关分公司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1.因部分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业主违建等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20条问题未及时解决，导致180多户业主挂横幅维权，造成严重影响。2.利用公共场地、共用设施设备违规经营。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已按规定进行扣分处理。</w:t>
            </w:r>
          </w:p>
        </w:tc>
      </w:tr>
      <w:tr w:rsidR="004855B4" w:rsidTr="00537A6A">
        <w:trPr>
          <w:trHeight w:val="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韶关市中和物业服务有限公司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不配合当地政府主管部门的检查工作。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已按规定进行扣分处理。</w:t>
            </w:r>
          </w:p>
        </w:tc>
      </w:tr>
      <w:tr w:rsidR="004855B4" w:rsidTr="00537A6A">
        <w:trPr>
          <w:trHeight w:val="42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市鸿旺物业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不配合当地政府主管部门的检查工作。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已按规定进行扣分处理。</w:t>
            </w:r>
          </w:p>
        </w:tc>
      </w:tr>
      <w:tr w:rsidR="004855B4" w:rsidTr="00537A6A">
        <w:trPr>
          <w:trHeight w:val="15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汇物业服务公司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不配合当地政府主管部门的检查工作。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已按规定进行扣分处理。</w:t>
            </w:r>
          </w:p>
        </w:tc>
      </w:tr>
      <w:tr w:rsidR="004855B4" w:rsidTr="00537A6A">
        <w:trPr>
          <w:trHeight w:val="22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韶关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市穗辉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物业服务公司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不配合当地政府主管部门的检查工作。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已按规定进行扣分处理。</w:t>
            </w:r>
          </w:p>
        </w:tc>
      </w:tr>
      <w:tr w:rsidR="004855B4" w:rsidTr="00537A6A">
        <w:trPr>
          <w:trHeight w:val="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新丰县嘉盛物业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地下车库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充电桩未隔离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，存在消防隐患。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62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惠州市惠东县平山置家房地产中介服务部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未按规定办理中介机构备案，并拒不整改。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已按规定下发整改通知书，并进行通报。</w:t>
            </w:r>
          </w:p>
        </w:tc>
      </w:tr>
      <w:tr w:rsidR="004855B4" w:rsidTr="00537A6A">
        <w:trPr>
          <w:trHeight w:val="14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惠州市惠东县平山广联盛世房地产服务中心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未按规定办理中介机构备案，并拒不整改。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已按规定下发整改通知书，并进行通报。</w:t>
            </w:r>
          </w:p>
        </w:tc>
      </w:tr>
      <w:tr w:rsidR="004855B4" w:rsidTr="00537A6A">
        <w:trPr>
          <w:trHeight w:val="51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惠州市惠东县平山盛鸿置业服务中心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未按规定办理中介机构备案，并拒不整改。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已按规定下发整改通知书，并进行通报。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惠州市惠东县平山昇兴房地产咨询服务部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未按规定办理中介机构备案，并拒不整改。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已按规定下发整改通知书，并进行通报。</w:t>
            </w:r>
          </w:p>
        </w:tc>
      </w:tr>
      <w:tr w:rsidR="004855B4" w:rsidTr="00537A6A">
        <w:trPr>
          <w:trHeight w:val="49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惠州市惠东县吉隆镇吉源地产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未取得营业执照。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72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惠州市惠东县吉隆镇顺发房地产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未取得营业执照。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惠东县畅锋房地产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信息服务中心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未取得营业执照。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7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惠州市焦点房地产置业有限公司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未按规定报房地产主管部门办理资质备案。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百川利房地产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经纪有限公司惠城分公司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未按规定报房地产主管部门办理资质备案。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广州博跃房地产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未按规定报房地产主管部门办理资质备案。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福建阳光海岸房地产营销策划有限公司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未按规定报房地产主管部门办理资质备案。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联房地产咨询（惠州）有限公司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未按规定报房地产主管部门办理资质备案。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隐瞒购房人房屋相关信息。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江门市天汇投资发展有限公司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预售款未进入监管账户。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江门市江海区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滘头鸿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鸣物业管理开发有限公司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预售款未进入监管账户。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42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江门孔雀城房地产开发有限公司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江门市帕佳图房地产开发有限公司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未按要求公示相关信息，故意采取“虚抬价格”后以团购费优惠的方式进行销售。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门市嘉毅地产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中介有限公司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租赁交易合同未按规定备案，未按要求公示相关信息。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江门市新会区文德房地产开发有限公司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样板房与实物不一致。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江门市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新会区鸿盛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地产发展有限公司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未办理建筑工程施工许可证，擅自开工。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江门市新会区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宏房地产开发有限公司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未办理建筑工程施工许可证，擅自开工。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江门博富置业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发展有限公司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发布虚假广告。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72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门市优家房地产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未公示规定的内容事项及公示的内容不规范。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95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门市翔迎置业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桂园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智慧物业服务集团股份有限公司新会分公司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74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江门市嘉诚房地产代理有限公司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未公示规定的内容事项及公示的内容不规范。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91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江门市新会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区嘉毅房地产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信息咨询有限公司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71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江门市乐有家地产经纪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有限公司明翠新村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79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江门市新会区京都房地产中介有限公司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37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江门市家裕地产有限公司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未公示规定的内容事项及公示的内容不规范。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江门市新会区城市物业发展有限公司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未公示规定的内容事项及公示的内容不规范。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台山市伟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存在房屋质量问题。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台山市嘉联房地产中介有限公司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公示信息不齐全。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台山市正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房地产中介有限公司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公示信息不齐全。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江门实力发展（地产）有限公司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未能及时解押为预购人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办理网签合同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江门市蓬江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区信昌贸易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未按合同约定办理交楼。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江门珠江房地产开发有限公司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销售价格高于备案价。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广东龙辉地产经纪有限公司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住房租赁交易合同未按规定报房地产主管部门备案。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江门市九拓地产经纪有限公司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住房租赁交易合同未按规定报房地产主管部门备案。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51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江门市江海区优之房物业代理行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住房租赁交易合同未按规定报房地产主管部门备案、未按要求相关信息公示。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137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江门市盛凯房产经纪有限公司天鹅湾分公司（德佑）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住房租赁交易合同未按规定报房地产主管部门备案。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江门市乐有家房地产经纪有限公司天鹅湾分公司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住房租赁交易合同未按规定报房地产主管部门备案。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圭园房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地产有限公司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逾期交楼。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江门市裕隆基地产营销策划有限公司侨兴中介服务部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0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江门市明胜置业有限公司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未公示规定的内容事项，部分房屋未签订房地产经纪服务合同。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73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门市贝房房地产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部分房屋未签订房地产经纪服务合同，通过中介机构成交的住房租赁交易合同未按规定备案。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门市嘉家盛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房地产经纪有限公司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未公示规定的内容事项，部分房屋未签订房地产经纪服务合同。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门市乐诚地产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营销策划代理有限公司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部分房屋未签订房地产经纪服务合同。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江门市裕隆基地产营销策划有限公司同德中介服务部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门市优家房地产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代理有限公司会城分公司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乐优居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房地产经纪有限公司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未取得房地产经纪机构备案证明，未公示规定的内容事项，部分房屋未签订房地产经纪服务合同，住房租赁交易合同未按规定备案。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65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江门市耀东地产营销策划有限公司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未公示规定的内容事项，部分房屋未签订房地产经纪服务合同，住房租赁交易合同未按规定备案。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52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鹤山市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沙坪弘昌中介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鹤山市新希望房地产中介有限公司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顺房地产中介服务有限公司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鹤山市明胜置业有限公司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2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鹤山市沙坪联华中介行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市富盈房地产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鹤山市越恒房地产开发有限公司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虚假宣传。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台山市保利宏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样板房与实物不一致。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开平市能人房地产信息咨询服务部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9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开平市创基房地产信息咨询有限公司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开平市水口珠影文体产业有限公司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违规销售抵押房屋。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中山市商祺房地产投资有限公司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逾期交楼。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桂园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凤凰房地产开发有限公司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阻挠购房者使用公积金购房。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恩平市宏业房地产开发有限公司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未通过竣工验收备案通知业主收楼。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桂园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智慧物业服务集团股份有限公司恩平分公司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恩平市骏源房地产信息咨询部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未公示规定的内容事项及公示的内容不规范。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恩平市永诚房地产信息咨询中心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未公示规定的内容事项及公示的内容不规范。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广州华泽网络科技有限公司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广州铂昌房地产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顾问有限公司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恩平市至诚地产信息咨询中心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42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地产信息部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恩平市河山房地产中介服务部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未取得房地产经纪机构备案证明。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江门市滨江房地产开发投资有限公司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未取得商品房预售许可证收取订金。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已立案调查。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江门市越通房地产开发有限公司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未取得商品房预售许可证收取订金。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已立案调查。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台山市天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房地产中介有限公司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法定代表人涉嫌合同诈骗。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已移送司法机关处理。</w:t>
            </w:r>
          </w:p>
        </w:tc>
      </w:tr>
      <w:tr w:rsidR="004855B4" w:rsidTr="00537A6A">
        <w:trPr>
          <w:trHeight w:val="79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肇庆市联兴投资有限公司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未取得《商品房预售许可证》预售商品房。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已按规定立案处罚。</w:t>
            </w:r>
          </w:p>
        </w:tc>
      </w:tr>
      <w:tr w:rsidR="004855B4" w:rsidTr="00537A6A">
        <w:trPr>
          <w:trHeight w:val="67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肇庆市广宁县建业房地产有限公司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违规收取诚意金，涉及人员52人，涉及金额260万元。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已按规定立案处罚，并退还收取款项。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肇庆市怀集县红莲房地产中介服务部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未办理营业执照，未按规定到房地产主管部门备案。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已退还涉及金额，已整改。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西藏保利爱家房地产经纪有限公司佛山分公司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代理销售肇庆高新区保利心悦花园项目时违规向购房人收取“服务费”。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已责令改正违法行为。</w:t>
            </w:r>
          </w:p>
        </w:tc>
      </w:tr>
      <w:tr w:rsidR="004855B4" w:rsidTr="00537A6A">
        <w:trPr>
          <w:trHeight w:val="2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佛山市高吉房地产咨询有限公司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代理销售肇庆高新区新城和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花园项目时未在房地产主管部门办理中介机构备案。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5B4" w:rsidRDefault="004855B4" w:rsidP="00537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整改中。</w:t>
            </w:r>
          </w:p>
        </w:tc>
      </w:tr>
    </w:tbl>
    <w:p w:rsidR="004855B4" w:rsidRDefault="004855B4" w:rsidP="004855B4">
      <w:pPr>
        <w:pStyle w:val="3"/>
        <w:spacing w:line="560" w:lineRule="exact"/>
        <w:ind w:firstLine="0"/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</w:pPr>
    </w:p>
    <w:p w:rsidR="004855B4" w:rsidRDefault="004855B4"/>
    <w:sectPr w:rsidR="004855B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855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 w:rsidR="00000000" w:rsidRDefault="004855B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4"/>
    <w:rsid w:val="004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8377C-9806-48F4-B218-3181321F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55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NormalIndent"/>
    <w:next w:val="NormalIndent"/>
    <w:link w:val="30"/>
    <w:qFormat/>
    <w:rsid w:val="004855B4"/>
    <w:pPr>
      <w:outlineLvl w:val="2"/>
    </w:pPr>
    <w:rPr>
      <w:rFonts w:eastAsia="黑体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rsid w:val="004855B4"/>
    <w:rPr>
      <w:rFonts w:ascii="仿宋_GB2312" w:eastAsia="黑体" w:hAnsi="仿宋" w:cs="Times New Roman"/>
      <w:b/>
      <w:bCs/>
      <w:sz w:val="28"/>
      <w:szCs w:val="32"/>
    </w:rPr>
  </w:style>
  <w:style w:type="character" w:customStyle="1" w:styleId="a4">
    <w:name w:val="页脚 字符"/>
    <w:basedOn w:val="a1"/>
    <w:link w:val="a5"/>
    <w:rsid w:val="004855B4"/>
    <w:rPr>
      <w:sz w:val="18"/>
    </w:rPr>
  </w:style>
  <w:style w:type="paragraph" w:styleId="a5">
    <w:name w:val="footer"/>
    <w:basedOn w:val="a"/>
    <w:link w:val="a4"/>
    <w:rsid w:val="00485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1">
    <w:name w:val="页脚 字符1"/>
    <w:basedOn w:val="a1"/>
    <w:uiPriority w:val="99"/>
    <w:semiHidden/>
    <w:rsid w:val="004855B4"/>
    <w:rPr>
      <w:rFonts w:ascii="Times New Roman" w:eastAsia="宋体" w:hAnsi="Times New Roman" w:cs="Times New Roman"/>
      <w:sz w:val="18"/>
      <w:szCs w:val="18"/>
    </w:rPr>
  </w:style>
  <w:style w:type="paragraph" w:customStyle="1" w:styleId="NormalIndent">
    <w:name w:val="Normal Indent"/>
    <w:basedOn w:val="a"/>
    <w:rsid w:val="004855B4"/>
    <w:pPr>
      <w:tabs>
        <w:tab w:val="left" w:pos="1259"/>
      </w:tabs>
      <w:ind w:firstLine="561"/>
    </w:pPr>
    <w:rPr>
      <w:rFonts w:ascii="仿宋_GB2312" w:eastAsia="仿宋_GB2312" w:hAnsi="仿宋"/>
      <w:bCs/>
      <w:sz w:val="28"/>
      <w:szCs w:val="30"/>
    </w:rPr>
  </w:style>
  <w:style w:type="paragraph" w:styleId="a0">
    <w:name w:val="Plain Text"/>
    <w:basedOn w:val="a"/>
    <w:link w:val="a6"/>
    <w:uiPriority w:val="99"/>
    <w:semiHidden/>
    <w:unhideWhenUsed/>
    <w:rsid w:val="004855B4"/>
    <w:rPr>
      <w:rFonts w:asciiTheme="minorEastAsia" w:eastAsiaTheme="minorEastAsia" w:hAnsi="Courier New" w:cs="Courier New"/>
    </w:rPr>
  </w:style>
  <w:style w:type="character" w:customStyle="1" w:styleId="a6">
    <w:name w:val="纯文本 字符"/>
    <w:basedOn w:val="a1"/>
    <w:link w:val="a0"/>
    <w:uiPriority w:val="99"/>
    <w:semiHidden/>
    <w:rsid w:val="004855B4"/>
    <w:rPr>
      <w:rFonts w:ascii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2020-01-07T03:47:00Z</dcterms:created>
  <dcterms:modified xsi:type="dcterms:W3CDTF">2020-01-07T03:48:00Z</dcterms:modified>
</cp:coreProperties>
</file>