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before="240" w:after="240" w:line="720" w:lineRule="auto"/>
        <w:jc w:val="center"/>
        <w:rPr>
          <w:rFonts w:hint="eastAsia" w:ascii="黑体" w:hAnsi="黑体" w:eastAsia="黑体" w:cs="仿宋_GB2312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资质申报弄虚作假企业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eastAsia="zh-CN"/>
        </w:rPr>
        <w:t>的申报事项</w:t>
      </w:r>
    </w:p>
    <w:tbl>
      <w:tblPr>
        <w:tblStyle w:val="3"/>
        <w:tblW w:w="87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715"/>
        <w:gridCol w:w="4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240" w:after="24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4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广州市铭成发展有限公司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建筑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工程施工总承包二级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广东永耀消防工程有限公司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消防设施工程专业承包一级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广州耀安工程有限公司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电子与智能化工程专业承包一级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0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2019-07-01T06:33:04Z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