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附件  </w:t>
      </w:r>
    </w:p>
    <w:p>
      <w:pPr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cs="Times New Roman"/>
          <w:b/>
          <w:bCs/>
          <w:sz w:val="44"/>
          <w:szCs w:val="22"/>
          <w:lang w:val="en-US" w:eastAsia="zh-CN"/>
        </w:rPr>
      </w:pPr>
      <w:r>
        <w:rPr>
          <w:rFonts w:hint="eastAsia" w:ascii="宋体" w:hAnsi="宋体" w:cs="Times New Roman"/>
          <w:b/>
          <w:bCs/>
          <w:sz w:val="44"/>
          <w:szCs w:val="22"/>
          <w:lang w:val="en-US" w:eastAsia="zh-CN"/>
        </w:rPr>
        <w:t>2019年全省住房城乡建设依法行政</w:t>
      </w:r>
    </w:p>
    <w:p>
      <w:pPr>
        <w:widowControl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="宋体" w:hAnsi="宋体" w:cs="楷体"/>
          <w:sz w:val="44"/>
          <w:lang w:val="en-US" w:eastAsia="zh-CN"/>
        </w:rPr>
      </w:pPr>
      <w:r>
        <w:rPr>
          <w:rFonts w:hint="eastAsia" w:ascii="宋体" w:hAnsi="宋体" w:cs="Times New Roman"/>
          <w:b/>
          <w:bCs/>
          <w:sz w:val="44"/>
          <w:szCs w:val="22"/>
          <w:lang w:val="en-US" w:eastAsia="zh-CN"/>
        </w:rPr>
        <w:t>暨法治政府建设工作重点任务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98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16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全面开展工程建设项目审批制度改革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加快《广东省建筑废弃物条例》《广东省绿色建筑条例》《广东省城市管理综合执法条例》和《广东省城镇供水用水管理规定》立法进度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年内统筹推进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修订《广东省住房和城乡建设厅规范性文件管理办法》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做好工程建设项目审批制度改革涉及法规规章和规范性文件的“立改废释”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深入开展扫黑除恶专项斗争，加大违法建设治理，统筹推进全省城乡建设管理执法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年内统筹推进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全面推进行政执法公示、行政执法全过程记录、重大行政执法决定法制审核“三项制度”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年内统筹推进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主要负责同志听取政务公开工作汇报，明确分管负责人和分管部门，列入分工并对外公布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年内统筹推进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实现厅负责人出庭应诉3个案件以上；各地结合实际制定任务指标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开展专题学法、法院旁听各1次、法治讲座2次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明年第一季度各地要向厅报告本年度法治政府建设情况并通过报刊、政府网站等向社会公开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明年3月底前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notePr>
        <w:pos w:val="beneathText"/>
        <w:numFmt w:val="decimalFullWidth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2C79"/>
    <w:rsid w:val="085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 Char Char Char Char Char Char1 Char"/>
    <w:basedOn w:val="1"/>
    <w:link w:val="6"/>
    <w:qFormat/>
    <w:uiPriority w:val="0"/>
    <w:pPr>
      <w:widowControl/>
      <w:spacing w:after="160" w:afterLines="0" w:line="240" w:lineRule="exact"/>
      <w:jc w:val="left"/>
    </w:p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2019-06-28T13:51:00Z</dcterms:created>
  <dc:creator>Bei</dc:creator>
  <cp:lastModifiedBy>Bei</cp:lastModifiedBy>
  <dcterms:modified xsi:type="dcterms:W3CDTF">2019-06-28T13:51:48Z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