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spacing w:line="560" w:lineRule="exact"/>
        <w:jc w:val="both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2019</w:t>
      </w:r>
      <w:r>
        <w:rPr>
          <w:rFonts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年度广东省住房城乡建设系统行政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 w:val="0"/>
          <w:bCs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执法人员专业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法律法规</w:t>
      </w:r>
      <w:r>
        <w:rPr>
          <w:rFonts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知识考试大纲</w:t>
      </w:r>
    </w:p>
    <w:p>
      <w:pPr>
        <w:autoSpaceDN w:val="0"/>
        <w:spacing w:before="0" w:beforeLines="0" w:after="0" w:afterLines="0" w:line="560" w:lineRule="exact"/>
        <w:rPr>
          <w:rFonts w:ascii="黑体" w:hAnsi="黑体" w:eastAsia="黑体" w:cs="仿宋_GB2312"/>
          <w:b/>
          <w:bCs/>
          <w:color w:val="auto"/>
          <w:sz w:val="32"/>
          <w:szCs w:val="32"/>
        </w:rPr>
      </w:pPr>
      <w:r>
        <w:rPr>
          <w:rFonts w:ascii="黑体" w:hAnsi="黑体" w:eastAsia="黑体" w:cs="仿宋_GB2312"/>
          <w:b/>
          <w:bCs/>
          <w:sz w:val="32"/>
          <w:szCs w:val="32"/>
        </w:rPr>
        <w:t xml:space="preserve">    </w:t>
      </w:r>
    </w:p>
    <w:p>
      <w:pPr>
        <w:autoSpaceDN w:val="0"/>
        <w:spacing w:before="0" w:beforeLines="0" w:after="0" w:afterLines="0" w:line="560" w:lineRule="exact"/>
        <w:ind w:firstLine="64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考卷说明：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考试时限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分钟，考卷为客观性题目，包括判断题3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题，单项选择30题，案例分析选择5题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满分100分。</w:t>
      </w:r>
    </w:p>
    <w:p>
      <w:pPr>
        <w:autoSpaceDN w:val="0"/>
        <w:spacing w:before="0" w:beforeLines="0" w:after="0" w:afterLines="0" w:line="560" w:lineRule="exact"/>
        <w:ind w:firstLine="64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autoSpaceDN w:val="0"/>
        <w:spacing w:before="0" w:beforeLines="0" w:after="0" w:afterLines="0"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考试目的：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检验住房城乡建设系统行政执法人员掌握相关专业知识的熟悉程度，规范行政执法行为，提高依法执法的能力。</w:t>
      </w:r>
    </w:p>
    <w:p>
      <w:pPr>
        <w:autoSpaceDN w:val="0"/>
        <w:spacing w:before="0" w:beforeLines="0" w:after="0" w:afterLines="0" w:line="560" w:lineRule="exact"/>
        <w:rPr>
          <w:rFonts w:ascii="黑体" w:hAnsi="黑体" w:eastAsia="黑体" w:cs="仿宋_GB2312"/>
          <w:sz w:val="32"/>
          <w:szCs w:val="32"/>
        </w:rPr>
      </w:pPr>
      <w:r>
        <w:rPr>
          <w:rFonts w:ascii="黑体" w:hAnsi="黑体" w:eastAsia="黑体" w:cs="仿宋_GB2312"/>
          <w:sz w:val="32"/>
          <w:szCs w:val="32"/>
        </w:rPr>
        <w:t xml:space="preserve">   </w:t>
      </w:r>
      <w:r>
        <w:rPr>
          <w:rFonts w:ascii="黑体" w:hAnsi="黑体" w:eastAsia="黑体" w:cs="黑体"/>
          <w:sz w:val="32"/>
          <w:szCs w:val="32"/>
        </w:rPr>
        <w:t xml:space="preserve"> 考试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内容及</w:t>
      </w:r>
      <w:r>
        <w:rPr>
          <w:rFonts w:ascii="黑体" w:hAnsi="黑体" w:eastAsia="黑体" w:cs="黑体"/>
          <w:sz w:val="32"/>
          <w:szCs w:val="32"/>
        </w:rPr>
        <w:t>能力要求：</w:t>
      </w:r>
    </w:p>
    <w:p>
      <w:pPr>
        <w:autoSpaceDN w:val="0"/>
        <w:spacing w:before="0" w:beforeLines="0" w:after="0" w:afterLines="0" w:line="560" w:lineRule="exact"/>
        <w:rPr>
          <w:rFonts w:ascii="黑体" w:hAnsi="黑体" w:eastAsia="黑体" w:cs="仿宋_GB2312"/>
          <w:sz w:val="32"/>
          <w:szCs w:val="32"/>
        </w:rPr>
      </w:pPr>
      <w:r>
        <w:rPr>
          <w:rFonts w:ascii="黑体" w:hAnsi="黑体" w:eastAsia="黑体" w:cs="黑体"/>
          <w:b/>
          <w:sz w:val="32"/>
          <w:szCs w:val="32"/>
        </w:rPr>
        <w:t xml:space="preserve"> </w:t>
      </w:r>
      <w:r>
        <w:rPr>
          <w:rFonts w:ascii="黑体" w:hAnsi="黑体" w:eastAsia="黑体" w:cs="黑体"/>
          <w:bCs/>
          <w:sz w:val="32"/>
          <w:szCs w:val="32"/>
        </w:rPr>
        <w:t xml:space="preserve">   一、工程建设与建筑业管理类</w:t>
      </w:r>
    </w:p>
    <w:p>
      <w:pPr>
        <w:autoSpaceDN w:val="0"/>
        <w:spacing w:before="0" w:beforeLines="0" w:after="0" w:afterLines="0" w:line="56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  <w:t>掌握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：中华人民共和国建筑法、中华人民共和国招标投标法、建设工程质量管理条例、建设工程勘察设计管理条例、建设工程安全生产管理条例、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民用建筑节能条例、中华人民共和国招标投标法实施条例、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建筑工程施工许可管理办法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2015年版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、建筑业企业资质管理规定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2015年版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、建设工程勘察设计资质管理规定、工程监理企业资质管理规定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建筑施工企业安全生产许可证管理规定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广东省民用建筑节能条例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、广东省建设工程质量管理条例、建筑工程设计招标投标管理办法、住房城乡建设行政复议办法。</w:t>
      </w:r>
    </w:p>
    <w:p>
      <w:pPr>
        <w:autoSpaceDN w:val="0"/>
        <w:spacing w:before="0" w:beforeLines="0" w:after="0" w:afterLines="0" w:line="56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  <w:t>理解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：房屋建筑和市政基础设施工程施工图设计文件审查管理办法、建设工程质量检测管理办法、房屋建筑和市政基础设施工程竣工验收备案管理办法。</w:t>
      </w:r>
    </w:p>
    <w:p>
      <w:pPr>
        <w:spacing w:before="0" w:beforeLines="0" w:after="0" w:afterLines="0"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  <w:t>了解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：房屋建筑工程抗震设防管理规定、工程建设行业标准管理办法。</w:t>
      </w:r>
    </w:p>
    <w:p>
      <w:pPr>
        <w:spacing w:before="0" w:beforeLines="0" w:after="0" w:afterLines="0" w:line="56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ascii="黑体" w:hAnsi="黑体" w:eastAsia="黑体" w:cs="黑体"/>
          <w:bCs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二</w:t>
      </w:r>
      <w:r>
        <w:rPr>
          <w:rFonts w:ascii="黑体" w:hAnsi="黑体" w:eastAsia="黑体" w:cs="黑体"/>
          <w:bCs/>
          <w:sz w:val="32"/>
          <w:szCs w:val="32"/>
        </w:rPr>
        <w:t>、住房保障和房地产管理类</w:t>
      </w:r>
    </w:p>
    <w:p>
      <w:pPr>
        <w:autoSpaceDN w:val="0"/>
        <w:spacing w:before="0" w:beforeLines="0" w:after="0" w:afterLines="0" w:line="56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  <w:t>掌握：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中华人民共和国城市房地产管理法</w:t>
      </w:r>
      <w:r>
        <w:rPr>
          <w:rFonts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中华人民共和国物权法、城市房地产开发经营管理条例、</w:t>
      </w:r>
      <w:r>
        <w:rPr>
          <w:rFonts w:ascii="仿宋_GB2312" w:hAnsi="仿宋_GB2312" w:eastAsia="仿宋_GB2312" w:cs="仿宋_GB2312"/>
          <w:sz w:val="32"/>
          <w:szCs w:val="32"/>
        </w:rPr>
        <w:t>国有土地上房屋征收与补偿条例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物业管理条例</w:t>
      </w:r>
      <w:r>
        <w:rPr>
          <w:rFonts w:ascii="仿宋_GB2312" w:hAnsi="仿宋_GB2312" w:eastAsia="仿宋_GB2312" w:cs="仿宋_GB2312"/>
          <w:sz w:val="32"/>
          <w:szCs w:val="32"/>
        </w:rPr>
        <w:t>、城市商品房预售管理办法、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经济适用住房管理办法、</w:t>
      </w:r>
      <w:r>
        <w:rPr>
          <w:rFonts w:ascii="仿宋_GB2312" w:hAnsi="仿宋_GB2312" w:eastAsia="仿宋_GB2312" w:cs="仿宋_GB2312"/>
          <w:sz w:val="32"/>
          <w:szCs w:val="32"/>
        </w:rPr>
        <w:t>房地产估价机构管理办法</w:t>
      </w:r>
      <w:r>
        <w:rPr>
          <w:rFonts w:hint="default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房屋登记办法、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广东省房地产开发经营条例、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fldChar w:fldCharType="begin"/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instrText xml:space="preserve">HYPERLINK  \l "_Toc381014817" </w:instrTex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fldChar w:fldCharType="separate"/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广东省商品房预售管理条例、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fldChar w:fldCharType="end"/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广东省城镇房地产转让条例、</w:t>
      </w:r>
      <w:r>
        <w:rPr>
          <w:rFonts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ascii="仿宋_GB2312" w:hAnsi="仿宋_GB2312" w:eastAsia="仿宋_GB2312" w:cs="仿宋_GB2312"/>
          <w:sz w:val="32"/>
          <w:szCs w:val="32"/>
        </w:rPr>
        <w:instrText xml:space="preserve">HYPERLINK  \l "_Toc381014826" </w:instrText>
      </w:r>
      <w:r>
        <w:rPr>
          <w:rFonts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ascii="仿宋_GB2312" w:hAnsi="仿宋_GB2312" w:eastAsia="仿宋_GB2312" w:cs="仿宋_GB2312"/>
          <w:sz w:val="32"/>
          <w:szCs w:val="32"/>
        </w:rPr>
        <w:t>广东省物业管理条例、</w:t>
      </w:r>
      <w:r>
        <w:rPr>
          <w:rFonts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ascii="仿宋_GB2312" w:hAnsi="仿宋_GB2312" w:eastAsia="仿宋_GB2312" w:cs="仿宋_GB2312"/>
          <w:sz w:val="32"/>
          <w:szCs w:val="32"/>
        </w:rPr>
        <w:t>广东省房地产评估条例、广东省城镇房地产权登记条例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、广东省城镇住房保障办法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住房城乡建设行政复议办法。</w:t>
      </w:r>
    </w:p>
    <w:p>
      <w:pPr>
        <w:autoSpaceDN w:val="0"/>
        <w:spacing w:before="0" w:beforeLines="0" w:after="0" w:afterLines="0" w:line="56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  <w:t>理解：</w:t>
      </w:r>
      <w:r>
        <w:rPr>
          <w:rFonts w:ascii="仿宋_GB2312" w:hAnsi="仿宋_GB2312" w:eastAsia="仿宋_GB2312" w:cs="仿宋_GB2312"/>
          <w:strike w:val="0"/>
          <w:sz w:val="32"/>
          <w:szCs w:val="32"/>
        </w:rPr>
        <w:t>房地产开发企业资质管理规定、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城市房地产权属档案管理办法、</w:t>
      </w:r>
      <w:r>
        <w:rPr>
          <w:rFonts w:ascii="仿宋_GB2312" w:hAnsi="仿宋_GB2312" w:eastAsia="仿宋_GB2312" w:cs="仿宋_GB2312"/>
          <w:strike w:val="0"/>
          <w:sz w:val="32"/>
          <w:szCs w:val="32"/>
        </w:rPr>
        <w:t>廉租住房保障办法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autoSpaceDN w:val="0"/>
        <w:spacing w:before="0" w:beforeLines="0" w:after="0" w:afterLines="0" w:line="56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了解：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住房公积金管理条例、不动产登记暂行条例、住宅室内装饰装修管理办法。</w:t>
      </w:r>
    </w:p>
    <w:p>
      <w:pPr>
        <w:spacing w:before="0" w:beforeLines="0" w:after="0" w:afterLines="0" w:line="56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ascii="黑体" w:hAnsi="黑体" w:eastAsia="黑体" w:cs="黑体"/>
          <w:bCs/>
          <w:sz w:val="32"/>
          <w:szCs w:val="32"/>
        </w:rPr>
        <w:t xml:space="preserve">    三、城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乡</w:t>
      </w:r>
      <w:r>
        <w:rPr>
          <w:rFonts w:ascii="黑体" w:hAnsi="黑体" w:eastAsia="黑体" w:cs="黑体"/>
          <w:bCs/>
          <w:sz w:val="32"/>
          <w:szCs w:val="32"/>
        </w:rPr>
        <w:t>建设管理类</w:t>
      </w:r>
    </w:p>
    <w:p>
      <w:pPr>
        <w:autoSpaceDN w:val="0"/>
        <w:spacing w:before="0" w:beforeLines="0" w:after="0" w:afterLines="0" w:line="560" w:lineRule="exact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  <w:t>掌握：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中华人民共和国城市绿化条例、城市市容和环境卫生管理条例、城市道路管理条例、城镇燃气管理条例、城镇排水与污水处理条例、城市供水条例、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fldChar w:fldCharType="begin"/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instrText xml:space="preserve">HYPERLINK  \l "_Toc381014812" </w:instrTex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fldChar w:fldCharType="separate"/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广东省燃气管理条例、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fldChar w:fldCharType="end"/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广东省城市绿化条例</w:t>
      </w:r>
      <w:r>
        <w:rPr>
          <w:rFonts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广东省城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乡生活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垃圾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处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理条例</w:t>
      </w:r>
      <w:r>
        <w:rPr>
          <w:rFonts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城市生活垃圾管理办法、城市建筑垃圾管理规定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、村镇建设管理、住房城乡建设行政复议办法。</w:t>
      </w:r>
    </w:p>
    <w:p>
      <w:pPr>
        <w:autoSpaceDN w:val="0"/>
        <w:spacing w:before="0" w:beforeLines="0" w:after="0" w:afterLines="0" w:line="56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  <w:t>理解：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城市供水水质管理规定、市政公用事业特许经营管理办法、城市黄线管理办法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、城镇污水排入排水管网许可管理办法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、城市照明管理规定。</w:t>
      </w:r>
    </w:p>
    <w:p>
      <w:pPr>
        <w:autoSpaceDN w:val="0"/>
        <w:spacing w:before="0" w:beforeLines="0" w:after="0" w:afterLines="0" w:line="560" w:lineRule="exact"/>
        <w:rPr>
          <w:rFonts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  <w:t>了解：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历史文化名城名镇名村保护条例、城市节约用水管理规定。 </w:t>
      </w:r>
    </w:p>
    <w:p>
      <w:pPr>
        <w:spacing w:before="0" w:beforeLines="0" w:after="0" w:afterLines="0"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ascii="黑体" w:hAnsi="黑体" w:eastAsia="黑体" w:cs="黑体"/>
          <w:sz w:val="32"/>
          <w:szCs w:val="32"/>
        </w:rPr>
        <w:t>、城市管理综合执法类</w:t>
      </w:r>
    </w:p>
    <w:p>
      <w:pPr>
        <w:autoSpaceDN w:val="0"/>
        <w:spacing w:before="0" w:beforeLines="0" w:after="0" w:afterLines="0" w:line="56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  <w:t>掌握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：中华人民共和国行政处罚法、中华人民共和国行政许可法、中华人民共和国行政诉讼法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中华人民共和国行政复议法</w:t>
      </w:r>
      <w:r>
        <w:rPr>
          <w:rFonts w:ascii="仿宋_GB2312" w:hAnsi="仿宋_GB2312" w:eastAsia="仿宋_GB2312" w:cs="仿宋_GB2312"/>
          <w:sz w:val="32"/>
          <w:szCs w:val="32"/>
        </w:rPr>
        <w:t>、</w:t>
      </w:r>
      <w:r>
        <w:rPr>
          <w:rFonts w:hint="default" w:ascii="仿宋_GB2312" w:hAnsi="仿宋_GB2312" w:eastAsia="仿宋_GB2312" w:cs="仿宋_GB2312"/>
          <w:strike w:val="0"/>
          <w:color w:val="auto"/>
          <w:sz w:val="32"/>
          <w:szCs w:val="32"/>
          <w:lang w:eastAsia="zh-CN"/>
        </w:rPr>
        <w:t>中华人民共和国行政强制法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default" w:ascii="仿宋_GB2312" w:hAnsi="仿宋_GB2312" w:eastAsia="仿宋_GB2312" w:cs="仿宋_GB2312"/>
          <w:strike w:val="0"/>
          <w:color w:val="auto"/>
          <w:sz w:val="32"/>
          <w:szCs w:val="32"/>
        </w:rPr>
        <w:t>中华人民共和国城乡规划法、</w:t>
      </w:r>
      <w:r>
        <w:rPr>
          <w:rFonts w:hint="default" w:ascii="仿宋_GB2312" w:hAnsi="仿宋_GB2312" w:eastAsia="仿宋_GB2312" w:cs="仿宋_GB2312"/>
          <w:strike w:val="0"/>
          <w:color w:val="auto"/>
          <w:sz w:val="32"/>
          <w:szCs w:val="32"/>
          <w:lang w:eastAsia="zh-CN"/>
        </w:rPr>
        <w:t>建设工程质量管理条例、历史文化名城名镇名村保护条例、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建设行政处罚程序暂行规定</w:t>
      </w:r>
      <w:r>
        <w:rPr>
          <w:rFonts w:hint="default" w:ascii="仿宋_GB2312" w:hAnsi="仿宋_GB2312" w:eastAsia="仿宋_GB2312" w:cs="仿宋_GB2312"/>
          <w:strike w:val="0"/>
          <w:color w:val="auto"/>
          <w:sz w:val="32"/>
          <w:szCs w:val="32"/>
          <w:lang w:eastAsia="zh-CN"/>
        </w:rPr>
        <w:t>、城乡规划违法违纪行为处分办法、</w:t>
      </w:r>
      <w:r>
        <w:rPr>
          <w:rFonts w:ascii="仿宋_GB2312" w:hAnsi="仿宋_GB2312" w:eastAsia="仿宋_GB2312" w:cs="仿宋_GB2312"/>
          <w:sz w:val="32"/>
          <w:szCs w:val="32"/>
        </w:rPr>
        <w:t>城市紫线管理办法、城市黄线管理办法、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广东省行政执法队伍管理条例、广东省行政执法责任制条例、</w:t>
      </w:r>
      <w:r>
        <w:rPr>
          <w:rFonts w:hint="default" w:ascii="仿宋_GB2312" w:hAnsi="仿宋_GB2312" w:eastAsia="仿宋_GB2312" w:cs="仿宋_GB2312"/>
          <w:sz w:val="32"/>
          <w:szCs w:val="32"/>
        </w:rPr>
        <w:t>广东省城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乡生活</w:t>
      </w:r>
      <w:r>
        <w:rPr>
          <w:rFonts w:hint="default" w:ascii="仿宋_GB2312" w:hAnsi="仿宋_GB2312" w:eastAsia="仿宋_GB2312" w:cs="仿宋_GB2312"/>
          <w:sz w:val="32"/>
          <w:szCs w:val="32"/>
        </w:rPr>
        <w:t>垃圾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</w:t>
      </w:r>
      <w:r>
        <w:rPr>
          <w:rFonts w:hint="default" w:ascii="仿宋_GB2312" w:hAnsi="仿宋_GB2312" w:eastAsia="仿宋_GB2312" w:cs="仿宋_GB2312"/>
          <w:sz w:val="32"/>
          <w:szCs w:val="32"/>
        </w:rPr>
        <w:t>理条例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、生活饮用水卫生监督管理办法、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住房城乡建设行政复议办法。</w:t>
      </w:r>
    </w:p>
    <w:p>
      <w:pPr>
        <w:autoSpaceDN w:val="0"/>
        <w:spacing w:before="0" w:beforeLines="0" w:after="0" w:afterLines="0" w:line="56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  <w:t>理解：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中华人民共和国建筑法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中华人民共和国治安管理处罚法</w:t>
      </w:r>
      <w:r>
        <w:rPr>
          <w:rFonts w:hint="eastAsia" w:ascii="仿宋_GB2312" w:hAnsi="仿宋_GB2312" w:eastAsia="仿宋_GB2312"/>
          <w:b w:val="0"/>
          <w:bCs w:val="0"/>
          <w:sz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村庄和集镇规划建设管理条例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风景名胜区条例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。 </w:t>
      </w:r>
    </w:p>
    <w:p>
      <w:pPr>
        <w:autoSpaceDN w:val="0"/>
        <w:spacing w:before="0" w:beforeLines="0" w:after="0" w:afterLines="0" w:line="56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  <w:t>了解：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城市建筑垃圾管理规定、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城市市容和环境卫生管理条例。</w:t>
      </w:r>
    </w:p>
    <w:p>
      <w:pPr>
        <w:spacing w:before="0" w:beforeLines="0" w:after="0" w:afterLines="0" w:line="560" w:lineRule="exac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ascii="黑体" w:hAnsi="黑体" w:eastAsia="黑体" w:cs="黑体"/>
          <w:b/>
          <w:bCs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五</w:t>
      </w:r>
      <w:r>
        <w:rPr>
          <w:rFonts w:ascii="黑体" w:hAnsi="黑体" w:eastAsia="黑体" w:cs="黑体"/>
          <w:sz w:val="32"/>
          <w:szCs w:val="32"/>
        </w:rPr>
        <w:t>、住房公积金管理类</w:t>
      </w:r>
    </w:p>
    <w:p>
      <w:pPr>
        <w:autoSpaceDN w:val="0"/>
        <w:spacing w:before="0" w:beforeLines="0" w:after="0" w:afterLines="0" w:line="56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  <w:t>掌握：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住房公积金管理条例、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fldChar w:fldCharType="begin"/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instrText xml:space="preserve">HYPERLINK  \l "_Toc381014847" </w:instrTex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fldChar w:fldCharType="separate"/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住房公积金财务管理办法、</w:t>
      </w:r>
      <w:r>
        <w:rPr>
          <w:rFonts w:ascii="仿宋_GB2312" w:hAnsi="仿宋_GB2312" w:eastAsia="仿宋_GB2312" w:cs="仿宋_GB2312"/>
          <w:color w:val="auto"/>
          <w:sz w:val="32"/>
          <w:szCs w:val="32"/>
          <w:lang w:val="zh-CN" w:eastAsia="zh-CN"/>
        </w:rPr>
        <w:fldChar w:fldCharType="end"/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fldChar w:fldCharType="begin"/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instrText xml:space="preserve">HYPERLINK  \l "_Toc381014848" </w:instrTex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fldChar w:fldCharType="separate"/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住房公积金行政监督办法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color w:val="auto"/>
          <w:sz w:val="32"/>
          <w:szCs w:val="32"/>
          <w:lang w:val="zh-CN" w:eastAsia="zh-CN"/>
        </w:rPr>
        <w:fldChar w:fldCharType="end"/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关于规范住房公积金个人住房贷款政策有关问题的通知、建设部财政部人民银行关于住房公积金管理几个具体问题的通知、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关于个人住房贷款政策有关问题的通知、住房城乡建设行政复议办法。</w:t>
      </w:r>
    </w:p>
    <w:p>
      <w:pPr>
        <w:autoSpaceDN w:val="0"/>
        <w:spacing w:before="0" w:beforeLines="0" w:after="0" w:afterLines="0" w:line="56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  <w:t>理解：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廉租住房保障办法、经济适用住房管理办法、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公共租赁住房管理办法、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城市房地产转让管理规定、城市商品房预售管理办法。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  <w:t>了解：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房屋登记办法、商品房销售管理办法。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  <w:sectPr>
          <w:headerReference r:id="rId3" w:type="default"/>
          <w:footerReference r:id="rId4" w:type="default"/>
          <w:pgSz w:w="11906" w:h="16838"/>
          <w:pgMar w:top="1644" w:right="1474" w:bottom="1418" w:left="1588" w:header="851" w:footer="992" w:gutter="0"/>
          <w:pgNumType w:fmt="numberInDash" w:start="1"/>
          <w:cols w:space="0" w:num="1"/>
          <w:docGrid w:type="lines" w:linePitch="318" w:charSpace="0"/>
        </w:sect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备注：五</w:t>
      </w:r>
      <w:r>
        <w:rPr>
          <w:rFonts w:hint="eastAsia" w:ascii="仿宋_GB2312" w:eastAsia="仿宋_GB2312"/>
          <w:sz w:val="32"/>
          <w:szCs w:val="28"/>
          <w:lang w:eastAsia="zh-CN"/>
        </w:rPr>
        <w:t>大类考题均含有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中华人民共和国行政处罚法、中华人民共和国行政许可法、中华人民共和国行政诉讼法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中华人民共和国行政复议法</w:t>
      </w:r>
      <w:r>
        <w:rPr>
          <w:rFonts w:ascii="仿宋_GB2312" w:hAnsi="仿宋_GB2312" w:eastAsia="仿宋_GB2312" w:cs="仿宋_GB2312"/>
          <w:sz w:val="32"/>
          <w:szCs w:val="32"/>
        </w:rPr>
        <w:t>、</w:t>
      </w:r>
      <w:r>
        <w:rPr>
          <w:rFonts w:hint="default" w:ascii="仿宋_GB2312" w:hAnsi="仿宋_GB2312" w:eastAsia="仿宋_GB2312" w:cs="仿宋_GB2312"/>
          <w:strike w:val="0"/>
          <w:color w:val="auto"/>
          <w:sz w:val="32"/>
          <w:szCs w:val="32"/>
          <w:lang w:eastAsia="zh-CN"/>
        </w:rPr>
        <w:t>中华人民共和国行政强制法</w:t>
      </w:r>
      <w:r>
        <w:rPr>
          <w:rFonts w:hint="eastAsia" w:ascii="仿宋_GB2312" w:hAnsi="仿宋_GB2312" w:eastAsia="仿宋_GB2312" w:cs="仿宋_GB2312"/>
          <w:strike w:val="0"/>
          <w:color w:val="auto"/>
          <w:sz w:val="32"/>
          <w:szCs w:val="32"/>
          <w:lang w:eastAsia="zh-CN"/>
        </w:rPr>
        <w:t>五项公共法规类内容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hint="eastAsia" w:ascii="黑体" w:eastAsia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小标宋" w:hAnsi="小标宋" w:eastAsia="小标宋" w:cs="小标宋"/>
          <w:b w:val="0"/>
          <w:bCs/>
          <w:sz w:val="36"/>
          <w:szCs w:val="36"/>
        </w:rPr>
      </w:pPr>
      <w:r>
        <w:rPr>
          <w:rFonts w:hint="eastAsia" w:ascii="小标宋" w:hAnsi="小标宋" w:eastAsia="小标宋" w:cs="小标宋"/>
          <w:b w:val="0"/>
          <w:bCs/>
          <w:sz w:val="36"/>
          <w:szCs w:val="36"/>
          <w:lang w:eastAsia="zh-CN"/>
        </w:rPr>
        <w:t>2019</w:t>
      </w:r>
      <w:r>
        <w:rPr>
          <w:rFonts w:hint="eastAsia" w:ascii="小标宋" w:hAnsi="小标宋" w:eastAsia="小标宋" w:cs="小标宋"/>
          <w:b w:val="0"/>
          <w:bCs/>
          <w:sz w:val="36"/>
          <w:szCs w:val="36"/>
        </w:rPr>
        <w:t>年度</w:t>
      </w:r>
      <w:r>
        <w:rPr>
          <w:rFonts w:hint="eastAsia" w:ascii="小标宋" w:hAnsi="小标宋" w:eastAsia="小标宋" w:cs="小标宋"/>
          <w:b w:val="0"/>
          <w:bCs/>
          <w:sz w:val="36"/>
          <w:szCs w:val="36"/>
          <w:lang w:eastAsia="zh-CN"/>
        </w:rPr>
        <w:t>广东</w:t>
      </w:r>
      <w:r>
        <w:rPr>
          <w:rFonts w:hint="eastAsia" w:ascii="小标宋" w:hAnsi="小标宋" w:eastAsia="小标宋" w:cs="小标宋"/>
          <w:b w:val="0"/>
          <w:bCs/>
          <w:sz w:val="36"/>
          <w:szCs w:val="36"/>
        </w:rPr>
        <w:t>省住房和城乡建设系统行政执法人员专业</w:t>
      </w:r>
      <w:r>
        <w:rPr>
          <w:rFonts w:hint="eastAsia" w:ascii="小标宋" w:hAnsi="小标宋" w:eastAsia="小标宋" w:cs="小标宋"/>
          <w:b w:val="0"/>
          <w:bCs/>
          <w:sz w:val="36"/>
          <w:szCs w:val="36"/>
          <w:lang w:eastAsia="zh-CN"/>
        </w:rPr>
        <w:t>法律法规</w:t>
      </w:r>
      <w:r>
        <w:rPr>
          <w:rFonts w:hint="eastAsia" w:ascii="小标宋" w:hAnsi="小标宋" w:eastAsia="小标宋" w:cs="小标宋"/>
          <w:b w:val="0"/>
          <w:bCs/>
          <w:sz w:val="36"/>
          <w:szCs w:val="36"/>
        </w:rPr>
        <w:t>知识考试工作联系表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44"/>
        </w:rPr>
      </w:pPr>
      <w:r>
        <w:rPr>
          <w:rFonts w:hint="eastAsia" w:ascii="楷体_GB2312" w:hAnsi="楷体_GB2312" w:eastAsia="楷体_GB2312" w:cs="楷体_GB2312"/>
          <w:sz w:val="32"/>
          <w:szCs w:val="44"/>
        </w:rPr>
        <w:t>单位名称（公章）：                                            地址及邮编：</w:t>
      </w:r>
    </w:p>
    <w:tbl>
      <w:tblPr>
        <w:tblStyle w:val="8"/>
        <w:tblW w:w="141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147"/>
        <w:gridCol w:w="3144"/>
        <w:gridCol w:w="1488"/>
        <w:gridCol w:w="1716"/>
        <w:gridCol w:w="2124"/>
        <w:gridCol w:w="3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8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44"/>
              </w:rPr>
            </w:pPr>
            <w:r>
              <w:rPr>
                <w:rFonts w:hint="eastAsia" w:ascii="黑体" w:hAnsi="黑体" w:eastAsia="黑体" w:cs="黑体"/>
                <w:sz w:val="32"/>
                <w:szCs w:val="44"/>
              </w:rPr>
              <w:t>姓  名</w:t>
            </w:r>
          </w:p>
        </w:tc>
        <w:tc>
          <w:tcPr>
            <w:tcW w:w="114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44"/>
              </w:rPr>
            </w:pPr>
            <w:r>
              <w:rPr>
                <w:rFonts w:hint="eastAsia" w:ascii="黑体" w:hAnsi="黑体" w:eastAsia="黑体" w:cs="黑体"/>
                <w:sz w:val="32"/>
                <w:szCs w:val="44"/>
              </w:rPr>
              <w:t>性 别</w:t>
            </w:r>
          </w:p>
        </w:tc>
        <w:tc>
          <w:tcPr>
            <w:tcW w:w="314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44"/>
              </w:rPr>
            </w:pPr>
            <w:r>
              <w:rPr>
                <w:rFonts w:hint="eastAsia" w:ascii="黑体" w:hAnsi="黑体" w:eastAsia="黑体" w:cs="黑体"/>
                <w:sz w:val="32"/>
                <w:szCs w:val="44"/>
              </w:rPr>
              <w:t>单  位</w:t>
            </w:r>
          </w:p>
        </w:tc>
        <w:tc>
          <w:tcPr>
            <w:tcW w:w="148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44"/>
              </w:rPr>
            </w:pPr>
            <w:r>
              <w:rPr>
                <w:rFonts w:hint="eastAsia" w:ascii="黑体" w:hAnsi="黑体" w:eastAsia="黑体" w:cs="黑体"/>
                <w:sz w:val="32"/>
                <w:szCs w:val="44"/>
              </w:rPr>
              <w:t>职  务</w:t>
            </w:r>
          </w:p>
        </w:tc>
        <w:tc>
          <w:tcPr>
            <w:tcW w:w="17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44"/>
              </w:rPr>
            </w:pPr>
            <w:r>
              <w:rPr>
                <w:rFonts w:hint="eastAsia" w:ascii="黑体" w:hAnsi="黑体" w:eastAsia="黑体" w:cs="黑体"/>
                <w:sz w:val="32"/>
                <w:szCs w:val="44"/>
              </w:rPr>
              <w:t>电  话</w:t>
            </w:r>
          </w:p>
        </w:tc>
        <w:tc>
          <w:tcPr>
            <w:tcW w:w="2124" w:type="dxa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sz w:val="32"/>
                <w:szCs w:val="44"/>
              </w:rPr>
            </w:pPr>
            <w:r>
              <w:rPr>
                <w:rFonts w:hint="eastAsia" w:ascii="黑体" w:hAnsi="黑体" w:eastAsia="黑体" w:cs="黑体"/>
                <w:sz w:val="32"/>
                <w:szCs w:val="44"/>
              </w:rPr>
              <w:t xml:space="preserve">  手 机</w:t>
            </w:r>
          </w:p>
        </w:tc>
        <w:tc>
          <w:tcPr>
            <w:tcW w:w="3026" w:type="dxa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sz w:val="32"/>
                <w:szCs w:val="44"/>
              </w:rPr>
            </w:pPr>
            <w:r>
              <w:rPr>
                <w:rFonts w:hint="eastAsia" w:ascii="黑体" w:hAnsi="黑体" w:eastAsia="黑体" w:cs="黑体"/>
                <w:sz w:val="32"/>
                <w:szCs w:val="44"/>
              </w:rPr>
              <w:t xml:space="preserve">    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8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44"/>
                <w:szCs w:val="44"/>
              </w:rPr>
            </w:pPr>
          </w:p>
        </w:tc>
        <w:tc>
          <w:tcPr>
            <w:tcW w:w="114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44"/>
                <w:szCs w:val="44"/>
              </w:rPr>
            </w:pPr>
          </w:p>
        </w:tc>
        <w:tc>
          <w:tcPr>
            <w:tcW w:w="314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44"/>
                <w:szCs w:val="44"/>
              </w:rPr>
            </w:pPr>
          </w:p>
        </w:tc>
        <w:tc>
          <w:tcPr>
            <w:tcW w:w="148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44"/>
                <w:szCs w:val="44"/>
              </w:rPr>
            </w:pPr>
          </w:p>
        </w:tc>
        <w:tc>
          <w:tcPr>
            <w:tcW w:w="17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44"/>
                <w:szCs w:val="44"/>
              </w:rPr>
            </w:pPr>
          </w:p>
        </w:tc>
        <w:tc>
          <w:tcPr>
            <w:tcW w:w="212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44"/>
                <w:szCs w:val="44"/>
              </w:rPr>
            </w:pPr>
          </w:p>
        </w:tc>
        <w:tc>
          <w:tcPr>
            <w:tcW w:w="302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8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44"/>
                <w:szCs w:val="44"/>
              </w:rPr>
            </w:pPr>
          </w:p>
        </w:tc>
        <w:tc>
          <w:tcPr>
            <w:tcW w:w="114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44"/>
                <w:szCs w:val="44"/>
              </w:rPr>
            </w:pPr>
          </w:p>
        </w:tc>
        <w:tc>
          <w:tcPr>
            <w:tcW w:w="314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44"/>
                <w:szCs w:val="44"/>
              </w:rPr>
            </w:pPr>
          </w:p>
        </w:tc>
        <w:tc>
          <w:tcPr>
            <w:tcW w:w="148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44"/>
                <w:szCs w:val="44"/>
              </w:rPr>
            </w:pPr>
          </w:p>
        </w:tc>
        <w:tc>
          <w:tcPr>
            <w:tcW w:w="17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44"/>
                <w:szCs w:val="44"/>
              </w:rPr>
            </w:pPr>
          </w:p>
        </w:tc>
        <w:tc>
          <w:tcPr>
            <w:tcW w:w="212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44"/>
                <w:szCs w:val="44"/>
              </w:rPr>
            </w:pPr>
          </w:p>
        </w:tc>
        <w:tc>
          <w:tcPr>
            <w:tcW w:w="302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8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44"/>
                <w:szCs w:val="44"/>
              </w:rPr>
            </w:pPr>
          </w:p>
        </w:tc>
        <w:tc>
          <w:tcPr>
            <w:tcW w:w="114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44"/>
                <w:szCs w:val="44"/>
              </w:rPr>
            </w:pPr>
          </w:p>
        </w:tc>
        <w:tc>
          <w:tcPr>
            <w:tcW w:w="314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44"/>
                <w:szCs w:val="44"/>
              </w:rPr>
            </w:pPr>
          </w:p>
        </w:tc>
        <w:tc>
          <w:tcPr>
            <w:tcW w:w="148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44"/>
                <w:szCs w:val="44"/>
              </w:rPr>
            </w:pPr>
          </w:p>
        </w:tc>
        <w:tc>
          <w:tcPr>
            <w:tcW w:w="17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44"/>
                <w:szCs w:val="44"/>
              </w:rPr>
            </w:pPr>
          </w:p>
        </w:tc>
        <w:tc>
          <w:tcPr>
            <w:tcW w:w="212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44"/>
                <w:szCs w:val="44"/>
              </w:rPr>
            </w:pPr>
          </w:p>
        </w:tc>
        <w:tc>
          <w:tcPr>
            <w:tcW w:w="302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8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44"/>
                <w:szCs w:val="44"/>
              </w:rPr>
            </w:pPr>
          </w:p>
        </w:tc>
        <w:tc>
          <w:tcPr>
            <w:tcW w:w="114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44"/>
                <w:szCs w:val="44"/>
              </w:rPr>
            </w:pPr>
          </w:p>
        </w:tc>
        <w:tc>
          <w:tcPr>
            <w:tcW w:w="314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44"/>
                <w:szCs w:val="44"/>
              </w:rPr>
            </w:pPr>
          </w:p>
        </w:tc>
        <w:tc>
          <w:tcPr>
            <w:tcW w:w="148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44"/>
                <w:szCs w:val="44"/>
              </w:rPr>
            </w:pPr>
          </w:p>
        </w:tc>
        <w:tc>
          <w:tcPr>
            <w:tcW w:w="17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44"/>
                <w:szCs w:val="44"/>
              </w:rPr>
            </w:pPr>
          </w:p>
        </w:tc>
        <w:tc>
          <w:tcPr>
            <w:tcW w:w="212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44"/>
                <w:szCs w:val="44"/>
              </w:rPr>
            </w:pPr>
          </w:p>
        </w:tc>
        <w:tc>
          <w:tcPr>
            <w:tcW w:w="302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44"/>
                <w:szCs w:val="44"/>
              </w:rPr>
            </w:pPr>
          </w:p>
        </w:tc>
      </w:tr>
    </w:tbl>
    <w:p>
      <w:pPr>
        <w:spacing w:line="560" w:lineRule="exact"/>
        <w:ind w:firstLine="720" w:firstLineChars="225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_GB2312" w:hAnsi="仿宋_GB2312" w:eastAsia="仿宋_GB2312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_GB2312" w:hAnsi="仿宋_GB2312" w:eastAsia="仿宋_GB2312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_GB2312" w:hAnsi="仿宋_GB2312" w:eastAsia="仿宋_GB2312"/>
          <w:sz w:val="32"/>
          <w:szCs w:val="32"/>
          <w:lang w:eastAsia="zh-CN"/>
        </w:rPr>
        <w:sectPr>
          <w:pgSz w:w="16838" w:h="11906" w:orient="landscape"/>
          <w:pgMar w:top="1644" w:right="1588" w:bottom="1418" w:left="1418" w:header="851" w:footer="1361" w:gutter="0"/>
          <w:pgNumType w:fmt="numberInDash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tbl>
      <w:tblPr>
        <w:tblStyle w:val="8"/>
        <w:tblpPr w:leftFromText="180" w:rightFromText="180" w:vertAnchor="text" w:horzAnchor="page" w:tblpX="1621" w:tblpY="2117"/>
        <w:tblOverlap w:val="never"/>
        <w:tblW w:w="93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900"/>
        <w:gridCol w:w="3268"/>
        <w:gridCol w:w="3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94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考试时间</w:t>
            </w:r>
          </w:p>
        </w:tc>
        <w:tc>
          <w:tcPr>
            <w:tcW w:w="336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考试地区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9月11日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上午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9：00--10:30</w:t>
            </w:r>
          </w:p>
        </w:tc>
        <w:tc>
          <w:tcPr>
            <w:tcW w:w="336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模拟测试（全省）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9月12日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上午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9：00--10:30</w:t>
            </w:r>
          </w:p>
        </w:tc>
        <w:tc>
          <w:tcPr>
            <w:tcW w:w="336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模拟测试（全省）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7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9月1</w:t>
            </w:r>
            <w:r>
              <w:rPr>
                <w:rFonts w:hint="eastAsia" w:ascii="仿宋_GB2312" w:hAnsi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日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上午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9：00--10:30</w:t>
            </w:r>
          </w:p>
        </w:tc>
        <w:tc>
          <w:tcPr>
            <w:tcW w:w="336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广州、汕尾、珠海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下午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14:30--16:00</w:t>
            </w:r>
          </w:p>
        </w:tc>
        <w:tc>
          <w:tcPr>
            <w:tcW w:w="336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汕头、梅州、佛山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7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9月</w:t>
            </w:r>
            <w:r>
              <w:rPr>
                <w:rFonts w:hint="eastAsia" w:ascii="仿宋_GB2312" w:hAnsi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日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上午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9：00--10:30</w:t>
            </w:r>
          </w:p>
        </w:tc>
        <w:tc>
          <w:tcPr>
            <w:tcW w:w="336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韶关、河源、东莞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下午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14:30--16:00</w:t>
            </w:r>
          </w:p>
        </w:tc>
        <w:tc>
          <w:tcPr>
            <w:tcW w:w="336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惠州、清远、中山、阳江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7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9月2</w:t>
            </w:r>
            <w:r>
              <w:rPr>
                <w:rFonts w:hint="eastAsia" w:ascii="仿宋_GB2312" w:hAnsi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日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上午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9：00--10:30</w:t>
            </w:r>
          </w:p>
        </w:tc>
        <w:tc>
          <w:tcPr>
            <w:tcW w:w="336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江门、揭阳、湛江、潮州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下午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14:30--16:00</w:t>
            </w:r>
          </w:p>
        </w:tc>
        <w:tc>
          <w:tcPr>
            <w:tcW w:w="336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茂名、顺德、肇庆、云浮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9月2</w:t>
            </w:r>
            <w:r>
              <w:rPr>
                <w:rFonts w:hint="eastAsia" w:ascii="仿宋_GB2312" w:hAnsi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上午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9:00--10:30</w:t>
            </w:r>
          </w:p>
        </w:tc>
        <w:tc>
          <w:tcPr>
            <w:tcW w:w="336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因公事或健康原因缺考的补考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说明</w:t>
            </w:r>
          </w:p>
        </w:tc>
        <w:tc>
          <w:tcPr>
            <w:tcW w:w="7537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9月11、12日 开展模拟测试，目的是为考生熟悉考试流程、及时发现电脑设备等问题提供预演预练。请各地考生积极参加模拟测试，发现问题及时解决或上报，确保正式考试顺利进行。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9月1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、2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日 三天正式考试。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9月2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日 为缺考和不及格的考生补考。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2019年广东省住房城乡建设系统行政执法人员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专业法律法规知识考试时间表</w:t>
      </w:r>
    </w:p>
    <w:p>
      <w:pPr>
        <w:rPr>
          <w:rFonts w:hint="eastAsia" w:ascii="仿宋_GB2312" w:hAnsi="仿宋_GB2312" w:eastAsia="仿宋_GB2312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缺考申请（样式）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广东省住房和城乡建设厅城市管理综合执法监督处：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：XXX，身份证号：XXXXXXXXXXXXX，系XX市XX（单位）正式在编行政执法人员，已报名参加2019年广东省住房城乡建设系统行政执法人员专业法律法规知识考试，报名号：XXXXX。因(单位安排工作出差，个人身体原因等)不能按时参加2019年X月X日上（下）午XX：XX--XX：XX的在线考试，现申请安排参加9月27日上午9:00-10:30的全省统一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申请人：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手机号：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2019年X月X日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地级以上市行政主管部门盖章确认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" w:hAnsi="楷体" w:eastAsia="楷体"/>
          <w:b/>
          <w:bCs/>
          <w:sz w:val="44"/>
          <w:szCs w:val="44"/>
          <w:lang w:eastAsia="zh-CN"/>
        </w:rPr>
      </w:pPr>
    </w:p>
    <w:p/>
    <w:sectPr>
      <w:footerReference r:id="rId5" w:type="default"/>
      <w:pgSz w:w="11906" w:h="16838"/>
      <w:pgMar w:top="1644" w:right="1474" w:bottom="1418" w:left="1588" w:header="851" w:footer="992" w:gutter="0"/>
      <w:pgNumType w:fmt="numberInDash" w:start="11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  <w:ind w:right="360" w:firstLine="360" w:firstLineChars="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napToGrid w:val="0"/>
      <w:spacing w:after="0" w:afterLines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0451BC"/>
    <w:rsid w:val="001233C5"/>
    <w:rsid w:val="00267307"/>
    <w:rsid w:val="00351FDA"/>
    <w:rsid w:val="004234DA"/>
    <w:rsid w:val="00492B6F"/>
    <w:rsid w:val="00687EC0"/>
    <w:rsid w:val="007B39B6"/>
    <w:rsid w:val="009C6006"/>
    <w:rsid w:val="009F7851"/>
    <w:rsid w:val="00A7592D"/>
    <w:rsid w:val="00C10495"/>
    <w:rsid w:val="00C9504C"/>
    <w:rsid w:val="00FC5F9F"/>
    <w:rsid w:val="06831821"/>
    <w:rsid w:val="072059DD"/>
    <w:rsid w:val="080D74FC"/>
    <w:rsid w:val="08187561"/>
    <w:rsid w:val="0D6D37BD"/>
    <w:rsid w:val="10096ED9"/>
    <w:rsid w:val="154A675C"/>
    <w:rsid w:val="170F46CF"/>
    <w:rsid w:val="18E33AF7"/>
    <w:rsid w:val="1FD562BA"/>
    <w:rsid w:val="232A49A5"/>
    <w:rsid w:val="272200E8"/>
    <w:rsid w:val="2AF464A5"/>
    <w:rsid w:val="2E46035B"/>
    <w:rsid w:val="33E31D8B"/>
    <w:rsid w:val="34642697"/>
    <w:rsid w:val="364D3F88"/>
    <w:rsid w:val="3D050B77"/>
    <w:rsid w:val="3FA65476"/>
    <w:rsid w:val="494A3BF2"/>
    <w:rsid w:val="49767635"/>
    <w:rsid w:val="4ACD3044"/>
    <w:rsid w:val="4CBD4971"/>
    <w:rsid w:val="4E0451BC"/>
    <w:rsid w:val="4EB05003"/>
    <w:rsid w:val="4F302401"/>
    <w:rsid w:val="50565456"/>
    <w:rsid w:val="59897B07"/>
    <w:rsid w:val="5E1625CE"/>
    <w:rsid w:val="5E2E5564"/>
    <w:rsid w:val="5EF315AC"/>
    <w:rsid w:val="5FAB62E8"/>
    <w:rsid w:val="600D3694"/>
    <w:rsid w:val="6068328D"/>
    <w:rsid w:val="68F522EC"/>
    <w:rsid w:val="6E9B256F"/>
    <w:rsid w:val="6EDF45FE"/>
    <w:rsid w:val="6EF12BBF"/>
    <w:rsid w:val="77FA6A46"/>
    <w:rsid w:val="786F6749"/>
    <w:rsid w:val="7B9171ED"/>
    <w:rsid w:val="7B947E4C"/>
    <w:rsid w:val="7C3F0B8D"/>
    <w:rsid w:val="7EEF0F7B"/>
    <w:rsid w:val="7FA2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11"/>
    <w:semiHidden/>
    <w:unhideWhenUsed/>
    <w:qFormat/>
    <w:uiPriority w:val="0"/>
    <w:pPr>
      <w:keepNext/>
      <w:keepLines/>
      <w:outlineLvl w:val="1"/>
    </w:pPr>
    <w:rPr>
      <w:rFonts w:eastAsia="楷体_GB2312" w:asciiTheme="majorHAnsi" w:hAnsiTheme="majorHAnsi" w:cstheme="majorBidi"/>
      <w:bCs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Title"/>
    <w:basedOn w:val="1"/>
    <w:next w:val="1"/>
    <w:link w:val="9"/>
    <w:qFormat/>
    <w:uiPriority w:val="0"/>
    <w:pPr>
      <w:jc w:val="center"/>
      <w:outlineLvl w:val="0"/>
    </w:pPr>
    <w:rPr>
      <w:rFonts w:eastAsia="方正小标宋简体" w:asciiTheme="majorHAnsi" w:hAnsiTheme="majorHAnsi" w:cstheme="majorBidi"/>
      <w:bCs/>
      <w:sz w:val="44"/>
      <w:szCs w:val="32"/>
    </w:rPr>
  </w:style>
  <w:style w:type="character" w:customStyle="1" w:styleId="9">
    <w:name w:val="标题 字符"/>
    <w:basedOn w:val="7"/>
    <w:link w:val="6"/>
    <w:qFormat/>
    <w:uiPriority w:val="0"/>
    <w:rPr>
      <w:rFonts w:eastAsia="方正小标宋简体" w:asciiTheme="majorHAnsi" w:hAnsiTheme="majorHAnsi" w:cstheme="majorBidi"/>
      <w:bCs/>
      <w:kern w:val="2"/>
      <w:sz w:val="44"/>
      <w:szCs w:val="32"/>
    </w:rPr>
  </w:style>
  <w:style w:type="character" w:customStyle="1" w:styleId="10">
    <w:name w:val="标题 1 字符"/>
    <w:basedOn w:val="7"/>
    <w:link w:val="2"/>
    <w:qFormat/>
    <w:uiPriority w:val="0"/>
    <w:rPr>
      <w:rFonts w:eastAsia="黑体" w:asciiTheme="minorHAnsi" w:hAnsiTheme="minorHAnsi" w:cstheme="minorBidi"/>
      <w:bCs/>
      <w:kern w:val="44"/>
      <w:sz w:val="32"/>
      <w:szCs w:val="44"/>
    </w:rPr>
  </w:style>
  <w:style w:type="character" w:customStyle="1" w:styleId="11">
    <w:name w:val="标题 2 字符"/>
    <w:basedOn w:val="7"/>
    <w:link w:val="3"/>
    <w:semiHidden/>
    <w:uiPriority w:val="0"/>
    <w:rPr>
      <w:rFonts w:eastAsia="楷体_GB2312" w:asciiTheme="majorHAnsi" w:hAnsiTheme="majorHAnsi" w:cstheme="majorBidi"/>
      <w:bCs/>
      <w:kern w:val="2"/>
      <w:sz w:val="32"/>
      <w:szCs w:val="32"/>
    </w:rPr>
  </w:style>
  <w:style w:type="character" w:customStyle="1" w:styleId="12">
    <w:name w:val="页眉 字符"/>
    <w:basedOn w:val="7"/>
    <w:link w:val="5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13">
    <w:name w:val="页脚 字符"/>
    <w:basedOn w:val="7"/>
    <w:link w:val="4"/>
    <w:uiPriority w:val="99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省安全生产监督管理局</Company>
  <Pages>1</Pages>
  <Words>11</Words>
  <Characters>11</Characters>
  <Lines>1</Lines>
  <Paragraphs>1</Paragraphs>
  <TotalTime>2</TotalTime>
  <ScaleCrop>false</ScaleCrop>
  <LinksUpToDate>false</LinksUpToDate>
  <CharactersWithSpaces>11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2019-05-06T01:28:00Z</dcterms:created>
  <dc:creator>霍泽坚</dc:creator>
  <cp:lastModifiedBy>阮菁英</cp:lastModifiedBy>
  <cp:lastPrinted>2018-12-05T06:38:00Z</cp:lastPrinted>
  <dcterms:modified xsi:type="dcterms:W3CDTF">2019-05-31T02:44:32Z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btnFileSaveAsFlag">
    <vt:lpwstr>0</vt:lpwstr>
  </property>
  <property fmtid="{D5CDD505-2E9C-101B-9397-08002B2CF9AE}" pid="4" name="btnFileSaveFlag">
    <vt:lpwstr>0</vt:lpwstr>
  </property>
  <property fmtid="{D5CDD505-2E9C-101B-9397-08002B2CF9AE}" pid="5" name="code20">
    <vt:lpwstr>073bi4wcfqajk90ms1q1x9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i4>6063</vt:i4>
  </property>
  <property fmtid="{D5CDD505-2E9C-101B-9397-08002B2CF9AE}" pid="9" name="cp_itemType">
    <vt:lpwstr>missive</vt:lpwstr>
  </property>
  <property fmtid="{D5CDD505-2E9C-101B-9397-08002B2CF9AE}" pid="10" name="cp_title">
    <vt:lpwstr>广东省住房和城乡建设厅关于2019年度
全省住房城乡建设系统行政执法人员
专业法律法规知识考试的通知</vt:lpwstr>
  </property>
  <property fmtid="{D5CDD505-2E9C-101B-9397-08002B2CF9AE}" pid="11" name="docPrint">
    <vt:i4>1</vt:i4>
  </property>
  <property fmtid="{D5CDD505-2E9C-101B-9397-08002B2CF9AE}" pid="12" name="docSaveAs">
    <vt:i4>1</vt:i4>
  </property>
  <property fmtid="{D5CDD505-2E9C-101B-9397-08002B2CF9AE}" pid="13" name="openType">
    <vt:lpwstr>0</vt:lpwstr>
  </property>
  <property fmtid="{D5CDD505-2E9C-101B-9397-08002B2CF9AE}" pid="14" name="showButton">
    <vt:lpwstr>WPSExtOfficeTab;btnShowRevision;btnSaveAsLocal</vt:lpwstr>
  </property>
  <property fmtid="{D5CDD505-2E9C-101B-9397-08002B2CF9AE}" pid="15" name="uploadPath">
    <vt:lpwstr>http://xtbgsafe.gdzwfw.gov.cn/zjtoa/instance-web/minstone/wfDocBody/saveDocBodyWps?flowInid=6063&amp;stepInco=43442&amp;dealIndx=0&amp;openType=1&amp;flowId=110&amp;stepCode=92&amp;readOnly=0&amp;curUserCode=13688891972&amp;sysCode=MD_XCPYB_OA&amp;tenantCode=GDSXXZX&amp;r=0.5648518265620996&amp;fileCode=05c477ae00484943988d286ea16e7b31&amp;id=05c477ae00484943988d286ea16e7b31&amp;docTempCode=&amp;userUuid=8acc8642f9894c4189507ea8396a7800</vt:lpwstr>
  </property>
  <property fmtid="{D5CDD505-2E9C-101B-9397-08002B2CF9AE}" pid="16" name="urlParams">
    <vt:lpwstr>flowInid=6063&amp;stepInco=43442&amp;dealIndx=0&amp;openType=1&amp;flowId=110&amp;stepCode=92&amp;readOnly=0&amp;curUserCode=13688891972&amp;sysCode=MD_XCPYB_OA&amp;tenantCode=GDSXXZX&amp;r=0.5648518265620996&amp;fileCode=05c477ae00484943988d286ea16e7b31&amp;id=05c477ae00484943988d286ea16e7b31&amp;docTempCode=&amp;userUuid=8acc8642f9894c4189507ea8396a7800</vt:lpwstr>
  </property>
  <property fmtid="{D5CDD505-2E9C-101B-9397-08002B2CF9AE}" pid="17" name="lockDocUrl">
    <vt:lpwstr>http://xtbgsafe.gdzwfw.gov.cn/zjtoa/instance-web/minstone/wfDocBody/getLockInfo?flowInid=6063&amp;stepInco=43442&amp;dealIndx=0&amp;openType=1&amp;flowId=110&amp;stepCode=92&amp;readOnly=0&amp;curUserCode=13688891972&amp;sysCode=MD_XCPYB_OA&amp;tenantCode=GDSXXZX&amp;r=0.5648518265620996&amp;fileCode=05c477ae00484943988d286ea16e7b31&amp;id=05c477ae00484943988d286ea16e7b31&amp;docTempCode=&amp;userUuid=8acc8642f9894c4189507ea8396a7800</vt:lpwstr>
  </property>
  <property fmtid="{D5CDD505-2E9C-101B-9397-08002B2CF9AE}" pid="18" name="copyUrl">
    <vt:lpwstr>http://xtbgsafe.gdzwfw.gov.cn/zjtoa/instance-web/minstone/wfDocBody/copyDoc?flowInid=6063&amp;stepInco=43442&amp;dealIndx=0&amp;openType=1&amp;flowId=110&amp;stepCode=92&amp;readOnly=0&amp;curUserCode=13688891972&amp;sysCode=MD_XCPYB_OA&amp;tenantCode=GDSXXZX&amp;r=0.5648518265620996&amp;fileCode=05c477ae00484943988d286ea16e7b31&amp;id=05c477ae00484943988d286ea16e7b31&amp;docTempCode=&amp;userUuid=8acc8642f9894c4189507ea8396a7800</vt:lpwstr>
  </property>
  <property fmtid="{D5CDD505-2E9C-101B-9397-08002B2CF9AE}" pid="19" name="unLockDocurl">
    <vt:lpwstr>http://xtbgsafe.gdzwfw.gov.cn/zjtoa/instance-web/minstone/wfDocBody/unLockDoc?flowInid=6063&amp;stepInco=43442&amp;dealIndx=0&amp;openType=1&amp;flowId=110&amp;stepCode=92&amp;readOnly=0&amp;curUserCode=13688891972&amp;sysCode=MD_XCPYB_OA&amp;tenantCode=GDSXXZX&amp;r=0.5648518265620996&amp;fileCode=05c477ae00484943988d286ea16e7b31&amp;id=05c477ae00484943988d286ea16e7b31&amp;docTempCode=&amp;userUuid=8acc8642f9894c4189507ea8396a7800</vt:lpwstr>
  </property>
  <property fmtid="{D5CDD505-2E9C-101B-9397-08002B2CF9AE}" pid="20" name="showSavePromptFlag">
    <vt:lpwstr>true</vt:lpwstr>
  </property>
  <property fmtid="{D5CDD505-2E9C-101B-9397-08002B2CF9AE}" pid="21" name="ribbonExt">
    <vt:lpwstr>{"WPSExtOfficeTab":{"OnGetEnabled":false,"OnGetVisible":false}}</vt:lpwstr>
  </property>
</Properties>
</file>